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EA97F" w14:textId="3EB3BFD0" w:rsidR="00F653A4" w:rsidRDefault="00813964" w:rsidP="00C26DF0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Octo</w:t>
      </w:r>
      <w:r w:rsidR="00F653A4" w:rsidRPr="00F653A4">
        <w:rPr>
          <w:rFonts w:ascii="Calibri" w:hAnsi="Calibri" w:cs="Calibri"/>
          <w:sz w:val="24"/>
          <w:szCs w:val="24"/>
        </w:rPr>
        <w:t>ber 2019</w:t>
      </w:r>
    </w:p>
    <w:p w14:paraId="10D25898" w14:textId="77777777" w:rsidR="00114DDB" w:rsidRPr="00C26DF0" w:rsidRDefault="00114DDB" w:rsidP="00C26DF0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sz w:val="24"/>
          <w:szCs w:val="24"/>
        </w:rPr>
      </w:pPr>
    </w:p>
    <w:p w14:paraId="068B4603" w14:textId="7C48ED48" w:rsidR="00D50B82" w:rsidRDefault="00F653A4" w:rsidP="00090A6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color w:val="5B518E"/>
          <w:sz w:val="28"/>
          <w:szCs w:val="28"/>
        </w:rPr>
      </w:pPr>
      <w:r w:rsidRPr="00DF6254">
        <w:rPr>
          <w:rFonts w:ascii="Calibri" w:hAnsi="Calibri" w:cs="Calibri"/>
          <w:b/>
          <w:bCs/>
          <w:color w:val="5B518E"/>
          <w:sz w:val="32"/>
          <w:szCs w:val="32"/>
        </w:rPr>
        <w:t xml:space="preserve">Community Pharmacy 2019/20 to 2023/24: A five-year </w:t>
      </w:r>
      <w:r w:rsidR="001D005F" w:rsidRPr="00DF6254">
        <w:rPr>
          <w:rFonts w:ascii="Calibri" w:hAnsi="Calibri" w:cs="Calibri"/>
          <w:b/>
          <w:bCs/>
          <w:color w:val="5B518E"/>
          <w:sz w:val="32"/>
          <w:szCs w:val="32"/>
        </w:rPr>
        <w:t>settlement</w:t>
      </w:r>
    </w:p>
    <w:p w14:paraId="1504E19E" w14:textId="77777777" w:rsidR="00DF6254" w:rsidRDefault="00DF6254" w:rsidP="00090A6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color w:val="5B518E"/>
          <w:sz w:val="28"/>
          <w:szCs w:val="28"/>
        </w:rPr>
      </w:pPr>
    </w:p>
    <w:p w14:paraId="14C3CDA2" w14:textId="79538AE8" w:rsidR="002108A3" w:rsidRPr="00DF6254" w:rsidRDefault="002108A3" w:rsidP="00090A6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color w:val="5B518E"/>
          <w:sz w:val="32"/>
          <w:szCs w:val="32"/>
        </w:rPr>
      </w:pPr>
      <w:r w:rsidRPr="00DF6254">
        <w:rPr>
          <w:rFonts w:ascii="Calibri" w:hAnsi="Calibri" w:cs="Calibri"/>
          <w:b/>
          <w:bCs/>
          <w:color w:val="5B518E"/>
          <w:sz w:val="32"/>
          <w:szCs w:val="32"/>
        </w:rPr>
        <w:t xml:space="preserve">PSNC Summary for General Practice </w:t>
      </w:r>
      <w:r w:rsidR="00114DDB" w:rsidRPr="00DF6254">
        <w:rPr>
          <w:rFonts w:ascii="Calibri" w:hAnsi="Calibri" w:cs="Calibri"/>
          <w:b/>
          <w:bCs/>
          <w:color w:val="5B518E"/>
          <w:sz w:val="32"/>
          <w:szCs w:val="32"/>
        </w:rPr>
        <w:t>Teams</w:t>
      </w:r>
    </w:p>
    <w:p w14:paraId="4D38F6AD" w14:textId="2ABDD890" w:rsidR="00F653A4" w:rsidRPr="00090A6B" w:rsidRDefault="00F653A4" w:rsidP="00090A6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</w:rPr>
      </w:pPr>
    </w:p>
    <w:p w14:paraId="2CA44648" w14:textId="77777777" w:rsidR="002108A3" w:rsidRPr="002108A3" w:rsidRDefault="002108A3" w:rsidP="002108A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color w:val="5B518E"/>
          <w:sz w:val="24"/>
          <w:szCs w:val="24"/>
        </w:rPr>
      </w:pPr>
      <w:r w:rsidRPr="002108A3">
        <w:rPr>
          <w:rFonts w:ascii="Calibri" w:hAnsi="Calibri" w:cs="Calibri"/>
          <w:b/>
          <w:bCs/>
          <w:color w:val="5B518E"/>
          <w:sz w:val="24"/>
          <w:szCs w:val="24"/>
        </w:rPr>
        <w:t>Introduction</w:t>
      </w:r>
    </w:p>
    <w:p w14:paraId="27F641CD" w14:textId="317B9889" w:rsidR="002108A3" w:rsidRDefault="002108A3" w:rsidP="002108A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108A3">
        <w:rPr>
          <w:rFonts w:ascii="Calibri" w:hAnsi="Calibri" w:cs="Calibri"/>
        </w:rPr>
        <w:t>There are more than 11,</w:t>
      </w:r>
      <w:r w:rsidR="00114DDB">
        <w:rPr>
          <w:rFonts w:ascii="Calibri" w:hAnsi="Calibri" w:cs="Calibri"/>
        </w:rPr>
        <w:t>5</w:t>
      </w:r>
      <w:r w:rsidRPr="002108A3">
        <w:rPr>
          <w:rFonts w:ascii="Calibri" w:hAnsi="Calibri" w:cs="Calibri"/>
        </w:rPr>
        <w:t>00 community pharmacies in England providing accessible healthcare alongside the dispensing of medicines. For a typical pharmacy, NHS income accounts for 85-95% of their total turnover. This briefing summarises the recently agreed five-year NHS settlement for community pharmacies in England</w:t>
      </w:r>
      <w:r>
        <w:rPr>
          <w:rFonts w:ascii="Calibri" w:hAnsi="Calibri" w:cs="Calibri"/>
        </w:rPr>
        <w:t>.</w:t>
      </w:r>
    </w:p>
    <w:p w14:paraId="343F7BA2" w14:textId="15DC1D81" w:rsidR="002108A3" w:rsidRDefault="002108A3" w:rsidP="002108A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386489D9" w14:textId="77777777" w:rsidR="00DF6254" w:rsidRPr="002108A3" w:rsidRDefault="00DF6254" w:rsidP="002108A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7677F5F1" w14:textId="2CDFFCE9" w:rsidR="002108A3" w:rsidRPr="002108A3" w:rsidRDefault="002108A3" w:rsidP="002108A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color w:val="5B518E"/>
          <w:sz w:val="24"/>
          <w:szCs w:val="24"/>
        </w:rPr>
      </w:pPr>
      <w:r>
        <w:rPr>
          <w:rFonts w:ascii="Calibri" w:hAnsi="Calibri" w:cs="Calibri"/>
          <w:b/>
          <w:bCs/>
          <w:color w:val="5B518E"/>
          <w:sz w:val="24"/>
          <w:szCs w:val="24"/>
        </w:rPr>
        <w:t>The Five-Year CPCF Settlement</w:t>
      </w:r>
      <w:r w:rsidRPr="002108A3">
        <w:rPr>
          <w:rFonts w:ascii="Calibri" w:hAnsi="Calibri" w:cs="Calibri"/>
          <w:b/>
          <w:bCs/>
          <w:color w:val="5B518E"/>
          <w:sz w:val="24"/>
          <w:szCs w:val="24"/>
        </w:rPr>
        <w:t xml:space="preserve"> </w:t>
      </w:r>
    </w:p>
    <w:p w14:paraId="3732947A" w14:textId="1847EB68" w:rsidR="0076107E" w:rsidRDefault="00D50B82" w:rsidP="0076107E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D50B82">
        <w:rPr>
          <w:rFonts w:ascii="Calibri" w:hAnsi="Calibri" w:cs="Calibri"/>
        </w:rPr>
        <w:t>In July 2019</w:t>
      </w:r>
      <w:r w:rsidR="003E3B3A">
        <w:rPr>
          <w:rFonts w:ascii="Calibri" w:hAnsi="Calibri" w:cs="Calibri"/>
        </w:rPr>
        <w:t xml:space="preserve">, </w:t>
      </w:r>
      <w:r w:rsidR="002108A3">
        <w:rPr>
          <w:rFonts w:ascii="Calibri" w:hAnsi="Calibri" w:cs="Calibri"/>
        </w:rPr>
        <w:t xml:space="preserve">the Pharmaceutical Services </w:t>
      </w:r>
      <w:r w:rsidR="003E3B3A">
        <w:rPr>
          <w:rFonts w:ascii="Calibri" w:hAnsi="Calibri" w:cs="Calibri"/>
        </w:rPr>
        <w:t>N</w:t>
      </w:r>
      <w:r w:rsidR="002108A3">
        <w:rPr>
          <w:rFonts w:ascii="Calibri" w:hAnsi="Calibri" w:cs="Calibri"/>
        </w:rPr>
        <w:t xml:space="preserve">egotiating </w:t>
      </w:r>
      <w:r w:rsidR="003E3B3A">
        <w:rPr>
          <w:rFonts w:ascii="Calibri" w:hAnsi="Calibri" w:cs="Calibri"/>
        </w:rPr>
        <w:t>C</w:t>
      </w:r>
      <w:r w:rsidR="002108A3">
        <w:rPr>
          <w:rFonts w:ascii="Calibri" w:hAnsi="Calibri" w:cs="Calibri"/>
        </w:rPr>
        <w:t>ommittee</w:t>
      </w:r>
      <w:r w:rsidR="003E3B3A">
        <w:rPr>
          <w:rFonts w:ascii="Calibri" w:hAnsi="Calibri" w:cs="Calibri"/>
        </w:rPr>
        <w:t xml:space="preserve"> (</w:t>
      </w:r>
      <w:r w:rsidR="002108A3">
        <w:rPr>
          <w:rFonts w:ascii="Calibri" w:hAnsi="Calibri" w:cs="Calibri"/>
        </w:rPr>
        <w:t>PSNC</w:t>
      </w:r>
      <w:r w:rsidR="00DF6254">
        <w:rPr>
          <w:rFonts w:ascii="Calibri" w:hAnsi="Calibri" w:cs="Calibri"/>
        </w:rPr>
        <w:t>),</w:t>
      </w:r>
      <w:r w:rsidR="002108A3">
        <w:rPr>
          <w:rFonts w:ascii="Calibri" w:hAnsi="Calibri" w:cs="Calibri"/>
        </w:rPr>
        <w:t xml:space="preserve"> which </w:t>
      </w:r>
      <w:r w:rsidR="003E3B3A">
        <w:rPr>
          <w:rFonts w:ascii="Calibri" w:hAnsi="Calibri" w:cs="Calibri"/>
        </w:rPr>
        <w:t>represent</w:t>
      </w:r>
      <w:r w:rsidR="002108A3">
        <w:rPr>
          <w:rFonts w:ascii="Calibri" w:hAnsi="Calibri" w:cs="Calibri"/>
        </w:rPr>
        <w:t>s</w:t>
      </w:r>
      <w:r w:rsidR="003E3B3A">
        <w:rPr>
          <w:rFonts w:ascii="Calibri" w:hAnsi="Calibri" w:cs="Calibri"/>
        </w:rPr>
        <w:t xml:space="preserve"> community pharmacies, NHS England &amp; NHS Improvement (NHSE&amp;I) and the Department of Health and Social Care (DHSC) </w:t>
      </w:r>
      <w:r w:rsidRPr="00D50B82">
        <w:rPr>
          <w:rFonts w:ascii="Calibri" w:hAnsi="Calibri" w:cs="Calibri"/>
        </w:rPr>
        <w:t>agreed a five-year deal for</w:t>
      </w:r>
      <w:r w:rsidR="0076107E" w:rsidRPr="0076107E">
        <w:rPr>
          <w:rFonts w:ascii="Calibri" w:hAnsi="Calibri" w:cs="Calibri"/>
        </w:rPr>
        <w:t xml:space="preserve"> </w:t>
      </w:r>
      <w:r w:rsidR="0076107E">
        <w:rPr>
          <w:rFonts w:ascii="Calibri" w:hAnsi="Calibri" w:cs="Calibri"/>
        </w:rPr>
        <w:t>t</w:t>
      </w:r>
      <w:r w:rsidR="0076107E" w:rsidRPr="00DD6A09">
        <w:rPr>
          <w:rFonts w:ascii="Calibri" w:hAnsi="Calibri" w:cs="Calibri"/>
        </w:rPr>
        <w:t>he Community Pharmacy Contractual Framewor</w:t>
      </w:r>
      <w:r w:rsidR="0076107E">
        <w:rPr>
          <w:rFonts w:ascii="Calibri" w:hAnsi="Calibri" w:cs="Calibri"/>
        </w:rPr>
        <w:t>k</w:t>
      </w:r>
      <w:r w:rsidR="002108A3">
        <w:rPr>
          <w:rFonts w:ascii="Calibri" w:hAnsi="Calibri" w:cs="Calibri"/>
        </w:rPr>
        <w:t xml:space="preserve"> (CPCF)</w:t>
      </w:r>
      <w:r w:rsidR="0076107E">
        <w:rPr>
          <w:rFonts w:ascii="Calibri" w:hAnsi="Calibri" w:cs="Calibri"/>
        </w:rPr>
        <w:t>, which provides the basis for NHS community pharmacy service provision.</w:t>
      </w:r>
    </w:p>
    <w:p w14:paraId="6B082B7F" w14:textId="77777777" w:rsidR="0076107E" w:rsidRDefault="0076107E" w:rsidP="00090A6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04528C0A" w14:textId="735EA24D" w:rsidR="00A01E1E" w:rsidRDefault="0076107E" w:rsidP="00090A6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D210C6">
        <w:rPr>
          <w:rFonts w:ascii="Calibri" w:hAnsi="Calibri" w:cs="Calibri"/>
        </w:rPr>
        <w:t xml:space="preserve">revised framework </w:t>
      </w:r>
      <w:r w:rsidR="00114DDB">
        <w:rPr>
          <w:rFonts w:ascii="Calibri" w:hAnsi="Calibri" w:cs="Calibri"/>
        </w:rPr>
        <w:t>includes</w:t>
      </w:r>
      <w:r w:rsidR="00D210C6">
        <w:rPr>
          <w:rFonts w:ascii="Calibri" w:hAnsi="Calibri" w:cs="Calibri"/>
        </w:rPr>
        <w:t xml:space="preserve"> an</w:t>
      </w:r>
      <w:r>
        <w:rPr>
          <w:rFonts w:ascii="Calibri" w:hAnsi="Calibri" w:cs="Calibri"/>
        </w:rPr>
        <w:t xml:space="preserve"> expansion of clinical service delivery through pharmacies</w:t>
      </w:r>
      <w:r w:rsidR="00FC2F8D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in line with the NHS Long Term Plan</w:t>
      </w:r>
      <w:r w:rsidR="002108A3">
        <w:rPr>
          <w:rFonts w:ascii="Calibri" w:hAnsi="Calibri" w:cs="Calibri"/>
        </w:rPr>
        <w:t xml:space="preserve">. It </w:t>
      </w:r>
      <w:r w:rsidR="00FC2F8D">
        <w:rPr>
          <w:rFonts w:ascii="Calibri" w:hAnsi="Calibri" w:cs="Calibri"/>
        </w:rPr>
        <w:t>g</w:t>
      </w:r>
      <w:r w:rsidR="00D50B82" w:rsidRPr="00D50B82">
        <w:rPr>
          <w:rFonts w:ascii="Calibri" w:hAnsi="Calibri" w:cs="Calibri"/>
        </w:rPr>
        <w:t>uarantee</w:t>
      </w:r>
      <w:r w:rsidR="002108A3">
        <w:rPr>
          <w:rFonts w:ascii="Calibri" w:hAnsi="Calibri" w:cs="Calibri"/>
        </w:rPr>
        <w:t xml:space="preserve">s </w:t>
      </w:r>
      <w:r w:rsidR="00D50B82" w:rsidRPr="00D50B82">
        <w:rPr>
          <w:rFonts w:ascii="Calibri" w:hAnsi="Calibri" w:cs="Calibri"/>
        </w:rPr>
        <w:t>funding levels until 2023/24 and set</w:t>
      </w:r>
      <w:r w:rsidR="002108A3">
        <w:rPr>
          <w:rFonts w:ascii="Calibri" w:hAnsi="Calibri" w:cs="Calibri"/>
        </w:rPr>
        <w:t>s</w:t>
      </w:r>
      <w:r w:rsidR="00D50B82" w:rsidRPr="00D50B82">
        <w:rPr>
          <w:rFonts w:ascii="Calibri" w:hAnsi="Calibri" w:cs="Calibri"/>
        </w:rPr>
        <w:t xml:space="preserve"> out </w:t>
      </w:r>
      <w:r w:rsidR="003E3B3A">
        <w:rPr>
          <w:rFonts w:ascii="Calibri" w:hAnsi="Calibri" w:cs="Calibri"/>
        </w:rPr>
        <w:t xml:space="preserve">how pharmacies will </w:t>
      </w:r>
      <w:r w:rsidR="00AF69F0">
        <w:rPr>
          <w:rFonts w:ascii="Calibri" w:hAnsi="Calibri" w:cs="Calibri"/>
        </w:rPr>
        <w:t>support</w:t>
      </w:r>
      <w:r w:rsidR="002108A3">
        <w:rPr>
          <w:rFonts w:ascii="Calibri" w:hAnsi="Calibri" w:cs="Calibri"/>
        </w:rPr>
        <w:t xml:space="preserve"> </w:t>
      </w:r>
      <w:r w:rsidR="007504E6">
        <w:rPr>
          <w:rFonts w:ascii="Calibri" w:hAnsi="Calibri" w:cs="Calibri"/>
        </w:rPr>
        <w:t>NHS col</w:t>
      </w:r>
      <w:r w:rsidR="005309BA">
        <w:rPr>
          <w:rFonts w:ascii="Calibri" w:hAnsi="Calibri" w:cs="Calibri"/>
        </w:rPr>
        <w:t>leagues</w:t>
      </w:r>
      <w:r w:rsidR="002108A3">
        <w:rPr>
          <w:rFonts w:ascii="Calibri" w:hAnsi="Calibri" w:cs="Calibri"/>
        </w:rPr>
        <w:t xml:space="preserve">, </w:t>
      </w:r>
      <w:r w:rsidR="002108A3" w:rsidRPr="002108A3">
        <w:rPr>
          <w:rFonts w:ascii="Calibri" w:hAnsi="Calibri" w:cs="Calibri"/>
        </w:rPr>
        <w:t>provid</w:t>
      </w:r>
      <w:r w:rsidR="002108A3">
        <w:rPr>
          <w:rFonts w:ascii="Calibri" w:hAnsi="Calibri" w:cs="Calibri"/>
        </w:rPr>
        <w:t>ing</w:t>
      </w:r>
      <w:r w:rsidR="002108A3" w:rsidRPr="002108A3">
        <w:rPr>
          <w:rFonts w:ascii="Calibri" w:hAnsi="Calibri" w:cs="Calibri"/>
        </w:rPr>
        <w:t xml:space="preserve"> new services to help people to stay healthy and prevent illness; to support and provide urgent care services; to support patients leaving hospital; and to help patients avoid unnecessary visits to GPs an</w:t>
      </w:r>
      <w:r w:rsidR="002108A3">
        <w:rPr>
          <w:rFonts w:ascii="Calibri" w:hAnsi="Calibri" w:cs="Calibri"/>
        </w:rPr>
        <w:t xml:space="preserve">d hospitals. </w:t>
      </w:r>
      <w:r w:rsidR="005D7720">
        <w:rPr>
          <w:rFonts w:ascii="Calibri" w:hAnsi="Calibri" w:cs="Calibri"/>
        </w:rPr>
        <w:t xml:space="preserve"> </w:t>
      </w:r>
      <w:r w:rsidR="00656DD4">
        <w:rPr>
          <w:rFonts w:ascii="Calibri" w:hAnsi="Calibri" w:cs="Calibri"/>
        </w:rPr>
        <w:t>It</w:t>
      </w:r>
      <w:r w:rsidR="00583FF8">
        <w:rPr>
          <w:rFonts w:ascii="Calibri" w:hAnsi="Calibri" w:cs="Calibri"/>
        </w:rPr>
        <w:t xml:space="preserve"> a</w:t>
      </w:r>
      <w:r w:rsidR="00DD6A09">
        <w:rPr>
          <w:rFonts w:ascii="Calibri" w:hAnsi="Calibri" w:cs="Calibri"/>
        </w:rPr>
        <w:t xml:space="preserve">lso </w:t>
      </w:r>
      <w:r w:rsidR="002108A3">
        <w:rPr>
          <w:rFonts w:ascii="Calibri" w:hAnsi="Calibri" w:cs="Calibri"/>
        </w:rPr>
        <w:t xml:space="preserve">encourages </w:t>
      </w:r>
      <w:r w:rsidR="00121E9A">
        <w:rPr>
          <w:rFonts w:ascii="Calibri" w:hAnsi="Calibri" w:cs="Calibri"/>
        </w:rPr>
        <w:t>collaboration within</w:t>
      </w:r>
      <w:r w:rsidR="007504E6">
        <w:rPr>
          <w:rFonts w:ascii="Calibri" w:hAnsi="Calibri" w:cs="Calibri"/>
        </w:rPr>
        <w:t xml:space="preserve"> Primary Care Networks</w:t>
      </w:r>
      <w:r w:rsidR="00A90071">
        <w:rPr>
          <w:rFonts w:ascii="Calibri" w:hAnsi="Calibri" w:cs="Calibri"/>
        </w:rPr>
        <w:t xml:space="preserve"> (PCNs)</w:t>
      </w:r>
      <w:r w:rsidR="003E3B3A" w:rsidRPr="003E3B3A">
        <w:rPr>
          <w:rFonts w:ascii="Calibri" w:hAnsi="Calibri" w:cs="Calibri"/>
        </w:rPr>
        <w:t>.</w:t>
      </w:r>
    </w:p>
    <w:p w14:paraId="4A685661" w14:textId="0A8A4008" w:rsidR="00AF1678" w:rsidRDefault="00AF1678" w:rsidP="00090A6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74C71E23" w14:textId="77777777" w:rsidR="00DF6254" w:rsidRDefault="00DF6254" w:rsidP="00090A6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796B3334" w14:textId="76EBBDE3" w:rsidR="00A617CC" w:rsidRPr="002108A3" w:rsidRDefault="00A617CC" w:rsidP="00090A6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color w:val="5B518E"/>
          <w:sz w:val="24"/>
          <w:szCs w:val="24"/>
        </w:rPr>
      </w:pPr>
      <w:r w:rsidRPr="002108A3">
        <w:rPr>
          <w:rFonts w:ascii="Calibri" w:hAnsi="Calibri" w:cs="Calibri"/>
          <w:b/>
          <w:bCs/>
          <w:color w:val="5B518E"/>
          <w:sz w:val="24"/>
          <w:szCs w:val="24"/>
        </w:rPr>
        <w:t>New national services in 2019/20</w:t>
      </w:r>
    </w:p>
    <w:p w14:paraId="0F3A1AD0" w14:textId="499A6862" w:rsidR="00D50B82" w:rsidRPr="00D50B82" w:rsidRDefault="00D50B82" w:rsidP="00090A6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D50B82">
        <w:rPr>
          <w:rFonts w:ascii="Calibri" w:hAnsi="Calibri" w:cs="Calibri"/>
        </w:rPr>
        <w:t>In 2019/20,</w:t>
      </w:r>
      <w:r w:rsidR="00A617CC">
        <w:rPr>
          <w:rFonts w:ascii="Calibri" w:hAnsi="Calibri" w:cs="Calibri"/>
        </w:rPr>
        <w:t xml:space="preserve"> community</w:t>
      </w:r>
      <w:r w:rsidRPr="00D50B82">
        <w:rPr>
          <w:rFonts w:ascii="Calibri" w:hAnsi="Calibri" w:cs="Calibri"/>
        </w:rPr>
        <w:t xml:space="preserve"> pharmacies </w:t>
      </w:r>
      <w:r w:rsidR="002108A3">
        <w:rPr>
          <w:rFonts w:ascii="Calibri" w:hAnsi="Calibri" w:cs="Calibri"/>
        </w:rPr>
        <w:t xml:space="preserve">in England </w:t>
      </w:r>
      <w:r w:rsidRPr="00D50B82">
        <w:rPr>
          <w:rFonts w:ascii="Calibri" w:hAnsi="Calibri" w:cs="Calibri"/>
        </w:rPr>
        <w:t>will be</w:t>
      </w:r>
      <w:r w:rsidR="00AF1678">
        <w:rPr>
          <w:rFonts w:ascii="Calibri" w:hAnsi="Calibri" w:cs="Calibri"/>
        </w:rPr>
        <w:t xml:space="preserve"> </w:t>
      </w:r>
      <w:r w:rsidR="00E314F8">
        <w:rPr>
          <w:rFonts w:ascii="Calibri" w:hAnsi="Calibri" w:cs="Calibri"/>
        </w:rPr>
        <w:t xml:space="preserve">able to </w:t>
      </w:r>
      <w:r w:rsidRPr="00D50B82">
        <w:rPr>
          <w:rFonts w:ascii="Calibri" w:hAnsi="Calibri" w:cs="Calibri"/>
        </w:rPr>
        <w:t>provid</w:t>
      </w:r>
      <w:r w:rsidR="00AF1678">
        <w:rPr>
          <w:rFonts w:ascii="Calibri" w:hAnsi="Calibri" w:cs="Calibri"/>
        </w:rPr>
        <w:t>e</w:t>
      </w:r>
      <w:r w:rsidRPr="00D50B82">
        <w:rPr>
          <w:rFonts w:ascii="Calibri" w:hAnsi="Calibri" w:cs="Calibri"/>
        </w:rPr>
        <w:t xml:space="preserve"> two new services:</w:t>
      </w:r>
    </w:p>
    <w:p w14:paraId="43235AEE" w14:textId="77777777" w:rsidR="00D50B82" w:rsidRPr="00D50B82" w:rsidRDefault="00D50B82" w:rsidP="00090A6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24E7A0A0" w14:textId="77777777" w:rsidR="00DF6254" w:rsidRDefault="00D50B82" w:rsidP="00090A6B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A617CC">
        <w:rPr>
          <w:rFonts w:ascii="Calibri" w:hAnsi="Calibri" w:cs="Calibri"/>
          <w:b/>
          <w:bCs/>
          <w:color w:val="5B518E"/>
        </w:rPr>
        <w:t>The Community Pharmacist Consultation Service (CPCS)</w:t>
      </w:r>
      <w:r w:rsidR="00AF1678" w:rsidRPr="00DF6254">
        <w:rPr>
          <w:rFonts w:ascii="Calibri" w:hAnsi="Calibri" w:cs="Calibri"/>
        </w:rPr>
        <w:t>*</w:t>
      </w:r>
      <w:r w:rsidRPr="00DF6254">
        <w:rPr>
          <w:rFonts w:ascii="Calibri" w:hAnsi="Calibri" w:cs="Calibri"/>
        </w:rPr>
        <w:t>:</w:t>
      </w:r>
      <w:r w:rsidRPr="00A617CC">
        <w:rPr>
          <w:rFonts w:ascii="Calibri" w:hAnsi="Calibri" w:cs="Calibri"/>
          <w:b/>
          <w:bCs/>
          <w:color w:val="5B518E"/>
        </w:rPr>
        <w:t xml:space="preserve"> </w:t>
      </w:r>
      <w:r w:rsidRPr="00D50B82">
        <w:rPr>
          <w:rFonts w:ascii="Calibri" w:hAnsi="Calibri" w:cs="Calibri"/>
        </w:rPr>
        <w:t xml:space="preserve">This service </w:t>
      </w:r>
      <w:r w:rsidR="002108A3">
        <w:rPr>
          <w:rFonts w:ascii="Calibri" w:hAnsi="Calibri" w:cs="Calibri"/>
        </w:rPr>
        <w:t>has been designed to</w:t>
      </w:r>
      <w:r w:rsidR="0042673F">
        <w:rPr>
          <w:rFonts w:ascii="Calibri" w:hAnsi="Calibri" w:cs="Calibri"/>
        </w:rPr>
        <w:t xml:space="preserve"> </w:t>
      </w:r>
      <w:r w:rsidRPr="00D50B82">
        <w:rPr>
          <w:rFonts w:ascii="Calibri" w:hAnsi="Calibri" w:cs="Calibri"/>
        </w:rPr>
        <w:t>relieve pressure on the wider NHS by connecting patients with community pharmacies as a first port of call for minor illness or for the urgent supply of medicines.</w:t>
      </w:r>
    </w:p>
    <w:p w14:paraId="00440046" w14:textId="77777777" w:rsidR="00DF6254" w:rsidRDefault="00114DDB" w:rsidP="00DF6254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D50B82" w:rsidRPr="00D50B82">
        <w:rPr>
          <w:rFonts w:ascii="Calibri" w:hAnsi="Calibri" w:cs="Calibri"/>
        </w:rPr>
        <w:t xml:space="preserve">harmacies will offer patients a consultation to help them to manage minor </w:t>
      </w:r>
      <w:proofErr w:type="gramStart"/>
      <w:r w:rsidR="00D50B82" w:rsidRPr="00D50B82">
        <w:rPr>
          <w:rFonts w:ascii="Calibri" w:hAnsi="Calibri" w:cs="Calibri"/>
        </w:rPr>
        <w:t>illnesses, or</w:t>
      </w:r>
      <w:proofErr w:type="gramEnd"/>
      <w:r w:rsidR="00D50B82" w:rsidRPr="00D50B82">
        <w:rPr>
          <w:rFonts w:ascii="Calibri" w:hAnsi="Calibri" w:cs="Calibri"/>
        </w:rPr>
        <w:t xml:space="preserve"> make an ‘emergency supply’ of </w:t>
      </w:r>
      <w:r>
        <w:rPr>
          <w:rFonts w:ascii="Calibri" w:hAnsi="Calibri" w:cs="Calibri"/>
        </w:rPr>
        <w:t xml:space="preserve">a </w:t>
      </w:r>
      <w:r w:rsidR="00D50B82" w:rsidRPr="00D50B82">
        <w:rPr>
          <w:rFonts w:ascii="Calibri" w:hAnsi="Calibri" w:cs="Calibri"/>
        </w:rPr>
        <w:t xml:space="preserve">medicine where a patient has previously been prescribed the medicine. The service will </w:t>
      </w:r>
      <w:r>
        <w:rPr>
          <w:rFonts w:ascii="Calibri" w:hAnsi="Calibri" w:cs="Calibri"/>
        </w:rPr>
        <w:t xml:space="preserve">initially just </w:t>
      </w:r>
      <w:r w:rsidR="00D50B82" w:rsidRPr="00D50B82">
        <w:rPr>
          <w:rFonts w:ascii="Calibri" w:hAnsi="Calibri" w:cs="Calibri"/>
        </w:rPr>
        <w:t xml:space="preserve">take referrals </w:t>
      </w:r>
      <w:r w:rsidR="0042673F">
        <w:rPr>
          <w:rFonts w:ascii="Calibri" w:hAnsi="Calibri" w:cs="Calibri"/>
        </w:rPr>
        <w:t xml:space="preserve">from </w:t>
      </w:r>
      <w:r w:rsidR="00D50B82" w:rsidRPr="00D50B82">
        <w:rPr>
          <w:rFonts w:ascii="Calibri" w:hAnsi="Calibri" w:cs="Calibri"/>
        </w:rPr>
        <w:t xml:space="preserve">NHS 111 </w:t>
      </w:r>
      <w:r w:rsidR="00AF1678">
        <w:rPr>
          <w:rFonts w:ascii="Calibri" w:hAnsi="Calibri" w:cs="Calibri"/>
        </w:rPr>
        <w:t>(rather than those patients being directed to GPs</w:t>
      </w:r>
      <w:r>
        <w:rPr>
          <w:rFonts w:ascii="Calibri" w:hAnsi="Calibri" w:cs="Calibri"/>
        </w:rPr>
        <w:t>, GP OOH</w:t>
      </w:r>
      <w:r w:rsidR="00AF1678">
        <w:rPr>
          <w:rFonts w:ascii="Calibri" w:hAnsi="Calibri" w:cs="Calibri"/>
        </w:rPr>
        <w:t xml:space="preserve"> or A&amp;E) </w:t>
      </w:r>
      <w:r w:rsidR="00D50B82" w:rsidRPr="00D50B82">
        <w:rPr>
          <w:rFonts w:ascii="Calibri" w:hAnsi="Calibri" w:cs="Calibri"/>
        </w:rPr>
        <w:t>with</w:t>
      </w:r>
      <w:r w:rsidR="002108A3">
        <w:rPr>
          <w:rFonts w:ascii="Calibri" w:hAnsi="Calibri" w:cs="Calibri"/>
        </w:rPr>
        <w:t xml:space="preserve"> possible</w:t>
      </w:r>
      <w:r w:rsidR="00D50B82" w:rsidRPr="00D50B82">
        <w:rPr>
          <w:rFonts w:ascii="Calibri" w:hAnsi="Calibri" w:cs="Calibri"/>
        </w:rPr>
        <w:t xml:space="preserve"> referrals from other settings, such as GP practices</w:t>
      </w:r>
      <w:r w:rsidR="00AF1678">
        <w:rPr>
          <w:rFonts w:ascii="Calibri" w:hAnsi="Calibri" w:cs="Calibri"/>
        </w:rPr>
        <w:t xml:space="preserve"> and NHS 111 online</w:t>
      </w:r>
      <w:r w:rsidR="00D50B82" w:rsidRPr="00D50B82">
        <w:rPr>
          <w:rFonts w:ascii="Calibri" w:hAnsi="Calibri" w:cs="Calibri"/>
        </w:rPr>
        <w:t>, in future years.</w:t>
      </w:r>
    </w:p>
    <w:p w14:paraId="3E642D3C" w14:textId="4BCB2F2F" w:rsidR="00D50B82" w:rsidRDefault="004A79A4" w:rsidP="00DF6254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</w:t>
      </w:r>
      <w:r w:rsidR="00852A30">
        <w:rPr>
          <w:rFonts w:ascii="Calibri" w:hAnsi="Calibri" w:cs="Calibri"/>
        </w:rPr>
        <w:t>P</w:t>
      </w:r>
      <w:r>
        <w:rPr>
          <w:rFonts w:ascii="Calibri" w:hAnsi="Calibri" w:cs="Calibri"/>
        </w:rPr>
        <w:t>s</w:t>
      </w:r>
      <w:r w:rsidR="00852A30">
        <w:rPr>
          <w:rFonts w:ascii="Calibri" w:hAnsi="Calibri" w:cs="Calibri"/>
        </w:rPr>
        <w:t xml:space="preserve"> will </w:t>
      </w:r>
      <w:r w:rsidR="00114DDB">
        <w:rPr>
          <w:rFonts w:ascii="Calibri" w:hAnsi="Calibri" w:cs="Calibri"/>
        </w:rPr>
        <w:t xml:space="preserve">receive an electronic notification when </w:t>
      </w:r>
      <w:r>
        <w:rPr>
          <w:rFonts w:ascii="Calibri" w:hAnsi="Calibri" w:cs="Calibri"/>
        </w:rPr>
        <w:t>a patient has received</w:t>
      </w:r>
      <w:r w:rsidR="00114DDB">
        <w:rPr>
          <w:rFonts w:ascii="Calibri" w:hAnsi="Calibri" w:cs="Calibri"/>
        </w:rPr>
        <w:t xml:space="preserve"> an urgent supply; notifications will also be sent following minor illness consultations, where this is thought to be clinically significant</w:t>
      </w:r>
      <w:r w:rsidR="00852A30">
        <w:rPr>
          <w:rFonts w:ascii="Calibri" w:hAnsi="Calibri" w:cs="Calibri"/>
        </w:rPr>
        <w:t>.</w:t>
      </w:r>
    </w:p>
    <w:p w14:paraId="4CDDE8EE" w14:textId="77777777" w:rsidR="00DF6254" w:rsidRPr="00DF6254" w:rsidRDefault="00DF6254" w:rsidP="00DF6254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Calibri" w:hAnsi="Calibri" w:cs="Calibri"/>
        </w:rPr>
      </w:pPr>
    </w:p>
    <w:p w14:paraId="2428294C" w14:textId="1EC73210" w:rsidR="00D50B82" w:rsidRPr="00D50B82" w:rsidRDefault="00D50B82" w:rsidP="00090A6B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A617CC">
        <w:rPr>
          <w:rFonts w:ascii="Calibri" w:hAnsi="Calibri" w:cs="Calibri"/>
          <w:b/>
          <w:bCs/>
          <w:color w:val="5B518E"/>
        </w:rPr>
        <w:t>Hepatitis C testing</w:t>
      </w:r>
      <w:r w:rsidRPr="00DF6254">
        <w:rPr>
          <w:rFonts w:ascii="Calibri" w:hAnsi="Calibri" w:cs="Calibri"/>
        </w:rPr>
        <w:t>:</w:t>
      </w:r>
      <w:r w:rsidRPr="00A617CC">
        <w:rPr>
          <w:rFonts w:ascii="Calibri" w:hAnsi="Calibri" w:cs="Calibri"/>
          <w:color w:val="5B518E"/>
        </w:rPr>
        <w:t xml:space="preserve"> </w:t>
      </w:r>
      <w:r w:rsidRPr="00D50B82">
        <w:rPr>
          <w:rFonts w:ascii="Calibri" w:hAnsi="Calibri" w:cs="Calibri"/>
        </w:rPr>
        <w:t>Pharmacies will offer testing</w:t>
      </w:r>
      <w:r w:rsidR="00E314F8">
        <w:rPr>
          <w:rFonts w:ascii="Calibri" w:hAnsi="Calibri" w:cs="Calibri"/>
        </w:rPr>
        <w:t xml:space="preserve"> to</w:t>
      </w:r>
      <w:r w:rsidRPr="00D50B82">
        <w:rPr>
          <w:rFonts w:ascii="Calibri" w:hAnsi="Calibri" w:cs="Calibri"/>
        </w:rPr>
        <w:t xml:space="preserve"> people </w:t>
      </w:r>
      <w:r w:rsidR="00E314F8">
        <w:rPr>
          <w:rFonts w:ascii="Calibri" w:hAnsi="Calibri" w:cs="Calibri"/>
        </w:rPr>
        <w:t xml:space="preserve">who inject drugs, e.g. those </w:t>
      </w:r>
      <w:r w:rsidRPr="00D50B82">
        <w:rPr>
          <w:rFonts w:ascii="Calibri" w:hAnsi="Calibri" w:cs="Calibri"/>
        </w:rPr>
        <w:t>using pharmacy needle and syringe programmes to support the national Hepatitis C elimination programme.</w:t>
      </w:r>
    </w:p>
    <w:p w14:paraId="33C4FB90" w14:textId="4AAEE7E3" w:rsidR="00D50B82" w:rsidRDefault="00D50B82" w:rsidP="00090A6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Cs w:val="24"/>
        </w:rPr>
      </w:pPr>
    </w:p>
    <w:p w14:paraId="3302C269" w14:textId="38E1230F" w:rsidR="0015463E" w:rsidRPr="0015463E" w:rsidRDefault="0015463E" w:rsidP="00090A6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4"/>
        </w:rPr>
      </w:pPr>
      <w:r w:rsidRPr="00DF6254">
        <w:rPr>
          <w:rFonts w:ascii="Calibri" w:hAnsi="Calibri" w:cs="Calibri"/>
        </w:rPr>
        <w:t>*</w:t>
      </w:r>
      <w:r w:rsidRPr="0015463E">
        <w:rPr>
          <w:rFonts w:ascii="Calibri" w:hAnsi="Calibri" w:cs="Calibri"/>
        </w:rPr>
        <w:t xml:space="preserve">This service brings together the existing national </w:t>
      </w:r>
      <w:hyperlink r:id="rId11" w:history="1">
        <w:r w:rsidRPr="00DA559D">
          <w:rPr>
            <w:rStyle w:val="Hyperlink"/>
            <w:rFonts w:ascii="Calibri" w:hAnsi="Calibri" w:cs="Calibri"/>
            <w:b/>
            <w:bCs/>
            <w:color w:val="5B518E"/>
          </w:rPr>
          <w:t>NHS Urgent Medicine Supply Advanced Service (NUMSAS)</w:t>
        </w:r>
      </w:hyperlink>
      <w:r w:rsidRPr="0015463E">
        <w:rPr>
          <w:rFonts w:ascii="Calibri" w:hAnsi="Calibri" w:cs="Calibri"/>
        </w:rPr>
        <w:t xml:space="preserve"> and local pilots of the </w:t>
      </w:r>
      <w:hyperlink r:id="rId12" w:history="1">
        <w:r w:rsidRPr="00DA559D">
          <w:rPr>
            <w:rStyle w:val="Hyperlink"/>
            <w:rFonts w:ascii="Calibri" w:hAnsi="Calibri" w:cs="Calibri"/>
            <w:b/>
            <w:bCs/>
            <w:color w:val="5B518E"/>
          </w:rPr>
          <w:t>Digital Minor Illness Referral Service (DMIRS)</w:t>
        </w:r>
      </w:hyperlink>
      <w:r w:rsidRPr="0015463E">
        <w:rPr>
          <w:rFonts w:ascii="Calibri" w:hAnsi="Calibri" w:cs="Calibri"/>
        </w:rPr>
        <w:t>.</w:t>
      </w:r>
    </w:p>
    <w:p w14:paraId="238BA36F" w14:textId="377F7F38" w:rsidR="0015463E" w:rsidRDefault="0015463E" w:rsidP="00090A6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Cs w:val="24"/>
        </w:rPr>
      </w:pPr>
    </w:p>
    <w:p w14:paraId="31404B01" w14:textId="77777777" w:rsidR="00DF6254" w:rsidRPr="00090A6B" w:rsidRDefault="00DF6254" w:rsidP="00090A6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Cs w:val="24"/>
        </w:rPr>
      </w:pPr>
    </w:p>
    <w:p w14:paraId="498BC50D" w14:textId="6F603F19" w:rsidR="00A617CC" w:rsidRDefault="00AF1678" w:rsidP="00090A6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color w:val="5B518E"/>
          <w:sz w:val="24"/>
          <w:szCs w:val="24"/>
        </w:rPr>
      </w:pPr>
      <w:r w:rsidRPr="00AF1678">
        <w:rPr>
          <w:rFonts w:ascii="Calibri" w:hAnsi="Calibri" w:cs="Calibri"/>
          <w:b/>
          <w:bCs/>
          <w:color w:val="5B518E"/>
          <w:sz w:val="24"/>
          <w:szCs w:val="24"/>
        </w:rPr>
        <w:t>Other changes in 2019/20</w:t>
      </w:r>
    </w:p>
    <w:p w14:paraId="55E0BBFF" w14:textId="2975F6ED" w:rsidR="003E3B3A" w:rsidRDefault="003E3B3A" w:rsidP="00090A6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To free up capacity for these new services, the NHS is decommissioning the Medicines Use Review (MUR) service from community pharmacies</w:t>
      </w:r>
      <w:r w:rsidR="00E314F8">
        <w:rPr>
          <w:rStyle w:val="normaltextrun"/>
        </w:rPr>
        <w:t xml:space="preserve"> (alongside the commissioning </w:t>
      </w:r>
      <w:r w:rsidR="00DF6254">
        <w:rPr>
          <w:rStyle w:val="normaltextrun"/>
        </w:rPr>
        <w:t xml:space="preserve">by NHSE&amp;I </w:t>
      </w:r>
      <w:r w:rsidR="00E314F8">
        <w:rPr>
          <w:rStyle w:val="normaltextrun"/>
        </w:rPr>
        <w:t xml:space="preserve">of structured medication reviews </w:t>
      </w:r>
      <w:r w:rsidR="00F47854">
        <w:rPr>
          <w:rStyle w:val="normaltextrun"/>
        </w:rPr>
        <w:t>via PCNs)</w:t>
      </w:r>
      <w:r>
        <w:rPr>
          <w:rStyle w:val="normaltextrun"/>
        </w:rPr>
        <w:t xml:space="preserve">. The </w:t>
      </w:r>
      <w:r w:rsidR="00F47854">
        <w:rPr>
          <w:rStyle w:val="normaltextrun"/>
        </w:rPr>
        <w:t xml:space="preserve">MUR </w:t>
      </w:r>
      <w:r>
        <w:rPr>
          <w:rStyle w:val="normaltextrun"/>
        </w:rPr>
        <w:t xml:space="preserve">service is being phased out, so pharmacies will be able to </w:t>
      </w:r>
      <w:r w:rsidR="00F47854">
        <w:rPr>
          <w:rStyle w:val="normaltextrun"/>
        </w:rPr>
        <w:t>provide up to 250</w:t>
      </w:r>
      <w:r>
        <w:rPr>
          <w:rStyle w:val="normaltextrun"/>
        </w:rPr>
        <w:t xml:space="preserve"> MURs in 2019/20, and </w:t>
      </w:r>
      <w:r w:rsidR="00F47854">
        <w:rPr>
          <w:rStyle w:val="normaltextrun"/>
        </w:rPr>
        <w:t>up to 100</w:t>
      </w:r>
      <w:r>
        <w:rPr>
          <w:rStyle w:val="normaltextrun"/>
        </w:rPr>
        <w:t xml:space="preserve"> in 2020/21, after which </w:t>
      </w:r>
      <w:r w:rsidR="00F47854">
        <w:rPr>
          <w:rStyle w:val="normaltextrun"/>
        </w:rPr>
        <w:t>the service will cease</w:t>
      </w:r>
      <w:r>
        <w:rPr>
          <w:rStyle w:val="normaltextrun"/>
        </w:rPr>
        <w:t>.</w:t>
      </w:r>
    </w:p>
    <w:p w14:paraId="64470771" w14:textId="720BDDC4" w:rsidR="003E3B3A" w:rsidRDefault="00F47854" w:rsidP="00090A6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lastRenderedPageBreak/>
        <w:t>Most</w:t>
      </w:r>
      <w:r w:rsidR="003E3B3A">
        <w:t xml:space="preserve"> </w:t>
      </w:r>
      <w:r w:rsidR="007141D4">
        <w:rPr>
          <w:rStyle w:val="normaltextrun"/>
        </w:rPr>
        <w:t xml:space="preserve">community pharmacies </w:t>
      </w:r>
      <w:r>
        <w:rPr>
          <w:rStyle w:val="normaltextrun"/>
        </w:rPr>
        <w:t xml:space="preserve">are expected to </w:t>
      </w:r>
      <w:r w:rsidR="007141D4">
        <w:rPr>
          <w:rStyle w:val="normaltextrun"/>
        </w:rPr>
        <w:t>part</w:t>
      </w:r>
      <w:r>
        <w:rPr>
          <w:rStyle w:val="normaltextrun"/>
        </w:rPr>
        <w:t>icipate</w:t>
      </w:r>
      <w:r w:rsidR="007141D4">
        <w:rPr>
          <w:rStyle w:val="normaltextrun"/>
        </w:rPr>
        <w:t xml:space="preserve"> in the</w:t>
      </w:r>
      <w:r w:rsidR="00DF6254">
        <w:rPr>
          <w:rStyle w:val="normaltextrun"/>
        </w:rPr>
        <w:t xml:space="preserve"> revised</w:t>
      </w:r>
      <w:r w:rsidR="007141D4">
        <w:rPr>
          <w:rStyle w:val="normaltextrun"/>
        </w:rPr>
        <w:t xml:space="preserve"> </w:t>
      </w:r>
      <w:r w:rsidR="007141D4" w:rsidRPr="003E3B3A">
        <w:rPr>
          <w:rStyle w:val="normaltextrun"/>
          <w:b/>
          <w:bCs/>
          <w:color w:val="5B518E"/>
        </w:rPr>
        <w:t>Pharmacy Quality Scheme (PQS)</w:t>
      </w:r>
      <w:r w:rsidR="003E3B3A" w:rsidRPr="00F47854">
        <w:rPr>
          <w:rStyle w:val="normaltextrun"/>
        </w:rPr>
        <w:t>.</w:t>
      </w:r>
      <w:r w:rsidR="007141D4" w:rsidRPr="003E3B3A">
        <w:rPr>
          <w:rStyle w:val="normaltextrun"/>
          <w:color w:val="5B518E"/>
        </w:rPr>
        <w:t xml:space="preserve"> </w:t>
      </w:r>
      <w:r w:rsidR="007141D4">
        <w:rPr>
          <w:rStyle w:val="normaltextrun"/>
        </w:rPr>
        <w:t xml:space="preserve">This year, this </w:t>
      </w:r>
      <w:r w:rsidR="003E3B3A">
        <w:rPr>
          <w:rStyle w:val="normaltextrun"/>
        </w:rPr>
        <w:t xml:space="preserve">may </w:t>
      </w:r>
      <w:r w:rsidR="007141D4">
        <w:rPr>
          <w:rStyle w:val="normaltextrun"/>
        </w:rPr>
        <w:t>involve them</w:t>
      </w:r>
      <w:r w:rsidR="003E3B3A">
        <w:rPr>
          <w:rStyle w:val="normaltextrun"/>
        </w:rPr>
        <w:t>:</w:t>
      </w:r>
    </w:p>
    <w:p w14:paraId="6E3B320E" w14:textId="77777777" w:rsidR="00090A6B" w:rsidRDefault="00090A6B" w:rsidP="00090A6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34292D2A" w14:textId="0D4ABD7B" w:rsidR="003E3B3A" w:rsidRDefault="003E3B3A" w:rsidP="00090A6B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P</w:t>
      </w:r>
      <w:r w:rsidR="007141D4">
        <w:rPr>
          <w:rStyle w:val="normaltextrun"/>
        </w:rPr>
        <w:t xml:space="preserve">reparing for engagement with </w:t>
      </w:r>
      <w:r w:rsidR="00F47854">
        <w:rPr>
          <w:rStyle w:val="normaltextrun"/>
        </w:rPr>
        <w:t xml:space="preserve">their </w:t>
      </w:r>
      <w:r w:rsidR="00A90071">
        <w:rPr>
          <w:rStyle w:val="normaltextrun"/>
        </w:rPr>
        <w:t>PCN</w:t>
      </w:r>
      <w:r w:rsidR="00F47854">
        <w:rPr>
          <w:rStyle w:val="normaltextrun"/>
        </w:rPr>
        <w:t>, by identifying a pharmacy lead to work with the PCN leadership;</w:t>
      </w:r>
      <w:r w:rsidR="007141D4">
        <w:rPr>
          <w:rStyle w:val="normaltextrun"/>
        </w:rPr>
        <w:t xml:space="preserve"> </w:t>
      </w:r>
    </w:p>
    <w:p w14:paraId="09538E45" w14:textId="1E596AF6" w:rsidR="003E3B3A" w:rsidRDefault="00F47854" w:rsidP="00090A6B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Supporting the QOF Quality Improvement requirements, by c</w:t>
      </w:r>
      <w:r w:rsidR="007141D4">
        <w:rPr>
          <w:rStyle w:val="normaltextrun"/>
        </w:rPr>
        <w:t xml:space="preserve">arrying out audits on </w:t>
      </w:r>
      <w:r>
        <w:rPr>
          <w:rStyle w:val="normaltextrun"/>
        </w:rPr>
        <w:t xml:space="preserve">the use of </w:t>
      </w:r>
      <w:r w:rsidR="007141D4">
        <w:rPr>
          <w:rStyle w:val="normaltextrun"/>
        </w:rPr>
        <w:t xml:space="preserve">lithium, pregnancy prevention for </w:t>
      </w:r>
      <w:r w:rsidR="00414FF3">
        <w:rPr>
          <w:rStyle w:val="normaltextrun"/>
        </w:rPr>
        <w:t xml:space="preserve">children and </w:t>
      </w:r>
      <w:r w:rsidR="007141D4">
        <w:rPr>
          <w:rStyle w:val="normaltextrun"/>
        </w:rPr>
        <w:t>women</w:t>
      </w:r>
      <w:r w:rsidR="00414FF3">
        <w:rPr>
          <w:rStyle w:val="normaltextrun"/>
        </w:rPr>
        <w:t xml:space="preserve"> of childbearing potential</w:t>
      </w:r>
      <w:r w:rsidR="007141D4">
        <w:rPr>
          <w:rStyle w:val="normaltextrun"/>
        </w:rPr>
        <w:t xml:space="preserve"> taking valproate, and on the use of NSAIDs</w:t>
      </w:r>
      <w:r w:rsidR="00414FF3">
        <w:rPr>
          <w:rStyle w:val="normaltextrun"/>
        </w:rPr>
        <w:t xml:space="preserve"> </w:t>
      </w:r>
      <w:r w:rsidR="007E0F53">
        <w:rPr>
          <w:rStyle w:val="normaltextrun"/>
        </w:rPr>
        <w:t xml:space="preserve">in patient 65 years and over, </w:t>
      </w:r>
      <w:r w:rsidR="00414FF3">
        <w:rPr>
          <w:rStyle w:val="normaltextrun"/>
        </w:rPr>
        <w:t>where no gastro-protection has been co-prescribed</w:t>
      </w:r>
      <w:r w:rsidR="003E3B3A">
        <w:rPr>
          <w:rStyle w:val="normaltextrun"/>
        </w:rPr>
        <w:t>;</w:t>
      </w:r>
    </w:p>
    <w:p w14:paraId="4E7C4230" w14:textId="28994057" w:rsidR="003E3B3A" w:rsidRDefault="003E3B3A" w:rsidP="001B3093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C</w:t>
      </w:r>
      <w:r w:rsidR="007141D4">
        <w:rPr>
          <w:rStyle w:val="normaltextrun"/>
        </w:rPr>
        <w:t>hecking with patients</w:t>
      </w:r>
      <w:r w:rsidR="001B3093">
        <w:rPr>
          <w:rStyle w:val="normaltextrun"/>
        </w:rPr>
        <w:t xml:space="preserve"> </w:t>
      </w:r>
      <w:r w:rsidR="007141D4">
        <w:rPr>
          <w:rStyle w:val="normaltextrun"/>
        </w:rPr>
        <w:t xml:space="preserve">with diabetes </w:t>
      </w:r>
      <w:r w:rsidR="001B3093">
        <w:rPr>
          <w:rStyle w:val="normaltextrun"/>
        </w:rPr>
        <w:t xml:space="preserve">aged 12 years and over </w:t>
      </w:r>
      <w:r w:rsidR="007141D4">
        <w:rPr>
          <w:rStyle w:val="normaltextrun"/>
        </w:rPr>
        <w:t xml:space="preserve">whether they have had </w:t>
      </w:r>
      <w:r w:rsidR="00414FF3">
        <w:rPr>
          <w:rStyle w:val="normaltextrun"/>
        </w:rPr>
        <w:t xml:space="preserve">a </w:t>
      </w:r>
      <w:r w:rsidR="007141D4">
        <w:rPr>
          <w:rStyle w:val="normaltextrun"/>
        </w:rPr>
        <w:t>foot</w:t>
      </w:r>
      <w:r w:rsidR="00414FF3">
        <w:rPr>
          <w:rStyle w:val="normaltextrun"/>
        </w:rPr>
        <w:t xml:space="preserve"> check</w:t>
      </w:r>
      <w:r w:rsidR="007141D4">
        <w:rPr>
          <w:rStyle w:val="normaltextrun"/>
        </w:rPr>
        <w:t xml:space="preserve"> and </w:t>
      </w:r>
      <w:r w:rsidR="00414FF3">
        <w:rPr>
          <w:rStyle w:val="normaltextrun"/>
        </w:rPr>
        <w:t>retinopathy screening in the last year</w:t>
      </w:r>
      <w:r>
        <w:rPr>
          <w:rStyle w:val="normaltextrun"/>
        </w:rPr>
        <w:t>;</w:t>
      </w:r>
    </w:p>
    <w:p w14:paraId="08382657" w14:textId="1549ED7B" w:rsidR="003E3B3A" w:rsidRDefault="003E3B3A" w:rsidP="00090A6B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C</w:t>
      </w:r>
      <w:r w:rsidR="007141D4">
        <w:rPr>
          <w:rStyle w:val="normaltextrun"/>
        </w:rPr>
        <w:t xml:space="preserve">ompleting training on look-alike, sound-alike (LASA) </w:t>
      </w:r>
      <w:r w:rsidR="001B3093">
        <w:rPr>
          <w:rStyle w:val="normaltextrun"/>
        </w:rPr>
        <w:t xml:space="preserve">dispensing </w:t>
      </w:r>
      <w:r w:rsidR="007141D4">
        <w:rPr>
          <w:rStyle w:val="normaltextrun"/>
        </w:rPr>
        <w:t>errors</w:t>
      </w:r>
      <w:r w:rsidR="001B3093">
        <w:rPr>
          <w:rStyle w:val="normaltextrun"/>
        </w:rPr>
        <w:t xml:space="preserve"> and updating their patient safety report to reflect on previous mitigations put in place to prevent such errors and any new actions which could be taken</w:t>
      </w:r>
      <w:r>
        <w:rPr>
          <w:rStyle w:val="normaltextrun"/>
        </w:rPr>
        <w:t>;</w:t>
      </w:r>
    </w:p>
    <w:p w14:paraId="6774D5AD" w14:textId="2AF8C9DA" w:rsidR="003E3B3A" w:rsidRDefault="003E3B3A" w:rsidP="00090A6B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U</w:t>
      </w:r>
      <w:r w:rsidR="007141D4">
        <w:rPr>
          <w:rStyle w:val="normaltextrun"/>
        </w:rPr>
        <w:t>pdating</w:t>
      </w:r>
      <w:r w:rsidR="001B3093">
        <w:rPr>
          <w:rStyle w:val="normaltextrun"/>
        </w:rPr>
        <w:t xml:space="preserve"> the pharmacy’s</w:t>
      </w:r>
      <w:r w:rsidR="007141D4">
        <w:rPr>
          <w:rStyle w:val="normaltextrun"/>
        </w:rPr>
        <w:t xml:space="preserve"> risk re</w:t>
      </w:r>
      <w:r w:rsidR="001B3093">
        <w:rPr>
          <w:rStyle w:val="normaltextrun"/>
        </w:rPr>
        <w:t>gister</w:t>
      </w:r>
      <w:r w:rsidR="007141D4">
        <w:rPr>
          <w:rStyle w:val="normaltextrun"/>
        </w:rPr>
        <w:t xml:space="preserve">; </w:t>
      </w:r>
    </w:p>
    <w:p w14:paraId="784EE77A" w14:textId="2BA4ADDA" w:rsidR="003E3B3A" w:rsidRDefault="003E3B3A" w:rsidP="00090A6B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C</w:t>
      </w:r>
      <w:r w:rsidR="007141D4">
        <w:rPr>
          <w:rStyle w:val="normaltextrun"/>
        </w:rPr>
        <w:t xml:space="preserve">ompleting </w:t>
      </w:r>
      <w:r w:rsidR="001B3093">
        <w:rPr>
          <w:rStyle w:val="normaltextrun"/>
        </w:rPr>
        <w:t xml:space="preserve">training on </w:t>
      </w:r>
      <w:r w:rsidR="007141D4">
        <w:rPr>
          <w:rStyle w:val="normaltextrun"/>
        </w:rPr>
        <w:t xml:space="preserve">sepsis </w:t>
      </w:r>
      <w:r w:rsidR="001B3093">
        <w:rPr>
          <w:rStyle w:val="normaltextrun"/>
        </w:rPr>
        <w:t xml:space="preserve">awareness and identifying </w:t>
      </w:r>
      <w:r w:rsidR="007141D4">
        <w:rPr>
          <w:rStyle w:val="normaltextrun"/>
        </w:rPr>
        <w:t>mitigation</w:t>
      </w:r>
      <w:r w:rsidR="001B3093">
        <w:rPr>
          <w:rStyle w:val="normaltextrun"/>
        </w:rPr>
        <w:t>s against the risk of missing a patient potentially presenting with the sign of sepsis</w:t>
      </w:r>
      <w:r w:rsidR="007141D4">
        <w:rPr>
          <w:rStyle w:val="normaltextrun"/>
        </w:rPr>
        <w:t xml:space="preserve">; and </w:t>
      </w:r>
    </w:p>
    <w:p w14:paraId="7AAC05EE" w14:textId="6FFC3E91" w:rsidR="008923D5" w:rsidRDefault="003E3B3A" w:rsidP="00090A6B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Co</w:t>
      </w:r>
      <w:r w:rsidR="007141D4">
        <w:rPr>
          <w:rStyle w:val="normaltextrun"/>
        </w:rPr>
        <w:t>mpleting a Dementia Friendly environment standards checklist.</w:t>
      </w:r>
    </w:p>
    <w:p w14:paraId="3AF927B4" w14:textId="4C478A49" w:rsidR="00090A6B" w:rsidRDefault="00090A6B" w:rsidP="00090A6B">
      <w:pPr>
        <w:pStyle w:val="paragraph"/>
        <w:spacing w:before="0" w:beforeAutospacing="0" w:after="0" w:afterAutospacing="0"/>
        <w:jc w:val="both"/>
        <w:textAlignment w:val="baseline"/>
      </w:pPr>
    </w:p>
    <w:p w14:paraId="6F90E384" w14:textId="77777777" w:rsidR="00DF6254" w:rsidRPr="003E3B3A" w:rsidRDefault="00DF6254" w:rsidP="00090A6B">
      <w:pPr>
        <w:pStyle w:val="paragraph"/>
        <w:spacing w:before="0" w:beforeAutospacing="0" w:after="0" w:afterAutospacing="0"/>
        <w:jc w:val="both"/>
        <w:textAlignment w:val="baseline"/>
      </w:pPr>
    </w:p>
    <w:p w14:paraId="5A61A2A8" w14:textId="40E31B0A" w:rsidR="007141D4" w:rsidRPr="00AF1678" w:rsidRDefault="007141D4" w:rsidP="00090A6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color w:val="5B518E"/>
          <w:sz w:val="24"/>
          <w:szCs w:val="24"/>
        </w:rPr>
      </w:pPr>
      <w:r>
        <w:rPr>
          <w:rFonts w:ascii="Calibri" w:hAnsi="Calibri" w:cs="Calibri"/>
          <w:b/>
          <w:bCs/>
          <w:color w:val="5B518E"/>
          <w:sz w:val="24"/>
          <w:szCs w:val="24"/>
        </w:rPr>
        <w:t>Changes from April 2020</w:t>
      </w:r>
    </w:p>
    <w:p w14:paraId="6DB35FB0" w14:textId="2E95B031" w:rsidR="004646D5" w:rsidRDefault="007141D4" w:rsidP="00090A6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7141D4">
        <w:rPr>
          <w:rFonts w:ascii="Calibri" w:hAnsi="Calibri" w:cs="Calibri"/>
        </w:rPr>
        <w:t>From April 2020, all pharmacies will be required to be able to process electronic prescriptions</w:t>
      </w:r>
      <w:r w:rsidR="00DF6254">
        <w:rPr>
          <w:rFonts w:ascii="Calibri" w:hAnsi="Calibri" w:cs="Calibri"/>
        </w:rPr>
        <w:t xml:space="preserve">, have a shared </w:t>
      </w:r>
      <w:proofErr w:type="spellStart"/>
      <w:r w:rsidR="00DF6254">
        <w:rPr>
          <w:rFonts w:ascii="Calibri" w:hAnsi="Calibri" w:cs="Calibri"/>
        </w:rPr>
        <w:t>NHSmail</w:t>
      </w:r>
      <w:proofErr w:type="spellEnd"/>
      <w:r w:rsidR="00DF6254">
        <w:rPr>
          <w:rFonts w:ascii="Calibri" w:hAnsi="Calibri" w:cs="Calibri"/>
        </w:rPr>
        <w:t xml:space="preserve"> account for the pharmacy</w:t>
      </w:r>
      <w:r w:rsidRPr="007141D4">
        <w:rPr>
          <w:rFonts w:ascii="Calibri" w:hAnsi="Calibri" w:cs="Calibri"/>
        </w:rPr>
        <w:t xml:space="preserve"> and to have attained </w:t>
      </w:r>
      <w:hyperlink r:id="rId13" w:history="1">
        <w:r w:rsidRPr="004646D5">
          <w:rPr>
            <w:rStyle w:val="Hyperlink"/>
            <w:rFonts w:ascii="Calibri" w:hAnsi="Calibri" w:cs="Calibri"/>
            <w:b/>
            <w:bCs/>
            <w:color w:val="5B518E"/>
          </w:rPr>
          <w:t xml:space="preserve">Healthy Living Pharmacy </w:t>
        </w:r>
        <w:r w:rsidR="0042504B" w:rsidRPr="004646D5">
          <w:rPr>
            <w:rStyle w:val="Hyperlink"/>
            <w:rFonts w:ascii="Calibri" w:hAnsi="Calibri" w:cs="Calibri"/>
            <w:b/>
            <w:bCs/>
            <w:color w:val="5B518E"/>
          </w:rPr>
          <w:t>(HLP)</w:t>
        </w:r>
      </w:hyperlink>
      <w:r w:rsidR="0042504B" w:rsidRPr="003E3B3A">
        <w:rPr>
          <w:rFonts w:ascii="Calibri" w:hAnsi="Calibri" w:cs="Calibri"/>
          <w:color w:val="5B518E"/>
        </w:rPr>
        <w:t xml:space="preserve"> </w:t>
      </w:r>
      <w:r w:rsidRPr="007141D4">
        <w:rPr>
          <w:rFonts w:ascii="Calibri" w:hAnsi="Calibri" w:cs="Calibri"/>
        </w:rPr>
        <w:t xml:space="preserve">status. </w:t>
      </w:r>
      <w:r w:rsidR="0042504B">
        <w:rPr>
          <w:rFonts w:ascii="Calibri" w:hAnsi="Calibri" w:cs="Calibri"/>
        </w:rPr>
        <w:t>HLP</w:t>
      </w:r>
      <w:r w:rsidR="004646D5">
        <w:rPr>
          <w:rFonts w:ascii="Calibri" w:hAnsi="Calibri" w:cs="Calibri"/>
        </w:rPr>
        <w:t>s</w:t>
      </w:r>
      <w:r w:rsidR="0042504B">
        <w:rPr>
          <w:rFonts w:ascii="Calibri" w:hAnsi="Calibri" w:cs="Calibri"/>
        </w:rPr>
        <w:t xml:space="preserve"> </w:t>
      </w:r>
      <w:r w:rsidR="004646D5">
        <w:rPr>
          <w:rFonts w:ascii="Calibri" w:hAnsi="Calibri" w:cs="Calibri"/>
        </w:rPr>
        <w:t>act as</w:t>
      </w:r>
      <w:r w:rsidR="0042504B">
        <w:rPr>
          <w:rFonts w:ascii="Calibri" w:hAnsi="Calibri" w:cs="Calibri"/>
        </w:rPr>
        <w:t xml:space="preserve"> </w:t>
      </w:r>
      <w:r w:rsidRPr="007141D4">
        <w:rPr>
          <w:rFonts w:ascii="Calibri" w:hAnsi="Calibri" w:cs="Calibri"/>
        </w:rPr>
        <w:t xml:space="preserve">local hubs to promote health, wellbeing and </w:t>
      </w:r>
      <w:r w:rsidR="0042504B">
        <w:rPr>
          <w:rFonts w:ascii="Calibri" w:hAnsi="Calibri" w:cs="Calibri"/>
        </w:rPr>
        <w:t>s</w:t>
      </w:r>
      <w:r w:rsidRPr="007141D4">
        <w:rPr>
          <w:rFonts w:ascii="Calibri" w:hAnsi="Calibri" w:cs="Calibri"/>
        </w:rPr>
        <w:t>elf-care and provid</w:t>
      </w:r>
      <w:r w:rsidR="004646D5">
        <w:rPr>
          <w:rFonts w:ascii="Calibri" w:hAnsi="Calibri" w:cs="Calibri"/>
        </w:rPr>
        <w:t>e</w:t>
      </w:r>
      <w:r w:rsidRPr="007141D4">
        <w:rPr>
          <w:rFonts w:ascii="Calibri" w:hAnsi="Calibri" w:cs="Calibri"/>
        </w:rPr>
        <w:t xml:space="preserve"> services to prevent ill-health.</w:t>
      </w:r>
    </w:p>
    <w:p w14:paraId="3EC14309" w14:textId="77777777" w:rsidR="004646D5" w:rsidRDefault="004646D5" w:rsidP="00090A6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087F1158" w14:textId="374CA152" w:rsidR="0042504B" w:rsidRPr="007141D4" w:rsidRDefault="003E3B3A" w:rsidP="00090A6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As well</w:t>
      </w:r>
      <w:r w:rsidR="0042504B">
        <w:rPr>
          <w:rFonts w:ascii="Calibri" w:hAnsi="Calibri" w:cs="Calibri"/>
        </w:rPr>
        <w:t xml:space="preserve"> as the further development of the </w:t>
      </w:r>
      <w:r w:rsidR="004646D5">
        <w:rPr>
          <w:rFonts w:ascii="Calibri" w:hAnsi="Calibri" w:cs="Calibri"/>
        </w:rPr>
        <w:t>Community Pharmacist Consultation S</w:t>
      </w:r>
      <w:r w:rsidR="0042504B">
        <w:rPr>
          <w:rFonts w:ascii="Calibri" w:hAnsi="Calibri" w:cs="Calibri"/>
        </w:rPr>
        <w:t>ervice</w:t>
      </w:r>
      <w:r>
        <w:rPr>
          <w:rFonts w:ascii="Calibri" w:hAnsi="Calibri" w:cs="Calibri"/>
        </w:rPr>
        <w:t xml:space="preserve"> to include referrals from GP practices</w:t>
      </w:r>
      <w:r w:rsidR="0042673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in 2020/21</w:t>
      </w:r>
      <w:r w:rsidR="0042504B">
        <w:rPr>
          <w:rFonts w:ascii="Calibri" w:hAnsi="Calibri" w:cs="Calibri"/>
        </w:rPr>
        <w:t xml:space="preserve"> the NHS wants to pilot</w:t>
      </w:r>
      <w:r>
        <w:rPr>
          <w:rFonts w:ascii="Calibri" w:hAnsi="Calibri" w:cs="Calibri"/>
        </w:rPr>
        <w:t xml:space="preserve"> a </w:t>
      </w:r>
      <w:r w:rsidR="004646D5" w:rsidRPr="004646D5">
        <w:rPr>
          <w:rFonts w:ascii="Calibri" w:hAnsi="Calibri" w:cs="Calibri"/>
          <w:b/>
          <w:bCs/>
          <w:color w:val="5B518E"/>
        </w:rPr>
        <w:t>M</w:t>
      </w:r>
      <w:r w:rsidR="0042504B" w:rsidRPr="0042504B">
        <w:rPr>
          <w:rFonts w:ascii="Calibri" w:hAnsi="Calibri" w:cs="Calibri"/>
          <w:b/>
          <w:bCs/>
          <w:color w:val="5B518E"/>
        </w:rPr>
        <w:t xml:space="preserve">edicines </w:t>
      </w:r>
      <w:r w:rsidR="004646D5">
        <w:rPr>
          <w:rFonts w:ascii="Calibri" w:hAnsi="Calibri" w:cs="Calibri"/>
          <w:b/>
          <w:bCs/>
          <w:color w:val="5B518E"/>
        </w:rPr>
        <w:t>R</w:t>
      </w:r>
      <w:r w:rsidR="0042504B" w:rsidRPr="0042504B">
        <w:rPr>
          <w:rFonts w:ascii="Calibri" w:hAnsi="Calibri" w:cs="Calibri"/>
          <w:b/>
          <w:bCs/>
          <w:color w:val="5B518E"/>
        </w:rPr>
        <w:t xml:space="preserve">econciliation </w:t>
      </w:r>
      <w:r w:rsidR="004646D5">
        <w:rPr>
          <w:rFonts w:ascii="Calibri" w:hAnsi="Calibri" w:cs="Calibri"/>
          <w:b/>
          <w:bCs/>
          <w:color w:val="5B518E"/>
        </w:rPr>
        <w:t>S</w:t>
      </w:r>
      <w:r w:rsidR="0042504B" w:rsidRPr="0042504B">
        <w:rPr>
          <w:rFonts w:ascii="Calibri" w:hAnsi="Calibri" w:cs="Calibri"/>
          <w:b/>
          <w:bCs/>
          <w:color w:val="5B518E"/>
        </w:rPr>
        <w:t>ervice</w:t>
      </w:r>
      <w:r w:rsidRPr="004646D5">
        <w:rPr>
          <w:rFonts w:ascii="Calibri" w:hAnsi="Calibri" w:cs="Calibri"/>
        </w:rPr>
        <w:t>.</w:t>
      </w:r>
      <w:r>
        <w:rPr>
          <w:rFonts w:ascii="Calibri" w:hAnsi="Calibri" w:cs="Calibri"/>
          <w:b/>
          <w:bCs/>
          <w:color w:val="5B518E"/>
        </w:rPr>
        <w:t xml:space="preserve"> </w:t>
      </w:r>
      <w:r w:rsidR="007E0F53">
        <w:rPr>
          <w:rFonts w:ascii="Calibri" w:hAnsi="Calibri" w:cs="Calibri"/>
        </w:rPr>
        <w:t>Following a patient being discharged from hospital, t</w:t>
      </w:r>
      <w:r>
        <w:rPr>
          <w:rFonts w:ascii="Calibri" w:hAnsi="Calibri" w:cs="Calibri"/>
        </w:rPr>
        <w:t>his service</w:t>
      </w:r>
      <w:r w:rsidR="004646D5">
        <w:rPr>
          <w:rFonts w:ascii="Calibri" w:hAnsi="Calibri" w:cs="Calibri"/>
        </w:rPr>
        <w:t xml:space="preserve"> will involve</w:t>
      </w:r>
      <w:r w:rsidR="0042504B" w:rsidRPr="0042504B">
        <w:rPr>
          <w:rFonts w:ascii="Calibri" w:hAnsi="Calibri" w:cs="Calibri"/>
        </w:rPr>
        <w:t xml:space="preserve"> </w:t>
      </w:r>
      <w:r w:rsidR="007E0F53">
        <w:rPr>
          <w:rFonts w:ascii="Calibri" w:hAnsi="Calibri" w:cs="Calibri"/>
        </w:rPr>
        <w:t xml:space="preserve">community pharmacies reconciling the first revised </w:t>
      </w:r>
      <w:r w:rsidR="00E7709F">
        <w:rPr>
          <w:rFonts w:ascii="Calibri" w:hAnsi="Calibri" w:cs="Calibri"/>
        </w:rPr>
        <w:t xml:space="preserve">repeat </w:t>
      </w:r>
      <w:r w:rsidR="007E0F53">
        <w:rPr>
          <w:rFonts w:ascii="Calibri" w:hAnsi="Calibri" w:cs="Calibri"/>
        </w:rPr>
        <w:t>prescription issued in primary care</w:t>
      </w:r>
      <w:r w:rsidR="00E7709F">
        <w:rPr>
          <w:rFonts w:ascii="Calibri" w:hAnsi="Calibri" w:cs="Calibri"/>
        </w:rPr>
        <w:t xml:space="preserve"> with the discharge medicines information provided by the hospital. Where there are discrepancies, these will be discussed with the general practice team</w:t>
      </w:r>
      <w:r w:rsidR="0042504B" w:rsidRPr="0042504B">
        <w:rPr>
          <w:rFonts w:ascii="Calibri" w:hAnsi="Calibri" w:cs="Calibri"/>
        </w:rPr>
        <w:t xml:space="preserve">. </w:t>
      </w:r>
    </w:p>
    <w:p w14:paraId="0D15C22F" w14:textId="5750C178" w:rsidR="00A617CC" w:rsidRDefault="00A617CC" w:rsidP="00090A6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501B0444" w14:textId="77777777" w:rsidR="00DF6254" w:rsidRDefault="00DF6254" w:rsidP="00090A6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58F30750" w14:textId="4A3F0A5A" w:rsidR="00AF1678" w:rsidRPr="007141D4" w:rsidRDefault="007141D4" w:rsidP="00090A6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color w:val="5B518E"/>
          <w:sz w:val="24"/>
          <w:szCs w:val="24"/>
        </w:rPr>
      </w:pPr>
      <w:r>
        <w:rPr>
          <w:rFonts w:ascii="Calibri" w:hAnsi="Calibri" w:cs="Calibri"/>
          <w:b/>
          <w:bCs/>
          <w:color w:val="5B518E"/>
          <w:sz w:val="24"/>
          <w:szCs w:val="24"/>
        </w:rPr>
        <w:t xml:space="preserve">Other future </w:t>
      </w:r>
      <w:r w:rsidR="00E7709F">
        <w:rPr>
          <w:rFonts w:ascii="Calibri" w:hAnsi="Calibri" w:cs="Calibri"/>
          <w:b/>
          <w:bCs/>
          <w:color w:val="5B518E"/>
          <w:sz w:val="24"/>
          <w:szCs w:val="24"/>
        </w:rPr>
        <w:t xml:space="preserve">community </w:t>
      </w:r>
      <w:r>
        <w:rPr>
          <w:rFonts w:ascii="Calibri" w:hAnsi="Calibri" w:cs="Calibri"/>
          <w:b/>
          <w:bCs/>
          <w:color w:val="5B518E"/>
          <w:sz w:val="24"/>
          <w:szCs w:val="24"/>
        </w:rPr>
        <w:t>pharmacy service developments</w:t>
      </w:r>
    </w:p>
    <w:p w14:paraId="3EB1B921" w14:textId="7DB1F612" w:rsidR="008923D5" w:rsidRDefault="0042673F" w:rsidP="00090A6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the future, as p</w:t>
      </w:r>
      <w:r w:rsidR="00D50B82" w:rsidRPr="00D50B82">
        <w:rPr>
          <w:rFonts w:ascii="Calibri" w:hAnsi="Calibri" w:cs="Calibri"/>
        </w:rPr>
        <w:t xml:space="preserve">art of the five-year deal, community pharmacies </w:t>
      </w:r>
      <w:r>
        <w:rPr>
          <w:rFonts w:ascii="Calibri" w:hAnsi="Calibri" w:cs="Calibri"/>
        </w:rPr>
        <w:t>may</w:t>
      </w:r>
      <w:r w:rsidR="00D50B82" w:rsidRPr="00D50B82">
        <w:rPr>
          <w:rFonts w:ascii="Calibri" w:hAnsi="Calibri" w:cs="Calibri"/>
        </w:rPr>
        <w:t xml:space="preserve"> also be able to support the appropriate use of medicines through</w:t>
      </w:r>
      <w:r w:rsidR="003E3B3A">
        <w:rPr>
          <w:rFonts w:ascii="Calibri" w:hAnsi="Calibri" w:cs="Calibri"/>
        </w:rPr>
        <w:t xml:space="preserve"> an </w:t>
      </w:r>
      <w:r w:rsidR="003E3B3A" w:rsidRPr="003E3B3A">
        <w:rPr>
          <w:rFonts w:ascii="Calibri" w:hAnsi="Calibri" w:cs="Calibri"/>
        </w:rPr>
        <w:t>e</w:t>
      </w:r>
      <w:r w:rsidR="00D50B82" w:rsidRPr="003E3B3A">
        <w:rPr>
          <w:rFonts w:ascii="Calibri" w:hAnsi="Calibri" w:cs="Calibri"/>
        </w:rPr>
        <w:t>xpansion of the</w:t>
      </w:r>
      <w:r w:rsidR="00D50B82" w:rsidRPr="003E3B3A">
        <w:rPr>
          <w:rFonts w:ascii="Calibri" w:hAnsi="Calibri" w:cs="Calibri"/>
          <w:b/>
          <w:bCs/>
        </w:rPr>
        <w:t xml:space="preserve"> </w:t>
      </w:r>
      <w:hyperlink r:id="rId14" w:history="1">
        <w:r w:rsidR="00D50B82" w:rsidRPr="00E7709F">
          <w:rPr>
            <w:rStyle w:val="Hyperlink"/>
            <w:rFonts w:ascii="Calibri" w:hAnsi="Calibri" w:cs="Calibri"/>
            <w:b/>
            <w:bCs/>
            <w:color w:val="5B518E"/>
          </w:rPr>
          <w:t>New Medicine Service (NMS</w:t>
        </w:r>
        <w:r w:rsidRPr="00E7709F">
          <w:rPr>
            <w:rStyle w:val="Hyperlink"/>
            <w:rFonts w:ascii="Calibri" w:hAnsi="Calibri" w:cs="Calibri"/>
            <w:b/>
            <w:bCs/>
            <w:color w:val="5B518E"/>
          </w:rPr>
          <w:t>)</w:t>
        </w:r>
      </w:hyperlink>
      <w:r>
        <w:rPr>
          <w:rFonts w:ascii="Calibri" w:hAnsi="Calibri" w:cs="Calibri"/>
          <w:b/>
          <w:bCs/>
          <w:color w:val="5B518E"/>
        </w:rPr>
        <w:t xml:space="preserve"> </w:t>
      </w:r>
      <w:r w:rsidRPr="0042673F">
        <w:rPr>
          <w:rFonts w:ascii="Calibri" w:hAnsi="Calibri" w:cs="Calibri"/>
        </w:rPr>
        <w:t>to other conditions</w:t>
      </w:r>
      <w:r w:rsidR="00D50B82" w:rsidRPr="0042673F">
        <w:rPr>
          <w:rFonts w:ascii="Calibri" w:hAnsi="Calibri" w:cs="Calibri"/>
        </w:rPr>
        <w:t xml:space="preserve">. </w:t>
      </w:r>
      <w:r w:rsidR="00D50B82" w:rsidRPr="00D50B82">
        <w:rPr>
          <w:rFonts w:ascii="Calibri" w:hAnsi="Calibri" w:cs="Calibri"/>
        </w:rPr>
        <w:t xml:space="preserve">In addition, the NHS </w:t>
      </w:r>
      <w:r w:rsidR="007141D4">
        <w:rPr>
          <w:rFonts w:ascii="Calibri" w:hAnsi="Calibri" w:cs="Calibri"/>
        </w:rPr>
        <w:t>will use the national Pharmacy Integration Fund to</w:t>
      </w:r>
      <w:r w:rsidR="00D50B82" w:rsidRPr="00D50B82">
        <w:rPr>
          <w:rFonts w:ascii="Calibri" w:hAnsi="Calibri" w:cs="Calibri"/>
        </w:rPr>
        <w:t xml:space="preserve"> pilot services </w:t>
      </w:r>
      <w:r>
        <w:rPr>
          <w:rFonts w:ascii="Calibri" w:hAnsi="Calibri" w:cs="Calibri"/>
        </w:rPr>
        <w:t xml:space="preserve">for potential </w:t>
      </w:r>
      <w:r w:rsidR="00D50B82" w:rsidRPr="00D50B82">
        <w:rPr>
          <w:rFonts w:ascii="Calibri" w:hAnsi="Calibri" w:cs="Calibri"/>
        </w:rPr>
        <w:t>roll out</w:t>
      </w:r>
      <w:r>
        <w:rPr>
          <w:rFonts w:ascii="Calibri" w:hAnsi="Calibri" w:cs="Calibri"/>
        </w:rPr>
        <w:t>. These include:</w:t>
      </w:r>
    </w:p>
    <w:p w14:paraId="3FA77F1F" w14:textId="77777777" w:rsidR="0042673F" w:rsidRDefault="0042673F" w:rsidP="00090A6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54BB95AD" w14:textId="44B65F57" w:rsidR="00D50B82" w:rsidRPr="00D50B82" w:rsidRDefault="00D50B82" w:rsidP="00090A6B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D50B82">
        <w:rPr>
          <w:rFonts w:ascii="Calibri" w:hAnsi="Calibri" w:cs="Calibri"/>
        </w:rPr>
        <w:t>A model for detecting undiagnosed cardiovascular disease</w:t>
      </w:r>
      <w:r w:rsidR="00E7709F">
        <w:rPr>
          <w:rFonts w:ascii="Calibri" w:hAnsi="Calibri" w:cs="Calibri"/>
        </w:rPr>
        <w:t xml:space="preserve">, which will support the </w:t>
      </w:r>
      <w:r w:rsidR="00E52809">
        <w:rPr>
          <w:rFonts w:ascii="Calibri" w:hAnsi="Calibri" w:cs="Calibri"/>
        </w:rPr>
        <w:t>CVD prevention and diagnosis service to be provided across PCNs</w:t>
      </w:r>
      <w:r w:rsidR="008B031B">
        <w:rPr>
          <w:rFonts w:ascii="Calibri" w:hAnsi="Calibri" w:cs="Calibri"/>
        </w:rPr>
        <w:t xml:space="preserve"> from April 2021</w:t>
      </w:r>
      <w:r w:rsidRPr="00D50B82">
        <w:rPr>
          <w:rFonts w:ascii="Calibri" w:hAnsi="Calibri" w:cs="Calibri"/>
        </w:rPr>
        <w:t xml:space="preserve">; </w:t>
      </w:r>
    </w:p>
    <w:p w14:paraId="3B69E417" w14:textId="5DC1558F" w:rsidR="00D50B82" w:rsidRPr="00D50B82" w:rsidRDefault="00D50B82" w:rsidP="00090A6B">
      <w:pPr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D50B82">
        <w:rPr>
          <w:rFonts w:ascii="Calibri" w:hAnsi="Calibri" w:cs="Calibri"/>
        </w:rPr>
        <w:t>Stop smoking referrals from secondary care to community pharmacy</w:t>
      </w:r>
      <w:r w:rsidR="00E52809">
        <w:rPr>
          <w:rFonts w:ascii="Calibri" w:hAnsi="Calibri" w:cs="Calibri"/>
        </w:rPr>
        <w:t>, following patients</w:t>
      </w:r>
      <w:r w:rsidR="008B031B">
        <w:rPr>
          <w:rFonts w:ascii="Calibri" w:hAnsi="Calibri" w:cs="Calibri"/>
        </w:rPr>
        <w:t>’</w:t>
      </w:r>
      <w:r w:rsidR="00E52809">
        <w:rPr>
          <w:rFonts w:ascii="Calibri" w:hAnsi="Calibri" w:cs="Calibri"/>
        </w:rPr>
        <w:t xml:space="preserve"> discharge from hospital</w:t>
      </w:r>
      <w:r w:rsidRPr="00D50B82">
        <w:rPr>
          <w:rFonts w:ascii="Calibri" w:hAnsi="Calibri" w:cs="Calibri"/>
        </w:rPr>
        <w:t xml:space="preserve">; </w:t>
      </w:r>
    </w:p>
    <w:p w14:paraId="686022D1" w14:textId="6D5859D7" w:rsidR="00D50B82" w:rsidRPr="00D50B82" w:rsidRDefault="00D50B82" w:rsidP="00090A6B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D50B82">
        <w:rPr>
          <w:rFonts w:ascii="Calibri" w:hAnsi="Calibri" w:cs="Calibri"/>
        </w:rPr>
        <w:t xml:space="preserve">Use of point of care testing around minor illnesses </w:t>
      </w:r>
      <w:r w:rsidR="0042673F">
        <w:rPr>
          <w:rFonts w:ascii="Calibri" w:hAnsi="Calibri" w:cs="Calibri"/>
        </w:rPr>
        <w:t xml:space="preserve">to </w:t>
      </w:r>
      <w:r w:rsidRPr="00D50B82">
        <w:rPr>
          <w:rFonts w:ascii="Calibri" w:hAnsi="Calibri" w:cs="Calibri"/>
        </w:rPr>
        <w:t>support efforts to tackle antimicrobial resistance;</w:t>
      </w:r>
    </w:p>
    <w:p w14:paraId="4B248B4F" w14:textId="20EEB837" w:rsidR="00D50B82" w:rsidRPr="00D50B82" w:rsidRDefault="00D50B82" w:rsidP="00090A6B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D50B82">
        <w:rPr>
          <w:rFonts w:ascii="Calibri" w:hAnsi="Calibri" w:cs="Calibri"/>
        </w:rPr>
        <w:t>Routine monitoring of patients</w:t>
      </w:r>
      <w:r w:rsidR="00E52809">
        <w:rPr>
          <w:rFonts w:ascii="Calibri" w:hAnsi="Calibri" w:cs="Calibri"/>
        </w:rPr>
        <w:t>, in collaboration with general practice</w:t>
      </w:r>
      <w:r w:rsidRPr="00D50B82">
        <w:rPr>
          <w:rFonts w:ascii="Calibri" w:hAnsi="Calibri" w:cs="Calibri"/>
        </w:rPr>
        <w:t xml:space="preserve">, for example, those taking oral contraception, under an electronic repeat dispensing arrangement; </w:t>
      </w:r>
    </w:p>
    <w:p w14:paraId="5401384E" w14:textId="24E24C6C" w:rsidR="00D50B82" w:rsidRDefault="00D50B82" w:rsidP="00090A6B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D50B82">
        <w:rPr>
          <w:rFonts w:ascii="Calibri" w:hAnsi="Calibri" w:cs="Calibri"/>
        </w:rPr>
        <w:t xml:space="preserve">Activity to support </w:t>
      </w:r>
      <w:r w:rsidR="0042673F">
        <w:rPr>
          <w:rFonts w:ascii="Calibri" w:hAnsi="Calibri" w:cs="Calibri"/>
        </w:rPr>
        <w:t xml:space="preserve">PCN </w:t>
      </w:r>
      <w:r w:rsidRPr="00D50B82">
        <w:rPr>
          <w:rFonts w:ascii="Calibri" w:hAnsi="Calibri" w:cs="Calibri"/>
        </w:rPr>
        <w:t>priorities such as early cancer diagnosis and tackling health inequalities</w:t>
      </w:r>
      <w:r w:rsidR="008923D5">
        <w:rPr>
          <w:rFonts w:ascii="Calibri" w:hAnsi="Calibri" w:cs="Calibri"/>
        </w:rPr>
        <w:t xml:space="preserve">; and </w:t>
      </w:r>
    </w:p>
    <w:p w14:paraId="35182772" w14:textId="4FAD513D" w:rsidR="008923D5" w:rsidRDefault="008923D5" w:rsidP="00090A6B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service to improve access to palliative care medicines.</w:t>
      </w:r>
    </w:p>
    <w:p w14:paraId="76B1A954" w14:textId="77777777" w:rsidR="002108A3" w:rsidRDefault="002108A3" w:rsidP="002108A3">
      <w:pPr>
        <w:spacing w:line="252" w:lineRule="auto"/>
        <w:jc w:val="both"/>
        <w:rPr>
          <w:rFonts w:ascii="Calibri" w:hAnsi="Calibri" w:cs="Calibri"/>
          <w:bCs/>
        </w:rPr>
      </w:pPr>
    </w:p>
    <w:p w14:paraId="65BE5EF8" w14:textId="4FCED597" w:rsidR="002108A3" w:rsidRPr="002108A3" w:rsidRDefault="002108A3" w:rsidP="002108A3">
      <w:pPr>
        <w:spacing w:line="252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See f</w:t>
      </w:r>
      <w:r w:rsidRPr="003E3B3A">
        <w:rPr>
          <w:rFonts w:ascii="Calibri" w:hAnsi="Calibri" w:cs="Calibri"/>
          <w:bCs/>
        </w:rPr>
        <w:t xml:space="preserve">urther details on the timing of </w:t>
      </w:r>
      <w:r w:rsidR="00E52809">
        <w:rPr>
          <w:rFonts w:ascii="Calibri" w:hAnsi="Calibri" w:cs="Calibri"/>
          <w:bCs/>
        </w:rPr>
        <w:t xml:space="preserve">the </w:t>
      </w:r>
      <w:r w:rsidRPr="003E3B3A">
        <w:rPr>
          <w:rFonts w:ascii="Calibri" w:hAnsi="Calibri" w:cs="Calibri"/>
          <w:bCs/>
        </w:rPr>
        <w:t>pilots and planned service roll outs</w:t>
      </w:r>
      <w:r w:rsidR="00E52809">
        <w:rPr>
          <w:rFonts w:ascii="Calibri" w:hAnsi="Calibri" w:cs="Calibri"/>
          <w:bCs/>
        </w:rPr>
        <w:t xml:space="preserve"> in the</w:t>
      </w:r>
      <w:r>
        <w:rPr>
          <w:rFonts w:ascii="Calibri" w:hAnsi="Calibri" w:cs="Calibri"/>
          <w:bCs/>
        </w:rPr>
        <w:t xml:space="preserve"> </w:t>
      </w:r>
      <w:hyperlink r:id="rId15" w:history="1">
        <w:r w:rsidRPr="003E3B3A">
          <w:rPr>
            <w:rStyle w:val="Hyperlink"/>
            <w:rFonts w:ascii="Calibri" w:hAnsi="Calibri" w:cs="Calibri"/>
            <w:b/>
            <w:color w:val="5B518E"/>
          </w:rPr>
          <w:t>PSNC CPCF service development grid</w:t>
        </w:r>
        <w:r w:rsidRPr="00E52809">
          <w:rPr>
            <w:rStyle w:val="Hyperlink"/>
            <w:rFonts w:ascii="Calibri" w:hAnsi="Calibri" w:cs="Calibri"/>
            <w:bCs/>
            <w:color w:val="5B518E"/>
            <w:u w:val="none"/>
          </w:rPr>
          <w:t>.</w:t>
        </w:r>
      </w:hyperlink>
    </w:p>
    <w:p w14:paraId="202CCDFA" w14:textId="2475265B" w:rsidR="003E3B3A" w:rsidRDefault="003E3B3A" w:rsidP="00090A6B">
      <w:pPr>
        <w:spacing w:line="240" w:lineRule="auto"/>
        <w:jc w:val="both"/>
        <w:rPr>
          <w:rFonts w:ascii="Calibri" w:hAnsi="Calibri" w:cs="Calibri"/>
          <w:bCs/>
        </w:rPr>
      </w:pPr>
    </w:p>
    <w:p w14:paraId="3D4D3E03" w14:textId="3F951B92" w:rsidR="00DF6254" w:rsidRDefault="00DF6254" w:rsidP="00090A6B">
      <w:pPr>
        <w:spacing w:line="240" w:lineRule="auto"/>
        <w:jc w:val="both"/>
        <w:rPr>
          <w:rFonts w:ascii="Calibri" w:hAnsi="Calibri" w:cs="Calibri"/>
          <w:bCs/>
        </w:rPr>
      </w:pPr>
    </w:p>
    <w:p w14:paraId="564F8CB9" w14:textId="44D6897F" w:rsidR="00DF6254" w:rsidRDefault="00DF6254" w:rsidP="00090A6B">
      <w:pPr>
        <w:spacing w:line="240" w:lineRule="auto"/>
        <w:jc w:val="both"/>
        <w:rPr>
          <w:rFonts w:ascii="Calibri" w:hAnsi="Calibri" w:cs="Calibri"/>
          <w:bCs/>
        </w:rPr>
      </w:pPr>
    </w:p>
    <w:p w14:paraId="7565A360" w14:textId="77777777" w:rsidR="00DF6254" w:rsidRDefault="00DF6254" w:rsidP="00090A6B">
      <w:pPr>
        <w:spacing w:line="240" w:lineRule="auto"/>
        <w:jc w:val="both"/>
        <w:rPr>
          <w:rFonts w:ascii="Calibri" w:hAnsi="Calibri" w:cs="Calibri"/>
          <w:bCs/>
        </w:rPr>
      </w:pPr>
    </w:p>
    <w:p w14:paraId="6D012167" w14:textId="31A5C32B" w:rsidR="0055528E" w:rsidRPr="0091260D" w:rsidRDefault="00A617CC" w:rsidP="00090A6B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color w:val="5B518E"/>
          <w:sz w:val="24"/>
          <w:szCs w:val="24"/>
        </w:rPr>
        <w:lastRenderedPageBreak/>
        <w:t>Funding and structural changes</w:t>
      </w:r>
      <w:r w:rsidRPr="00A617CC">
        <w:rPr>
          <w:rFonts w:ascii="Calibri" w:hAnsi="Calibri" w:cs="Calibri"/>
          <w:b/>
          <w:bCs/>
          <w:color w:val="5B518E"/>
          <w:sz w:val="24"/>
          <w:szCs w:val="24"/>
        </w:rPr>
        <w:t xml:space="preserve"> </w:t>
      </w:r>
    </w:p>
    <w:p w14:paraId="6F055758" w14:textId="4F0F3571" w:rsidR="009A1430" w:rsidRDefault="005C69B6" w:rsidP="00090A6B">
      <w:pPr>
        <w:spacing w:line="240" w:lineRule="auto"/>
        <w:jc w:val="both"/>
        <w:rPr>
          <w:rFonts w:asciiTheme="minorHAnsi" w:eastAsiaTheme="minorHAnsi" w:hAnsiTheme="minorHAnsi" w:cstheme="minorHAnsi"/>
          <w:lang w:eastAsia="en-GB"/>
        </w:rPr>
      </w:pPr>
      <w:r>
        <w:rPr>
          <w:rStyle w:val="normaltextrun"/>
          <w:rFonts w:asciiTheme="minorHAnsi" w:hAnsiTheme="minorHAnsi" w:cstheme="minorHAnsi"/>
        </w:rPr>
        <w:t>Total pharmacy f</w:t>
      </w:r>
      <w:r w:rsidR="00CA234E" w:rsidRPr="0055528E">
        <w:rPr>
          <w:rStyle w:val="normaltextrun"/>
          <w:rFonts w:asciiTheme="minorHAnsi" w:hAnsiTheme="minorHAnsi" w:cstheme="minorHAnsi"/>
        </w:rPr>
        <w:t xml:space="preserve">unding </w:t>
      </w:r>
      <w:r>
        <w:rPr>
          <w:rStyle w:val="normaltextrun"/>
          <w:rFonts w:asciiTheme="minorHAnsi" w:hAnsiTheme="minorHAnsi" w:cstheme="minorHAnsi"/>
        </w:rPr>
        <w:t>under</w:t>
      </w:r>
      <w:r w:rsidR="00CA234E" w:rsidRPr="0055528E">
        <w:rPr>
          <w:rStyle w:val="normaltextrun"/>
          <w:rFonts w:asciiTheme="minorHAnsi" w:hAnsiTheme="minorHAnsi" w:cstheme="minorHAnsi"/>
        </w:rPr>
        <w:t xml:space="preserve"> the five-year deal</w:t>
      </w:r>
      <w:r w:rsidR="00904CBC" w:rsidRPr="0055528E">
        <w:rPr>
          <w:rStyle w:val="normaltextrun"/>
          <w:rFonts w:asciiTheme="minorHAnsi" w:hAnsiTheme="minorHAnsi" w:cstheme="minorHAnsi"/>
        </w:rPr>
        <w:t xml:space="preserve"> </w:t>
      </w:r>
      <w:r w:rsidR="002A31C2" w:rsidRPr="0055528E">
        <w:rPr>
          <w:rStyle w:val="normaltextrun"/>
          <w:rFonts w:asciiTheme="minorHAnsi" w:hAnsiTheme="minorHAnsi" w:cstheme="minorHAnsi"/>
        </w:rPr>
        <w:t>has been fixed</w:t>
      </w:r>
      <w:r w:rsidR="00CA234E" w:rsidRPr="0055528E">
        <w:rPr>
          <w:rStyle w:val="normaltextrun"/>
          <w:rFonts w:asciiTheme="minorHAnsi" w:hAnsiTheme="minorHAnsi" w:cstheme="minorHAnsi"/>
        </w:rPr>
        <w:t xml:space="preserve"> at £2.592bn per year</w:t>
      </w:r>
      <w:r w:rsidR="007141D4" w:rsidRPr="0055528E">
        <w:rPr>
          <w:rStyle w:val="normaltextrun"/>
          <w:rFonts w:asciiTheme="minorHAnsi" w:hAnsiTheme="minorHAnsi" w:cstheme="minorHAnsi"/>
        </w:rPr>
        <w:t xml:space="preserve">. Although this </w:t>
      </w:r>
      <w:r w:rsidR="00904CBC" w:rsidRPr="0055528E">
        <w:rPr>
          <w:rStyle w:val="normaltextrun"/>
          <w:rFonts w:asciiTheme="minorHAnsi" w:hAnsiTheme="minorHAnsi" w:cstheme="minorHAnsi"/>
        </w:rPr>
        <w:t>provid</w:t>
      </w:r>
      <w:r w:rsidR="007141D4" w:rsidRPr="0055528E">
        <w:rPr>
          <w:rStyle w:val="normaltextrun"/>
          <w:rFonts w:asciiTheme="minorHAnsi" w:hAnsiTheme="minorHAnsi" w:cstheme="minorHAnsi"/>
        </w:rPr>
        <w:t>es</w:t>
      </w:r>
      <w:r w:rsidR="00904CBC" w:rsidRPr="0055528E">
        <w:rPr>
          <w:rStyle w:val="normaltextrun"/>
          <w:rFonts w:asciiTheme="minorHAnsi" w:hAnsiTheme="minorHAnsi" w:cstheme="minorHAnsi"/>
        </w:rPr>
        <w:t xml:space="preserve"> a </w:t>
      </w:r>
      <w:r w:rsidR="001D005F">
        <w:rPr>
          <w:rStyle w:val="normaltextrun"/>
          <w:rFonts w:asciiTheme="minorHAnsi" w:hAnsiTheme="minorHAnsi" w:cstheme="minorHAnsi"/>
        </w:rPr>
        <w:t xml:space="preserve">welcome </w:t>
      </w:r>
      <w:r w:rsidR="00904CBC" w:rsidRPr="0055528E">
        <w:rPr>
          <w:rStyle w:val="normaltextrun"/>
          <w:rFonts w:asciiTheme="minorHAnsi" w:hAnsiTheme="minorHAnsi" w:cstheme="minorHAnsi"/>
        </w:rPr>
        <w:t>guarantee for community pharmacy contractors</w:t>
      </w:r>
      <w:r w:rsidR="007141D4" w:rsidRPr="0055528E">
        <w:rPr>
          <w:rStyle w:val="normaltextrun"/>
          <w:rFonts w:asciiTheme="minorHAnsi" w:hAnsiTheme="minorHAnsi" w:cstheme="minorHAnsi"/>
        </w:rPr>
        <w:t>, it will be very challenging for many pharmacies</w:t>
      </w:r>
      <w:r w:rsidR="009A1430">
        <w:rPr>
          <w:rStyle w:val="normaltextrun"/>
          <w:rFonts w:asciiTheme="minorHAnsi" w:hAnsiTheme="minorHAnsi" w:cstheme="minorHAnsi"/>
        </w:rPr>
        <w:t xml:space="preserve"> to</w:t>
      </w:r>
      <w:r w:rsidR="007141D4" w:rsidRPr="0055528E">
        <w:rPr>
          <w:rStyle w:val="normaltextrun"/>
          <w:rFonts w:asciiTheme="minorHAnsi" w:hAnsiTheme="minorHAnsi" w:cstheme="minorHAnsi"/>
        </w:rPr>
        <w:t xml:space="preserve"> change working practices and to deliver the range of new services required of them</w:t>
      </w:r>
      <w:r w:rsidR="009A1430">
        <w:rPr>
          <w:rStyle w:val="normaltextrun"/>
          <w:rFonts w:asciiTheme="minorHAnsi" w:hAnsiTheme="minorHAnsi" w:cstheme="minorHAnsi"/>
        </w:rPr>
        <w:t xml:space="preserve">. </w:t>
      </w:r>
      <w:r w:rsidR="00B5623B" w:rsidRPr="00B5623B">
        <w:rPr>
          <w:rFonts w:asciiTheme="minorHAnsi" w:eastAsiaTheme="minorHAnsi" w:hAnsiTheme="minorHAnsi" w:cstheme="minorHAnsi"/>
          <w:lang w:eastAsia="en-GB"/>
        </w:rPr>
        <w:t xml:space="preserve">Community pharmacies receive most of their funding from the NHS </w:t>
      </w:r>
      <w:r w:rsidR="009A1430">
        <w:rPr>
          <w:rFonts w:asciiTheme="minorHAnsi" w:hAnsiTheme="minorHAnsi" w:cstheme="minorHAnsi"/>
        </w:rPr>
        <w:t xml:space="preserve">and </w:t>
      </w:r>
      <w:r w:rsidR="001D005F">
        <w:rPr>
          <w:rFonts w:asciiTheme="minorHAnsi" w:hAnsiTheme="minorHAnsi" w:cstheme="minorHAnsi"/>
        </w:rPr>
        <w:t>many are already under</w:t>
      </w:r>
      <w:r w:rsidR="00B5623B" w:rsidRPr="00B5623B">
        <w:rPr>
          <w:rFonts w:asciiTheme="minorHAnsi" w:eastAsiaTheme="minorHAnsi" w:hAnsiTheme="minorHAnsi" w:cstheme="minorHAnsi"/>
          <w:lang w:eastAsia="en-GB"/>
        </w:rPr>
        <w:t xml:space="preserve"> huge </w:t>
      </w:r>
      <w:r w:rsidR="001D005F">
        <w:rPr>
          <w:rFonts w:asciiTheme="minorHAnsi" w:eastAsiaTheme="minorHAnsi" w:hAnsiTheme="minorHAnsi" w:cstheme="minorHAnsi"/>
          <w:lang w:eastAsia="en-GB"/>
        </w:rPr>
        <w:t xml:space="preserve">financial </w:t>
      </w:r>
      <w:r w:rsidR="00B5623B" w:rsidRPr="00B5623B">
        <w:rPr>
          <w:rFonts w:asciiTheme="minorHAnsi" w:eastAsiaTheme="minorHAnsi" w:hAnsiTheme="minorHAnsi" w:cstheme="minorHAnsi"/>
          <w:lang w:eastAsia="en-GB"/>
        </w:rPr>
        <w:t>stress.</w:t>
      </w:r>
    </w:p>
    <w:p w14:paraId="158220D2" w14:textId="77777777" w:rsidR="0058211E" w:rsidRPr="009A1430" w:rsidRDefault="0058211E" w:rsidP="00090A6B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14:paraId="03F8BC51" w14:textId="646CA9DE" w:rsidR="003E3B3A" w:rsidRPr="003E3B3A" w:rsidRDefault="003E3B3A" w:rsidP="00090A6B">
      <w:pPr>
        <w:spacing w:line="240" w:lineRule="auto"/>
        <w:jc w:val="both"/>
        <w:textAlignment w:val="baseline"/>
        <w:rPr>
          <w:rFonts w:ascii="Calibri" w:eastAsia="Times New Roman" w:hAnsi="Calibri" w:cs="Calibri"/>
          <w:lang w:eastAsia="en-GB"/>
        </w:rPr>
      </w:pPr>
      <w:r w:rsidRPr="003E3B3A">
        <w:rPr>
          <w:rFonts w:ascii="Calibri" w:eastAsia="Times New Roman" w:hAnsi="Calibri" w:cs="Calibri"/>
          <w:lang w:eastAsia="en-GB"/>
        </w:rPr>
        <w:t>Government is committed to ensuring that technology can transform the supply of medicines and the delivery of pharmacy</w:t>
      </w:r>
      <w:r w:rsidR="001D005F">
        <w:rPr>
          <w:rFonts w:ascii="Calibri" w:eastAsia="Times New Roman" w:hAnsi="Calibri" w:cs="Calibri"/>
          <w:lang w:eastAsia="en-GB"/>
        </w:rPr>
        <w:t xml:space="preserve"> services, and </w:t>
      </w:r>
      <w:r w:rsidR="006D4D72">
        <w:rPr>
          <w:rFonts w:ascii="Calibri" w:eastAsia="Times New Roman" w:hAnsi="Calibri" w:cs="Calibri"/>
          <w:lang w:eastAsia="en-GB"/>
        </w:rPr>
        <w:t xml:space="preserve">further </w:t>
      </w:r>
      <w:r w:rsidR="001D005F">
        <w:rPr>
          <w:rFonts w:ascii="Calibri" w:eastAsia="Times New Roman" w:hAnsi="Calibri" w:cs="Calibri"/>
          <w:lang w:eastAsia="en-GB"/>
        </w:rPr>
        <w:t>discussions will be taking place on this.</w:t>
      </w:r>
      <w:r w:rsidRPr="003E3B3A">
        <w:rPr>
          <w:rFonts w:ascii="Calibri" w:eastAsia="Times New Roman" w:hAnsi="Calibri" w:cs="Calibri"/>
          <w:lang w:eastAsia="en-GB"/>
        </w:rPr>
        <w:t xml:space="preserve"> </w:t>
      </w:r>
      <w:r w:rsidR="001D005F">
        <w:rPr>
          <w:rFonts w:ascii="Calibri" w:eastAsia="Times New Roman" w:hAnsi="Calibri" w:cs="Calibri"/>
          <w:lang w:eastAsia="en-GB"/>
        </w:rPr>
        <w:t xml:space="preserve">This will include exploring </w:t>
      </w:r>
      <w:r w:rsidRPr="003E3B3A">
        <w:rPr>
          <w:rFonts w:ascii="Calibri" w:eastAsia="Times New Roman" w:hAnsi="Calibri" w:cs="Calibri"/>
          <w:lang w:eastAsia="en-GB"/>
        </w:rPr>
        <w:t>ways to make dispensing more efficient</w:t>
      </w:r>
      <w:r w:rsidR="001D005F">
        <w:rPr>
          <w:rFonts w:ascii="Calibri" w:eastAsia="Times New Roman" w:hAnsi="Calibri" w:cs="Calibri"/>
          <w:lang w:eastAsia="en-GB"/>
        </w:rPr>
        <w:t xml:space="preserve"> and</w:t>
      </w:r>
      <w:r w:rsidRPr="003E3B3A">
        <w:rPr>
          <w:rFonts w:ascii="Calibri" w:eastAsia="Times New Roman" w:hAnsi="Calibri" w:cs="Calibri"/>
          <w:lang w:eastAsia="en-GB"/>
        </w:rPr>
        <w:t xml:space="preserve"> to free up pharmacist and pharmacy team time and capacity</w:t>
      </w:r>
      <w:r w:rsidR="005C69B6">
        <w:rPr>
          <w:rFonts w:ascii="Calibri" w:eastAsia="Times New Roman" w:hAnsi="Calibri" w:cs="Calibri"/>
          <w:lang w:eastAsia="en-GB"/>
        </w:rPr>
        <w:t xml:space="preserve">, covering: </w:t>
      </w:r>
    </w:p>
    <w:p w14:paraId="6E754C42" w14:textId="541D91CA" w:rsidR="003E3B3A" w:rsidRPr="003E3B3A" w:rsidRDefault="003E3B3A" w:rsidP="00090A6B">
      <w:pPr>
        <w:spacing w:line="240" w:lineRule="auto"/>
        <w:jc w:val="both"/>
        <w:textAlignment w:val="baseline"/>
        <w:rPr>
          <w:rFonts w:ascii="Calibri" w:eastAsia="Times New Roman" w:hAnsi="Calibri" w:cs="Calibri"/>
          <w:lang w:eastAsia="en-GB"/>
        </w:rPr>
      </w:pPr>
    </w:p>
    <w:p w14:paraId="05C6112B" w14:textId="71F05218" w:rsidR="001D005F" w:rsidRPr="001D005F" w:rsidRDefault="003E3B3A" w:rsidP="006D4D72">
      <w:pPr>
        <w:pStyle w:val="ListParagraph"/>
        <w:numPr>
          <w:ilvl w:val="1"/>
          <w:numId w:val="18"/>
        </w:numPr>
        <w:spacing w:line="240" w:lineRule="auto"/>
        <w:ind w:left="851"/>
        <w:contextualSpacing w:val="0"/>
        <w:jc w:val="both"/>
        <w:textAlignment w:val="baseline"/>
        <w:rPr>
          <w:rFonts w:ascii="Calibri" w:eastAsia="Times New Roman" w:hAnsi="Calibri" w:cs="Calibri"/>
          <w:lang w:eastAsia="en-GB"/>
        </w:rPr>
      </w:pPr>
      <w:r w:rsidRPr="001D005F">
        <w:rPr>
          <w:rFonts w:ascii="Calibri" w:eastAsia="Times New Roman" w:hAnsi="Calibri" w:cs="Calibri"/>
          <w:lang w:eastAsia="en-GB"/>
        </w:rPr>
        <w:t xml:space="preserve">Legislative changes to allow all pharmacies to benefit fairly from hub and spoke dispensing and increased use of automation; </w:t>
      </w:r>
    </w:p>
    <w:p w14:paraId="380F77B9" w14:textId="3F851CC2" w:rsidR="001D005F" w:rsidRPr="001D005F" w:rsidRDefault="003E3B3A" w:rsidP="006D4D72">
      <w:pPr>
        <w:pStyle w:val="ListParagraph"/>
        <w:numPr>
          <w:ilvl w:val="1"/>
          <w:numId w:val="18"/>
        </w:numPr>
        <w:spacing w:line="240" w:lineRule="auto"/>
        <w:ind w:left="851"/>
        <w:contextualSpacing w:val="0"/>
        <w:jc w:val="both"/>
        <w:textAlignment w:val="baseline"/>
        <w:rPr>
          <w:rFonts w:ascii="Calibri" w:eastAsia="Times New Roman" w:hAnsi="Calibri" w:cs="Calibri"/>
          <w:lang w:eastAsia="en-GB"/>
        </w:rPr>
      </w:pPr>
      <w:r w:rsidRPr="001D005F">
        <w:rPr>
          <w:rFonts w:ascii="Calibri" w:eastAsia="Times New Roman" w:hAnsi="Calibri" w:cs="Calibri"/>
          <w:lang w:eastAsia="en-GB"/>
        </w:rPr>
        <w:t xml:space="preserve">Use of original pack dispensing to support efficient automation; </w:t>
      </w:r>
    </w:p>
    <w:p w14:paraId="3671D0B7" w14:textId="0ACECC2F" w:rsidR="001D005F" w:rsidRPr="005C69B6" w:rsidRDefault="003E3B3A" w:rsidP="006D4D72">
      <w:pPr>
        <w:pStyle w:val="ListParagraph"/>
        <w:numPr>
          <w:ilvl w:val="1"/>
          <w:numId w:val="18"/>
        </w:numPr>
        <w:spacing w:line="240" w:lineRule="auto"/>
        <w:ind w:left="851"/>
        <w:contextualSpacing w:val="0"/>
        <w:jc w:val="both"/>
        <w:textAlignment w:val="baseline"/>
        <w:rPr>
          <w:rFonts w:ascii="Calibri" w:eastAsia="Times New Roman" w:hAnsi="Calibri" w:cs="Calibri"/>
          <w:lang w:eastAsia="en-GB"/>
        </w:rPr>
      </w:pPr>
      <w:r w:rsidRPr="001D005F">
        <w:rPr>
          <w:rFonts w:ascii="Calibri" w:eastAsia="Times New Roman" w:hAnsi="Calibri" w:cs="Calibri"/>
          <w:lang w:eastAsia="en-GB"/>
        </w:rPr>
        <w:t xml:space="preserve">Legislative changes to allow for better use of the skill mix in pharmacies; </w:t>
      </w:r>
      <w:r w:rsidRPr="005C69B6">
        <w:rPr>
          <w:rFonts w:ascii="Calibri" w:eastAsia="Times New Roman" w:hAnsi="Calibri" w:cs="Calibri"/>
          <w:lang w:eastAsia="en-GB"/>
        </w:rPr>
        <w:t xml:space="preserve"> </w:t>
      </w:r>
    </w:p>
    <w:p w14:paraId="42201517" w14:textId="0961DCED" w:rsidR="001D005F" w:rsidRPr="001D005F" w:rsidRDefault="003E3B3A" w:rsidP="006D4D72">
      <w:pPr>
        <w:pStyle w:val="ListParagraph"/>
        <w:numPr>
          <w:ilvl w:val="1"/>
          <w:numId w:val="18"/>
        </w:numPr>
        <w:spacing w:line="240" w:lineRule="auto"/>
        <w:ind w:left="851"/>
        <w:contextualSpacing w:val="0"/>
        <w:jc w:val="both"/>
        <w:textAlignment w:val="baseline"/>
        <w:rPr>
          <w:rFonts w:ascii="Calibri" w:eastAsia="Times New Roman" w:hAnsi="Calibri" w:cs="Calibri"/>
          <w:lang w:eastAsia="en-GB"/>
        </w:rPr>
      </w:pPr>
      <w:r w:rsidRPr="001D005F">
        <w:rPr>
          <w:rFonts w:ascii="Calibri" w:eastAsia="Times New Roman" w:hAnsi="Calibri" w:cs="Calibri"/>
          <w:lang w:eastAsia="en-GB"/>
        </w:rPr>
        <w:t xml:space="preserve">Support for </w:t>
      </w:r>
      <w:r w:rsidR="001D005F" w:rsidRPr="001D005F">
        <w:rPr>
          <w:rFonts w:ascii="Calibri" w:eastAsia="Times New Roman" w:hAnsi="Calibri" w:cs="Calibri"/>
          <w:lang w:eastAsia="en-GB"/>
        </w:rPr>
        <w:t xml:space="preserve">pharmacy owners </w:t>
      </w:r>
      <w:r w:rsidRPr="001D005F">
        <w:rPr>
          <w:rFonts w:ascii="Calibri" w:eastAsia="Times New Roman" w:hAnsi="Calibri" w:cs="Calibri"/>
          <w:lang w:eastAsia="en-GB"/>
        </w:rPr>
        <w:t>wishing to consolidate</w:t>
      </w:r>
      <w:r w:rsidR="006D4D72">
        <w:rPr>
          <w:rFonts w:ascii="Calibri" w:eastAsia="Times New Roman" w:hAnsi="Calibri" w:cs="Calibri"/>
          <w:lang w:eastAsia="en-GB"/>
        </w:rPr>
        <w:t xml:space="preserve"> with another pharmacy</w:t>
      </w:r>
      <w:r w:rsidRPr="001D005F">
        <w:rPr>
          <w:rFonts w:ascii="Calibri" w:eastAsia="Times New Roman" w:hAnsi="Calibri" w:cs="Calibri"/>
          <w:lang w:eastAsia="en-GB"/>
        </w:rPr>
        <w:t xml:space="preserve">; and </w:t>
      </w:r>
    </w:p>
    <w:p w14:paraId="0C7EA867" w14:textId="189A7AEE" w:rsidR="00EE58CF" w:rsidRDefault="003E3B3A" w:rsidP="006D4D72">
      <w:pPr>
        <w:pStyle w:val="ListParagraph"/>
        <w:numPr>
          <w:ilvl w:val="1"/>
          <w:numId w:val="18"/>
        </w:numPr>
        <w:spacing w:line="240" w:lineRule="auto"/>
        <w:ind w:left="851"/>
        <w:contextualSpacing w:val="0"/>
        <w:jc w:val="both"/>
        <w:textAlignment w:val="baseline"/>
        <w:rPr>
          <w:rFonts w:ascii="Calibri" w:eastAsia="Times New Roman" w:hAnsi="Calibri" w:cs="Calibri"/>
          <w:lang w:eastAsia="en-GB"/>
        </w:rPr>
      </w:pPr>
      <w:r w:rsidRPr="001D005F">
        <w:rPr>
          <w:rFonts w:ascii="Calibri" w:eastAsia="Times New Roman" w:hAnsi="Calibri" w:cs="Calibri"/>
          <w:lang w:eastAsia="en-GB"/>
        </w:rPr>
        <w:t xml:space="preserve">Removal of redundant </w:t>
      </w:r>
      <w:r w:rsidR="006D4D72">
        <w:rPr>
          <w:rFonts w:ascii="Calibri" w:eastAsia="Times New Roman" w:hAnsi="Calibri" w:cs="Calibri"/>
          <w:lang w:eastAsia="en-GB"/>
        </w:rPr>
        <w:t xml:space="preserve">NHS </w:t>
      </w:r>
      <w:r w:rsidRPr="001D005F">
        <w:rPr>
          <w:rFonts w:ascii="Calibri" w:eastAsia="Times New Roman" w:hAnsi="Calibri" w:cs="Calibri"/>
          <w:lang w:eastAsia="en-GB"/>
        </w:rPr>
        <w:t>administrative requirements</w:t>
      </w:r>
      <w:r w:rsidR="005C69B6">
        <w:rPr>
          <w:rFonts w:ascii="Calibri" w:eastAsia="Times New Roman" w:hAnsi="Calibri" w:cs="Calibri"/>
          <w:lang w:eastAsia="en-GB"/>
        </w:rPr>
        <w:t xml:space="preserve">. </w:t>
      </w:r>
      <w:r w:rsidRPr="001D005F">
        <w:rPr>
          <w:rFonts w:ascii="Calibri" w:eastAsia="Times New Roman" w:hAnsi="Calibri" w:cs="Calibri"/>
          <w:lang w:eastAsia="en-GB"/>
        </w:rPr>
        <w:t xml:space="preserve"> </w:t>
      </w:r>
    </w:p>
    <w:p w14:paraId="33F463CE" w14:textId="77777777" w:rsidR="00EE58CF" w:rsidRDefault="00EE58CF" w:rsidP="00090A6B">
      <w:pPr>
        <w:spacing w:line="240" w:lineRule="auto"/>
        <w:jc w:val="both"/>
        <w:textAlignment w:val="baseline"/>
        <w:rPr>
          <w:rFonts w:ascii="Calibri" w:eastAsia="Times New Roman" w:hAnsi="Calibri" w:cs="Calibri"/>
          <w:lang w:eastAsia="en-GB"/>
        </w:rPr>
      </w:pPr>
    </w:p>
    <w:p w14:paraId="19351782" w14:textId="189A92B9" w:rsidR="00D50B82" w:rsidRPr="0042673F" w:rsidRDefault="0055528E" w:rsidP="00090A6B">
      <w:pPr>
        <w:spacing w:line="240" w:lineRule="auto"/>
        <w:jc w:val="both"/>
        <w:textAlignment w:val="baseline"/>
        <w:rPr>
          <w:rFonts w:ascii="Calibri" w:eastAsia="Times New Roman" w:hAnsi="Calibri" w:cs="Calibri"/>
          <w:lang w:eastAsia="en-GB"/>
        </w:rPr>
      </w:pPr>
      <w:r w:rsidRPr="0055528E">
        <w:rPr>
          <w:rFonts w:ascii="Calibri" w:eastAsia="Times New Roman" w:hAnsi="Calibri" w:cs="Calibri"/>
          <w:b/>
          <w:bCs/>
          <w:color w:val="5B518E"/>
          <w:sz w:val="24"/>
          <w:szCs w:val="24"/>
          <w:lang w:eastAsia="en-GB"/>
        </w:rPr>
        <w:t>Summary</w:t>
      </w:r>
    </w:p>
    <w:p w14:paraId="434C17DC" w14:textId="3300402F" w:rsidR="00897D4C" w:rsidRDefault="00BC7100" w:rsidP="00090A6B">
      <w:pPr>
        <w:spacing w:line="240" w:lineRule="auto"/>
        <w:jc w:val="both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Community pharmacy’s new deal does much to integrate us with general practice</w:t>
      </w:r>
      <w:r w:rsidR="000A4159">
        <w:rPr>
          <w:rFonts w:ascii="Calibri" w:eastAsia="Times New Roman" w:hAnsi="Calibri" w:cs="Calibri"/>
          <w:lang w:eastAsia="en-GB"/>
        </w:rPr>
        <w:t xml:space="preserve"> and the </w:t>
      </w:r>
      <w:r w:rsidR="006D4D72">
        <w:rPr>
          <w:rFonts w:ascii="Calibri" w:eastAsia="Times New Roman" w:hAnsi="Calibri" w:cs="Calibri"/>
          <w:lang w:eastAsia="en-GB"/>
        </w:rPr>
        <w:t>Community Pharmacist Consultation Service</w:t>
      </w:r>
      <w:r w:rsidR="000A4159">
        <w:rPr>
          <w:rFonts w:ascii="Calibri" w:eastAsia="Times New Roman" w:hAnsi="Calibri" w:cs="Calibri"/>
          <w:lang w:eastAsia="en-GB"/>
        </w:rPr>
        <w:t xml:space="preserve"> is a new chance for the sector to help</w:t>
      </w:r>
      <w:r w:rsidR="00544CBE">
        <w:rPr>
          <w:rFonts w:ascii="Calibri" w:eastAsia="Times New Roman" w:hAnsi="Calibri" w:cs="Calibri"/>
          <w:lang w:eastAsia="en-GB"/>
        </w:rPr>
        <w:t xml:space="preserve"> fulfil </w:t>
      </w:r>
      <w:r w:rsidR="00DB4C17">
        <w:rPr>
          <w:rFonts w:ascii="Calibri" w:eastAsia="Times New Roman" w:hAnsi="Calibri" w:cs="Calibri"/>
          <w:lang w:eastAsia="en-GB"/>
        </w:rPr>
        <w:t xml:space="preserve">key </w:t>
      </w:r>
      <w:r w:rsidR="00544CBE">
        <w:rPr>
          <w:rFonts w:ascii="Calibri" w:eastAsia="Times New Roman" w:hAnsi="Calibri" w:cs="Calibri"/>
          <w:lang w:eastAsia="en-GB"/>
        </w:rPr>
        <w:t xml:space="preserve">NHS priorities. </w:t>
      </w:r>
      <w:r w:rsidR="00813964">
        <w:rPr>
          <w:rFonts w:ascii="Calibri" w:eastAsia="Times New Roman" w:hAnsi="Calibri" w:cs="Calibri"/>
          <w:lang w:eastAsia="en-GB"/>
        </w:rPr>
        <w:t>Going forwards</w:t>
      </w:r>
      <w:r w:rsidR="00B859E4">
        <w:rPr>
          <w:rFonts w:ascii="Calibri" w:eastAsia="Times New Roman" w:hAnsi="Calibri" w:cs="Calibri"/>
          <w:lang w:eastAsia="en-GB"/>
        </w:rPr>
        <w:t>, c</w:t>
      </w:r>
      <w:r w:rsidR="00544CBE">
        <w:rPr>
          <w:rFonts w:ascii="Calibri" w:eastAsia="Times New Roman" w:hAnsi="Calibri" w:cs="Calibri"/>
          <w:lang w:eastAsia="en-GB"/>
        </w:rPr>
        <w:t>ollaboration will be key – both at PCN and individual practice level.</w:t>
      </w:r>
    </w:p>
    <w:p w14:paraId="79B79BD0" w14:textId="71CC37F3" w:rsidR="00983C1F" w:rsidRDefault="00983C1F" w:rsidP="00090A6B">
      <w:pPr>
        <w:spacing w:line="240" w:lineRule="auto"/>
        <w:jc w:val="both"/>
        <w:rPr>
          <w:rFonts w:ascii="Calibri" w:eastAsia="Times New Roman" w:hAnsi="Calibri" w:cs="Calibri"/>
          <w:lang w:eastAsia="en-GB"/>
        </w:rPr>
      </w:pPr>
    </w:p>
    <w:p w14:paraId="428B694D" w14:textId="77777777" w:rsidR="00DF6254" w:rsidRDefault="00DF6254" w:rsidP="00090A6B">
      <w:pPr>
        <w:spacing w:line="240" w:lineRule="auto"/>
        <w:jc w:val="both"/>
        <w:rPr>
          <w:rFonts w:ascii="Calibri" w:eastAsia="Times New Roman" w:hAnsi="Calibri" w:cs="Calibri"/>
          <w:lang w:eastAsia="en-GB"/>
        </w:rPr>
      </w:pPr>
    </w:p>
    <w:p w14:paraId="4AB1343A" w14:textId="5217B01D" w:rsidR="00983C1F" w:rsidRPr="00813964" w:rsidRDefault="00983C1F" w:rsidP="00090A6B">
      <w:pPr>
        <w:spacing w:line="240" w:lineRule="auto"/>
        <w:jc w:val="both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If GPs have queries about the contractual </w:t>
      </w:r>
      <w:r w:rsidR="006D4D72">
        <w:rPr>
          <w:rFonts w:ascii="Calibri" w:eastAsia="Times New Roman" w:hAnsi="Calibri" w:cs="Calibri"/>
          <w:lang w:eastAsia="en-GB"/>
        </w:rPr>
        <w:t>framework,</w:t>
      </w:r>
      <w:r>
        <w:rPr>
          <w:rFonts w:ascii="Calibri" w:eastAsia="Times New Roman" w:hAnsi="Calibri" w:cs="Calibri"/>
          <w:lang w:eastAsia="en-GB"/>
        </w:rPr>
        <w:t xml:space="preserve"> they could in the first instance contact their local community pharmacy or </w:t>
      </w:r>
      <w:hyperlink r:id="rId16" w:history="1">
        <w:r w:rsidRPr="00DF6254">
          <w:rPr>
            <w:rStyle w:val="Hyperlink"/>
            <w:rFonts w:ascii="Calibri" w:eastAsia="Times New Roman" w:hAnsi="Calibri" w:cs="Calibri"/>
            <w:b/>
            <w:bCs/>
            <w:color w:val="5B518E"/>
            <w:lang w:eastAsia="en-GB"/>
          </w:rPr>
          <w:t xml:space="preserve">Local </w:t>
        </w:r>
        <w:r w:rsidR="006D4D72" w:rsidRPr="00DF6254">
          <w:rPr>
            <w:rStyle w:val="Hyperlink"/>
            <w:rFonts w:ascii="Calibri" w:eastAsia="Times New Roman" w:hAnsi="Calibri" w:cs="Calibri"/>
            <w:b/>
            <w:bCs/>
            <w:color w:val="5B518E"/>
            <w:lang w:eastAsia="en-GB"/>
          </w:rPr>
          <w:t>Pharmaceutical</w:t>
        </w:r>
        <w:r w:rsidRPr="00DF6254">
          <w:rPr>
            <w:rStyle w:val="Hyperlink"/>
            <w:rFonts w:ascii="Calibri" w:eastAsia="Times New Roman" w:hAnsi="Calibri" w:cs="Calibri"/>
            <w:b/>
            <w:bCs/>
            <w:color w:val="5B518E"/>
            <w:lang w:eastAsia="en-GB"/>
          </w:rPr>
          <w:t xml:space="preserve"> Committee</w:t>
        </w:r>
      </w:hyperlink>
      <w:r>
        <w:rPr>
          <w:rFonts w:ascii="Calibri" w:eastAsia="Times New Roman" w:hAnsi="Calibri" w:cs="Calibri"/>
          <w:lang w:eastAsia="en-GB"/>
        </w:rPr>
        <w:t>. Any que</w:t>
      </w:r>
      <w:r w:rsidR="006D4D72">
        <w:rPr>
          <w:rFonts w:ascii="Calibri" w:eastAsia="Times New Roman" w:hAnsi="Calibri" w:cs="Calibri"/>
          <w:lang w:eastAsia="en-GB"/>
        </w:rPr>
        <w:t>stion</w:t>
      </w:r>
      <w:r>
        <w:rPr>
          <w:rFonts w:ascii="Calibri" w:eastAsia="Times New Roman" w:hAnsi="Calibri" w:cs="Calibri"/>
          <w:lang w:eastAsia="en-GB"/>
        </w:rPr>
        <w:t xml:space="preserve">s for PSNC can be directed to </w:t>
      </w:r>
      <w:hyperlink r:id="rId17" w:history="1">
        <w:r w:rsidRPr="00983C1F">
          <w:rPr>
            <w:rStyle w:val="Hyperlink"/>
            <w:rFonts w:ascii="Calibri" w:eastAsia="Times New Roman" w:hAnsi="Calibri" w:cs="Calibri"/>
            <w:b/>
            <w:bCs/>
            <w:color w:val="5B518E"/>
            <w:lang w:eastAsia="en-GB"/>
          </w:rPr>
          <w:t>cpcf@psnc.org.uk</w:t>
        </w:r>
      </w:hyperlink>
    </w:p>
    <w:sectPr w:rsidR="00983C1F" w:rsidRPr="00813964" w:rsidSect="002F72F2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720" w:right="720" w:bottom="720" w:left="720" w:header="6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F6F17" w14:textId="77777777" w:rsidR="00616F6B" w:rsidRDefault="00616F6B" w:rsidP="00E472BA">
      <w:pPr>
        <w:spacing w:line="240" w:lineRule="auto"/>
      </w:pPr>
      <w:r>
        <w:separator/>
      </w:r>
    </w:p>
  </w:endnote>
  <w:endnote w:type="continuationSeparator" w:id="0">
    <w:p w14:paraId="3714B36D" w14:textId="77777777" w:rsidR="00616F6B" w:rsidRDefault="00616F6B" w:rsidP="00E47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3BC95" w14:textId="1C638294" w:rsidR="00B364CE" w:rsidRPr="007623DC" w:rsidRDefault="00EE58CF" w:rsidP="00B364CE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  <w:r w:rsidRPr="00D50B82">
      <w:rPr>
        <w:b/>
        <w:noProof/>
        <w:color w:val="808080"/>
        <w:sz w:val="10"/>
        <w:szCs w:val="10"/>
        <w:lang w:eastAsia="en-GB"/>
      </w:rPr>
      <w:drawing>
        <wp:anchor distT="0" distB="0" distL="114300" distR="114300" simplePos="0" relativeHeight="251670528" behindDoc="0" locked="0" layoutInCell="1" allowOverlap="1" wp14:anchorId="5F2DD97F" wp14:editId="1EA59955">
          <wp:simplePos x="0" y="0"/>
          <wp:positionH relativeFrom="page">
            <wp:align>left</wp:align>
          </wp:positionH>
          <wp:positionV relativeFrom="paragraph">
            <wp:posOffset>297815</wp:posOffset>
          </wp:positionV>
          <wp:extent cx="7574280" cy="190500"/>
          <wp:effectExtent l="0" t="0" r="7620" b="0"/>
          <wp:wrapTopAndBottom/>
          <wp:docPr id="108" name="Pictur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1FCA3C" w14:textId="54675CE4" w:rsidR="00B364CE" w:rsidRDefault="00B364CE" w:rsidP="00B36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D846" w14:textId="3683A80E" w:rsidR="007623DC" w:rsidRPr="0015463E" w:rsidRDefault="00EE58CF" w:rsidP="000E19BC">
    <w:pPr>
      <w:autoSpaceDE w:val="0"/>
      <w:autoSpaceDN w:val="0"/>
      <w:adjustRightInd w:val="0"/>
      <w:spacing w:line="240" w:lineRule="auto"/>
      <w:jc w:val="both"/>
      <w:rPr>
        <w:rFonts w:ascii="Calibri" w:hAnsi="Calibri" w:cs="Calibri"/>
      </w:rPr>
    </w:pPr>
    <w:r w:rsidRPr="0015463E">
      <w:rPr>
        <w:b/>
        <w:noProof/>
        <w:color w:val="808080"/>
        <w:sz w:val="14"/>
        <w:szCs w:val="10"/>
        <w:lang w:eastAsia="en-GB"/>
      </w:rPr>
      <w:drawing>
        <wp:anchor distT="0" distB="0" distL="114300" distR="114300" simplePos="0" relativeHeight="251668480" behindDoc="0" locked="0" layoutInCell="1" allowOverlap="1" wp14:anchorId="58283931" wp14:editId="36A9BAED">
          <wp:simplePos x="0" y="0"/>
          <wp:positionH relativeFrom="page">
            <wp:align>right</wp:align>
          </wp:positionH>
          <wp:positionV relativeFrom="paragraph">
            <wp:posOffset>327025</wp:posOffset>
          </wp:positionV>
          <wp:extent cx="7574280" cy="190500"/>
          <wp:effectExtent l="0" t="0" r="7620" b="0"/>
          <wp:wrapTopAndBottom/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B9CBE5" w14:textId="6751473B" w:rsidR="007623DC" w:rsidRDefault="00762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AE804" w14:textId="77777777" w:rsidR="00616F6B" w:rsidRDefault="00616F6B" w:rsidP="00E472BA">
      <w:pPr>
        <w:spacing w:line="240" w:lineRule="auto"/>
      </w:pPr>
      <w:r>
        <w:separator/>
      </w:r>
    </w:p>
  </w:footnote>
  <w:footnote w:type="continuationSeparator" w:id="0">
    <w:p w14:paraId="42CD0632" w14:textId="77777777" w:rsidR="00616F6B" w:rsidRDefault="00616F6B" w:rsidP="00E472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55B82" w14:textId="77777777" w:rsidR="00B364CE" w:rsidRDefault="00B364CE">
    <w:pPr>
      <w:pStyle w:val="Header"/>
    </w:pPr>
  </w:p>
  <w:p w14:paraId="2B643802" w14:textId="0733D1F7" w:rsidR="00B364CE" w:rsidRDefault="0055528E">
    <w:pPr>
      <w:pStyle w:val="Header"/>
    </w:pPr>
    <w:r w:rsidRPr="00B364CE"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2F3116D3" wp14:editId="70BA7469">
          <wp:simplePos x="0" y="0"/>
          <wp:positionH relativeFrom="margin">
            <wp:align>left</wp:align>
          </wp:positionH>
          <wp:positionV relativeFrom="paragraph">
            <wp:posOffset>290195</wp:posOffset>
          </wp:positionV>
          <wp:extent cx="655320" cy="386715"/>
          <wp:effectExtent l="0" t="0" r="0" b="0"/>
          <wp:wrapTopAndBottom/>
          <wp:docPr id="107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DAB3D4" w14:textId="77777777" w:rsidR="00B364CE" w:rsidRPr="00C26DF0" w:rsidRDefault="00B364CE">
    <w:pPr>
      <w:pStyle w:val="Head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839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39"/>
    </w:tblGrid>
    <w:tr w:rsidR="00F653A4" w14:paraId="161F6885" w14:textId="77777777" w:rsidTr="00F653A4">
      <w:trPr>
        <w:trHeight w:val="1101"/>
      </w:trPr>
      <w:tc>
        <w:tcPr>
          <w:tcW w:w="5839" w:type="dxa"/>
        </w:tcPr>
        <w:p w14:paraId="7DAF69FE" w14:textId="799BA657" w:rsidR="00F653A4" w:rsidRDefault="00114DDB" w:rsidP="00F653A4">
          <w:pPr>
            <w:pStyle w:val="Header"/>
          </w:pPr>
          <w:r w:rsidRPr="00114DDB">
            <w:rPr>
              <w:noProof/>
              <w:lang w:eastAsia="en-GB"/>
            </w:rPr>
            <w:drawing>
              <wp:anchor distT="0" distB="0" distL="114300" distR="114300" simplePos="0" relativeHeight="251673600" behindDoc="0" locked="0" layoutInCell="1" allowOverlap="1" wp14:anchorId="69069284" wp14:editId="482215C6">
                <wp:simplePos x="0" y="0"/>
                <wp:positionH relativeFrom="column">
                  <wp:posOffset>1163142</wp:posOffset>
                </wp:positionH>
                <wp:positionV relativeFrom="paragraph">
                  <wp:posOffset>206959</wp:posOffset>
                </wp:positionV>
                <wp:extent cx="1283970" cy="758190"/>
                <wp:effectExtent l="0" t="0" r="0" b="3810"/>
                <wp:wrapTopAndBottom/>
                <wp:docPr id="110" name="Picture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rt-of-community_purple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1" t="4620" r="5894" b="11646"/>
                        <a:stretch/>
                      </pic:blipFill>
                      <pic:spPr bwMode="auto">
                        <a:xfrm>
                          <a:off x="0" y="0"/>
                          <a:ext cx="1283970" cy="758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14DDB">
            <w:rPr>
              <w:noProof/>
              <w:lang w:eastAsia="en-GB"/>
            </w:rPr>
            <w:drawing>
              <wp:anchor distT="0" distB="0" distL="114300" distR="114300" simplePos="0" relativeHeight="251672576" behindDoc="0" locked="0" layoutInCell="1" allowOverlap="1" wp14:anchorId="435360CA" wp14:editId="4FA96D4F">
                <wp:simplePos x="0" y="0"/>
                <wp:positionH relativeFrom="column">
                  <wp:posOffset>40716</wp:posOffset>
                </wp:positionH>
                <wp:positionV relativeFrom="paragraph">
                  <wp:posOffset>208000</wp:posOffset>
                </wp:positionV>
                <wp:extent cx="1124585" cy="810260"/>
                <wp:effectExtent l="0" t="0" r="0" b="8890"/>
                <wp:wrapTopAndBottom/>
                <wp:docPr id="109" name="Picture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87" t="5808" r="5226" b="4100"/>
                        <a:stretch/>
                      </pic:blipFill>
                      <pic:spPr bwMode="auto">
                        <a:xfrm>
                          <a:off x="0" y="0"/>
                          <a:ext cx="1124585" cy="810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653A4">
            <w:t xml:space="preserve">     </w:t>
          </w:r>
        </w:p>
      </w:tc>
    </w:tr>
  </w:tbl>
  <w:p w14:paraId="795ADF20" w14:textId="77777777" w:rsidR="002E2A1B" w:rsidRPr="004A79A4" w:rsidRDefault="002E2A1B" w:rsidP="00F653A4">
    <w:pPr>
      <w:pStyle w:val="Header"/>
      <w:rPr>
        <w:rFonts w:asciiTheme="minorHAnsi" w:hAnsiTheme="minorHAnsi" w:cstheme="minorHAnsi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E53"/>
    <w:multiLevelType w:val="hybridMultilevel"/>
    <w:tmpl w:val="D2F47632"/>
    <w:lvl w:ilvl="0" w:tplc="08923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518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23866"/>
    <w:multiLevelType w:val="hybridMultilevel"/>
    <w:tmpl w:val="BC56E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5AE7"/>
    <w:multiLevelType w:val="hybridMultilevel"/>
    <w:tmpl w:val="88BAD40C"/>
    <w:lvl w:ilvl="0" w:tplc="089233B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5B518E"/>
      </w:rPr>
    </w:lvl>
    <w:lvl w:ilvl="1" w:tplc="79DEA292">
      <w:numFmt w:val="bullet"/>
      <w:lvlText w:val="•"/>
      <w:lvlJc w:val="left"/>
      <w:pPr>
        <w:ind w:left="136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C87466A"/>
    <w:multiLevelType w:val="hybridMultilevel"/>
    <w:tmpl w:val="065A2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45FAF"/>
    <w:multiLevelType w:val="hybridMultilevel"/>
    <w:tmpl w:val="F17A9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C0D33"/>
    <w:multiLevelType w:val="hybridMultilevel"/>
    <w:tmpl w:val="337A34DA"/>
    <w:lvl w:ilvl="0" w:tplc="08923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518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629EF"/>
    <w:multiLevelType w:val="hybridMultilevel"/>
    <w:tmpl w:val="FD80A94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8937966"/>
    <w:multiLevelType w:val="hybridMultilevel"/>
    <w:tmpl w:val="196A4706"/>
    <w:lvl w:ilvl="0" w:tplc="08923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518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D39D7"/>
    <w:multiLevelType w:val="hybridMultilevel"/>
    <w:tmpl w:val="7B68D5F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EA36A14"/>
    <w:multiLevelType w:val="hybridMultilevel"/>
    <w:tmpl w:val="A51EFEE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40FB1779"/>
    <w:multiLevelType w:val="multilevel"/>
    <w:tmpl w:val="5188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020467"/>
    <w:multiLevelType w:val="hybridMultilevel"/>
    <w:tmpl w:val="47D0778C"/>
    <w:lvl w:ilvl="0" w:tplc="08923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518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13186"/>
    <w:multiLevelType w:val="hybridMultilevel"/>
    <w:tmpl w:val="229AE8F0"/>
    <w:lvl w:ilvl="0" w:tplc="08923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518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D759C"/>
    <w:multiLevelType w:val="hybridMultilevel"/>
    <w:tmpl w:val="4042B794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2082608"/>
    <w:multiLevelType w:val="hybridMultilevel"/>
    <w:tmpl w:val="8CBCB464"/>
    <w:lvl w:ilvl="0" w:tplc="08923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518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D09C1"/>
    <w:multiLevelType w:val="hybridMultilevel"/>
    <w:tmpl w:val="A4F24336"/>
    <w:lvl w:ilvl="0" w:tplc="08923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518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C74DE"/>
    <w:multiLevelType w:val="hybridMultilevel"/>
    <w:tmpl w:val="5E80BC4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ABE2379"/>
    <w:multiLevelType w:val="hybridMultilevel"/>
    <w:tmpl w:val="141A9D0C"/>
    <w:lvl w:ilvl="0" w:tplc="08923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518E"/>
      </w:rPr>
    </w:lvl>
    <w:lvl w:ilvl="1" w:tplc="089233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B518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855EF"/>
    <w:multiLevelType w:val="hybridMultilevel"/>
    <w:tmpl w:val="02A027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11"/>
  </w:num>
  <w:num w:numId="11">
    <w:abstractNumId w:val="15"/>
  </w:num>
  <w:num w:numId="12">
    <w:abstractNumId w:val="14"/>
  </w:num>
  <w:num w:numId="13">
    <w:abstractNumId w:val="12"/>
  </w:num>
  <w:num w:numId="14">
    <w:abstractNumId w:val="2"/>
  </w:num>
  <w:num w:numId="15">
    <w:abstractNumId w:val="7"/>
  </w:num>
  <w:num w:numId="16">
    <w:abstractNumId w:val="5"/>
  </w:num>
  <w:num w:numId="17">
    <w:abstractNumId w:val="0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C8"/>
    <w:rsid w:val="000505F8"/>
    <w:rsid w:val="000868D4"/>
    <w:rsid w:val="00090A6B"/>
    <w:rsid w:val="000A4159"/>
    <w:rsid w:val="000E19BC"/>
    <w:rsid w:val="000E4CEF"/>
    <w:rsid w:val="00114DDB"/>
    <w:rsid w:val="00121E9A"/>
    <w:rsid w:val="00136E97"/>
    <w:rsid w:val="00142EF4"/>
    <w:rsid w:val="0015463E"/>
    <w:rsid w:val="00177B86"/>
    <w:rsid w:val="001A01E1"/>
    <w:rsid w:val="001B3093"/>
    <w:rsid w:val="001B4483"/>
    <w:rsid w:val="001D005F"/>
    <w:rsid w:val="001F0E83"/>
    <w:rsid w:val="001F4887"/>
    <w:rsid w:val="002108A3"/>
    <w:rsid w:val="0021132A"/>
    <w:rsid w:val="002214D7"/>
    <w:rsid w:val="0023259A"/>
    <w:rsid w:val="00245E49"/>
    <w:rsid w:val="00281446"/>
    <w:rsid w:val="002A31C2"/>
    <w:rsid w:val="002A328E"/>
    <w:rsid w:val="002D437A"/>
    <w:rsid w:val="002E0B3B"/>
    <w:rsid w:val="002E2A1B"/>
    <w:rsid w:val="002E7735"/>
    <w:rsid w:val="002E776D"/>
    <w:rsid w:val="002F72F2"/>
    <w:rsid w:val="00305149"/>
    <w:rsid w:val="00353432"/>
    <w:rsid w:val="003B7026"/>
    <w:rsid w:val="003D127D"/>
    <w:rsid w:val="003E3B3A"/>
    <w:rsid w:val="003F2314"/>
    <w:rsid w:val="003F6469"/>
    <w:rsid w:val="003F6BA6"/>
    <w:rsid w:val="00414FF3"/>
    <w:rsid w:val="0042504B"/>
    <w:rsid w:val="0042673F"/>
    <w:rsid w:val="00426E6A"/>
    <w:rsid w:val="00433029"/>
    <w:rsid w:val="0043701B"/>
    <w:rsid w:val="004646D5"/>
    <w:rsid w:val="00467657"/>
    <w:rsid w:val="00467AE0"/>
    <w:rsid w:val="00472AC7"/>
    <w:rsid w:val="00474522"/>
    <w:rsid w:val="0049255C"/>
    <w:rsid w:val="00495398"/>
    <w:rsid w:val="004A79A4"/>
    <w:rsid w:val="004B7164"/>
    <w:rsid w:val="004C6C63"/>
    <w:rsid w:val="004E60B0"/>
    <w:rsid w:val="0050061B"/>
    <w:rsid w:val="005309BA"/>
    <w:rsid w:val="00544CBE"/>
    <w:rsid w:val="005513D7"/>
    <w:rsid w:val="0055528E"/>
    <w:rsid w:val="00556BE4"/>
    <w:rsid w:val="00575BEF"/>
    <w:rsid w:val="0058211E"/>
    <w:rsid w:val="00583FF8"/>
    <w:rsid w:val="005C2596"/>
    <w:rsid w:val="005C471E"/>
    <w:rsid w:val="005C69B6"/>
    <w:rsid w:val="005D75F2"/>
    <w:rsid w:val="005D7720"/>
    <w:rsid w:val="005E0818"/>
    <w:rsid w:val="00616F6B"/>
    <w:rsid w:val="00621886"/>
    <w:rsid w:val="00626CAB"/>
    <w:rsid w:val="00656DD4"/>
    <w:rsid w:val="00681770"/>
    <w:rsid w:val="00692B7E"/>
    <w:rsid w:val="006A16D1"/>
    <w:rsid w:val="006D40C5"/>
    <w:rsid w:val="006D4D72"/>
    <w:rsid w:val="006D568F"/>
    <w:rsid w:val="007141D4"/>
    <w:rsid w:val="007403A2"/>
    <w:rsid w:val="007504E6"/>
    <w:rsid w:val="0076107E"/>
    <w:rsid w:val="007623DC"/>
    <w:rsid w:val="00763843"/>
    <w:rsid w:val="007645C6"/>
    <w:rsid w:val="0076496F"/>
    <w:rsid w:val="00782C10"/>
    <w:rsid w:val="0079683A"/>
    <w:rsid w:val="007D27A1"/>
    <w:rsid w:val="007D7C2D"/>
    <w:rsid w:val="007E0F53"/>
    <w:rsid w:val="00813964"/>
    <w:rsid w:val="00817C1B"/>
    <w:rsid w:val="00852A30"/>
    <w:rsid w:val="00854305"/>
    <w:rsid w:val="00872079"/>
    <w:rsid w:val="008923D5"/>
    <w:rsid w:val="00897D4C"/>
    <w:rsid w:val="008B031B"/>
    <w:rsid w:val="008C69BC"/>
    <w:rsid w:val="00904CBC"/>
    <w:rsid w:val="0091260D"/>
    <w:rsid w:val="00915CF3"/>
    <w:rsid w:val="009161C8"/>
    <w:rsid w:val="00946156"/>
    <w:rsid w:val="00983C1F"/>
    <w:rsid w:val="009858C3"/>
    <w:rsid w:val="0099220C"/>
    <w:rsid w:val="009932C0"/>
    <w:rsid w:val="00995539"/>
    <w:rsid w:val="009A1430"/>
    <w:rsid w:val="009B4E8D"/>
    <w:rsid w:val="009B5D58"/>
    <w:rsid w:val="009C35F5"/>
    <w:rsid w:val="009C5739"/>
    <w:rsid w:val="009E10E7"/>
    <w:rsid w:val="009F24B5"/>
    <w:rsid w:val="00A01E1E"/>
    <w:rsid w:val="00A101D7"/>
    <w:rsid w:val="00A21249"/>
    <w:rsid w:val="00A23810"/>
    <w:rsid w:val="00A337BE"/>
    <w:rsid w:val="00A51BDD"/>
    <w:rsid w:val="00A617CC"/>
    <w:rsid w:val="00A90071"/>
    <w:rsid w:val="00A951A0"/>
    <w:rsid w:val="00AA1E5D"/>
    <w:rsid w:val="00AB4C3E"/>
    <w:rsid w:val="00AC00C2"/>
    <w:rsid w:val="00AE33EC"/>
    <w:rsid w:val="00AF1678"/>
    <w:rsid w:val="00AF69F0"/>
    <w:rsid w:val="00B1126B"/>
    <w:rsid w:val="00B13A6C"/>
    <w:rsid w:val="00B14EA0"/>
    <w:rsid w:val="00B35145"/>
    <w:rsid w:val="00B364CE"/>
    <w:rsid w:val="00B5623B"/>
    <w:rsid w:val="00B639C4"/>
    <w:rsid w:val="00B859E4"/>
    <w:rsid w:val="00BB1271"/>
    <w:rsid w:val="00BB7263"/>
    <w:rsid w:val="00BC7100"/>
    <w:rsid w:val="00BC726A"/>
    <w:rsid w:val="00BD0F2F"/>
    <w:rsid w:val="00BE140B"/>
    <w:rsid w:val="00C26DF0"/>
    <w:rsid w:val="00C33D1B"/>
    <w:rsid w:val="00C535A6"/>
    <w:rsid w:val="00C55547"/>
    <w:rsid w:val="00C73D24"/>
    <w:rsid w:val="00C84843"/>
    <w:rsid w:val="00C90257"/>
    <w:rsid w:val="00CA234E"/>
    <w:rsid w:val="00CB212E"/>
    <w:rsid w:val="00CE5C71"/>
    <w:rsid w:val="00CF3960"/>
    <w:rsid w:val="00D042C3"/>
    <w:rsid w:val="00D12427"/>
    <w:rsid w:val="00D14809"/>
    <w:rsid w:val="00D210C6"/>
    <w:rsid w:val="00D371A7"/>
    <w:rsid w:val="00D50B82"/>
    <w:rsid w:val="00D87E87"/>
    <w:rsid w:val="00DA559D"/>
    <w:rsid w:val="00DB4C17"/>
    <w:rsid w:val="00DB6DD3"/>
    <w:rsid w:val="00DC494F"/>
    <w:rsid w:val="00DC5FFE"/>
    <w:rsid w:val="00DD6A09"/>
    <w:rsid w:val="00DE6148"/>
    <w:rsid w:val="00DE6964"/>
    <w:rsid w:val="00DE6BF2"/>
    <w:rsid w:val="00DF6254"/>
    <w:rsid w:val="00E07908"/>
    <w:rsid w:val="00E14B71"/>
    <w:rsid w:val="00E152BC"/>
    <w:rsid w:val="00E15E9D"/>
    <w:rsid w:val="00E16018"/>
    <w:rsid w:val="00E314F8"/>
    <w:rsid w:val="00E43BAB"/>
    <w:rsid w:val="00E472BA"/>
    <w:rsid w:val="00E51C7D"/>
    <w:rsid w:val="00E52809"/>
    <w:rsid w:val="00E60AD4"/>
    <w:rsid w:val="00E7709F"/>
    <w:rsid w:val="00EA2D1A"/>
    <w:rsid w:val="00EE58CF"/>
    <w:rsid w:val="00F22D1F"/>
    <w:rsid w:val="00F27CB1"/>
    <w:rsid w:val="00F35338"/>
    <w:rsid w:val="00F47854"/>
    <w:rsid w:val="00F653A4"/>
    <w:rsid w:val="00F6640A"/>
    <w:rsid w:val="00FA34BD"/>
    <w:rsid w:val="00FB3B7C"/>
    <w:rsid w:val="00FC2F8D"/>
    <w:rsid w:val="00F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D919B"/>
  <w15:docId w15:val="{F34D5E04-81A0-4F57-8A5D-55763F12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CB1"/>
    <w:pPr>
      <w:spacing w:line="320" w:lineRule="exact"/>
    </w:pPr>
    <w:rPr>
      <w:rFonts w:ascii="Georgia" w:hAnsi="Georg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BA"/>
  </w:style>
  <w:style w:type="paragraph" w:styleId="Footer">
    <w:name w:val="footer"/>
    <w:basedOn w:val="Normal"/>
    <w:link w:val="Foot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BA"/>
  </w:style>
  <w:style w:type="paragraph" w:styleId="BalloonText">
    <w:name w:val="Balloon Text"/>
    <w:basedOn w:val="Normal"/>
    <w:link w:val="BalloonTextChar"/>
    <w:uiPriority w:val="99"/>
    <w:semiHidden/>
    <w:unhideWhenUsed/>
    <w:rsid w:val="00E47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BA"/>
    <w:rPr>
      <w:rFonts w:ascii="Tahoma" w:hAnsi="Tahoma" w:cs="Tahoma"/>
      <w:sz w:val="16"/>
      <w:szCs w:val="16"/>
    </w:rPr>
  </w:style>
  <w:style w:type="paragraph" w:customStyle="1" w:styleId="Subjectline">
    <w:name w:val="Subject line"/>
    <w:basedOn w:val="Normal"/>
    <w:link w:val="SubjectlineChar"/>
    <w:qFormat/>
    <w:rsid w:val="00995539"/>
    <w:rPr>
      <w:i/>
    </w:rPr>
  </w:style>
  <w:style w:type="character" w:customStyle="1" w:styleId="SubjectlineChar">
    <w:name w:val="Subject line Char"/>
    <w:basedOn w:val="DefaultParagraphFont"/>
    <w:link w:val="Subjectline"/>
    <w:rsid w:val="00995539"/>
    <w:rPr>
      <w:rFonts w:ascii="Georgia" w:hAnsi="Georgia"/>
      <w:i/>
    </w:rPr>
  </w:style>
  <w:style w:type="paragraph" w:customStyle="1" w:styleId="Contactdetails">
    <w:name w:val="Contact details"/>
    <w:basedOn w:val="Normal"/>
    <w:link w:val="ContactdetailsChar"/>
    <w:qFormat/>
    <w:rsid w:val="009B5D58"/>
    <w:rPr>
      <w:color w:val="7F7F7F"/>
      <w:szCs w:val="16"/>
    </w:rPr>
  </w:style>
  <w:style w:type="character" w:customStyle="1" w:styleId="ContactdetailsChar">
    <w:name w:val="Contact details Char"/>
    <w:basedOn w:val="DefaultParagraphFont"/>
    <w:link w:val="Contactdetails"/>
    <w:rsid w:val="009B5D58"/>
    <w:rPr>
      <w:rFonts w:ascii="Georgia" w:hAnsi="Georgia"/>
      <w:color w:val="7F7F7F"/>
      <w:sz w:val="22"/>
      <w:szCs w:val="16"/>
      <w:lang w:eastAsia="en-US"/>
    </w:rPr>
  </w:style>
  <w:style w:type="table" w:styleId="TableGrid">
    <w:name w:val="Table Grid"/>
    <w:basedOn w:val="TableNormal"/>
    <w:uiPriority w:val="59"/>
    <w:rsid w:val="007D7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33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623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161C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normaltextrun">
    <w:name w:val="normaltextrun"/>
    <w:basedOn w:val="DefaultParagraphFont"/>
    <w:rsid w:val="009161C8"/>
  </w:style>
  <w:style w:type="character" w:customStyle="1" w:styleId="eop">
    <w:name w:val="eop"/>
    <w:basedOn w:val="DefaultParagraphFont"/>
    <w:rsid w:val="009161C8"/>
  </w:style>
  <w:style w:type="character" w:styleId="FollowedHyperlink">
    <w:name w:val="FollowedHyperlink"/>
    <w:basedOn w:val="DefaultParagraphFont"/>
    <w:uiPriority w:val="99"/>
    <w:semiHidden/>
    <w:unhideWhenUsed/>
    <w:rsid w:val="009161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4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AF1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snc.org.uk/services-commissioning/locally-commissioned-services/healthy-living-pharmacie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psnc.org.uk/services-commissioning/locally-commissioned-services/digital-minor-illness-referral-service-dmirs-pilot/" TargetMode="External"/><Relationship Id="rId17" Type="http://schemas.openxmlformats.org/officeDocument/2006/relationships/hyperlink" Target="mailto:cpcf@psnc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pc-online.org.uk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snc.org.uk/services-commissioning/urgent-medicine-supply-servic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snc.org.uk/wp-content/uploads/2019/07/CPCF-changes-grid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snc.org.uk/services-commissioning/advanced-services/nms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ferguson\Documents\Custom%20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e9b289-82bf-451a-aae5-f5c3903ba51e">
      <UserInfo>
        <DisplayName>Umedha De Zoysa</DisplayName>
        <AccountId>76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2328FE0C6A8478B943648F4C97803" ma:contentTypeVersion="11" ma:contentTypeDescription="Create a new document." ma:contentTypeScope="" ma:versionID="67594a905ef29825f5b6bc46f46160d7">
  <xsd:schema xmlns:xsd="http://www.w3.org/2001/XMLSchema" xmlns:xs="http://www.w3.org/2001/XMLSchema" xmlns:p="http://schemas.microsoft.com/office/2006/metadata/properties" xmlns:ns3="fae9b289-82bf-451a-aae5-f5c3903ba51e" xmlns:ns4="e5bb7d64-f464-4ed8-b9ca-893cdd4fdb35" targetNamespace="http://schemas.microsoft.com/office/2006/metadata/properties" ma:root="true" ma:fieldsID="cad2c4cc6d24678a0afab374b5fca005" ns3:_="" ns4:_="">
    <xsd:import namespace="fae9b289-82bf-451a-aae5-f5c3903ba51e"/>
    <xsd:import namespace="e5bb7d64-f464-4ed8-b9ca-893cdd4fdb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9b289-82bf-451a-aae5-f5c3903ba5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b7d64-f464-4ed8-b9ca-893cdd4fd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A293-BAEB-499F-8DA1-FF7919BAC684}">
  <ds:schemaRefs>
    <ds:schemaRef ds:uri="http://schemas.microsoft.com/office/2006/metadata/properties"/>
    <ds:schemaRef ds:uri="http://schemas.microsoft.com/office/infopath/2007/PartnerControls"/>
    <ds:schemaRef ds:uri="fae9b289-82bf-451a-aae5-f5c3903ba51e"/>
  </ds:schemaRefs>
</ds:datastoreItem>
</file>

<file path=customXml/itemProps2.xml><?xml version="1.0" encoding="utf-8"?>
<ds:datastoreItem xmlns:ds="http://schemas.openxmlformats.org/officeDocument/2006/customXml" ds:itemID="{AB091CF1-31D1-40CC-9A53-786452C91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B9EA7-720F-4D89-A686-C8392857B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9b289-82bf-451a-aae5-f5c3903ba51e"/>
    <ds:schemaRef ds:uri="e5bb7d64-f464-4ed8-b9ca-893cdd4fd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BD1031-1E1C-4269-8641-6228B273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3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Ferguson</dc:creator>
  <cp:lastModifiedBy>Melinda Mabbutt</cp:lastModifiedBy>
  <cp:revision>2</cp:revision>
  <cp:lastPrinted>2019-09-21T16:33:00Z</cp:lastPrinted>
  <dcterms:created xsi:type="dcterms:W3CDTF">2019-10-09T15:29:00Z</dcterms:created>
  <dcterms:modified xsi:type="dcterms:W3CDTF">2019-10-09T15:29:00Z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0x0101000742328FE0C6A8478B943648F4C97803</vt:lpwstr>
  </property>
</Properties>
</file>