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14BE" w14:textId="4E575D1D" w:rsidR="00D0402B" w:rsidRDefault="0088455A" w:rsidP="00B56C0E">
      <w:pPr>
        <w:spacing w:after="0" w:line="240" w:lineRule="auto"/>
        <w:contextualSpacing/>
        <w:jc w:val="right"/>
        <w:rPr>
          <w:noProof/>
          <w:sz w:val="24"/>
          <w:szCs w:val="24"/>
          <w:lang w:eastAsia="en-GB"/>
        </w:rPr>
      </w:pPr>
      <w:r>
        <w:rPr>
          <w:noProof/>
          <w:sz w:val="24"/>
          <w:szCs w:val="24"/>
          <w:lang w:eastAsia="en-GB"/>
        </w:rPr>
        <w:drawing>
          <wp:inline distT="0" distB="0" distL="0" distR="0" wp14:anchorId="6750B0D3" wp14:editId="6D3FFDA8">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5506" cy="1031047"/>
                    </a:xfrm>
                    <a:prstGeom prst="rect">
                      <a:avLst/>
                    </a:prstGeom>
                    <a:noFill/>
                    <a:ln>
                      <a:noFill/>
                    </a:ln>
                  </pic:spPr>
                </pic:pic>
              </a:graphicData>
            </a:graphic>
          </wp:inline>
        </w:drawing>
      </w:r>
    </w:p>
    <w:p w14:paraId="38575220" w14:textId="13EF0D9E" w:rsidR="00C00519" w:rsidRDefault="00C00519" w:rsidP="00B56C0E">
      <w:pPr>
        <w:spacing w:after="0" w:line="240" w:lineRule="auto"/>
        <w:contextualSpacing/>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00DF374B">
        <w:tc>
          <w:tcPr>
            <w:tcW w:w="6799" w:type="dxa"/>
            <w:gridSpan w:val="4"/>
          </w:tcPr>
          <w:p w14:paraId="5DA9348A" w14:textId="2F3D530E" w:rsidR="00BF14B8" w:rsidRPr="00C802CF" w:rsidRDefault="00BF14B8" w:rsidP="00B56C0E">
            <w:pPr>
              <w:contextualSpacing/>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5BA82C2D" w:rsidR="00BF14B8" w:rsidRDefault="001A406B" w:rsidP="00B56C0E">
            <w:pPr>
              <w:contextualSpacing/>
              <w:rPr>
                <w:noProof/>
                <w:sz w:val="24"/>
                <w:szCs w:val="24"/>
                <w:lang w:eastAsia="en-GB"/>
              </w:rPr>
            </w:pPr>
            <w:r w:rsidRPr="001A406B">
              <w:rPr>
                <w:rFonts w:eastAsia="Times New Roman" w:cs="Times New Roman"/>
                <w:b/>
                <w:color w:val="AA890A"/>
                <w:sz w:val="28"/>
                <w:szCs w:val="28"/>
                <w:lang w:eastAsia="en-GB"/>
              </w:rPr>
              <w:t>Information security incident management procedures</w:t>
            </w:r>
          </w:p>
        </w:tc>
        <w:tc>
          <w:tcPr>
            <w:tcW w:w="3539" w:type="dxa"/>
          </w:tcPr>
          <w:p w14:paraId="2EAC8987" w14:textId="10158C8B" w:rsidR="00BF14B8" w:rsidRPr="00C802CF" w:rsidRDefault="00BF14B8" w:rsidP="00B56C0E">
            <w:pPr>
              <w:contextualSpacing/>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B56C0E">
            <w:pPr>
              <w:contextualSpacing/>
              <w:rPr>
                <w:noProof/>
                <w:sz w:val="24"/>
                <w:szCs w:val="24"/>
                <w:lang w:eastAsia="en-GB"/>
              </w:rPr>
            </w:pPr>
          </w:p>
        </w:tc>
      </w:tr>
      <w:tr w:rsidR="00DF374B" w:rsidRPr="00503557" w14:paraId="565A951B" w14:textId="3AB8A58E" w:rsidTr="00DF374B">
        <w:tc>
          <w:tcPr>
            <w:tcW w:w="1338" w:type="dxa"/>
          </w:tcPr>
          <w:p w14:paraId="4B6F378A" w14:textId="5898DF83" w:rsidR="00DF374B" w:rsidRPr="00503557" w:rsidRDefault="00DF374B" w:rsidP="00B56C0E">
            <w:pPr>
              <w:contextualSpacing/>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B56C0E">
            <w:pPr>
              <w:contextualSpacing/>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B56C0E">
            <w:pPr>
              <w:contextualSpacing/>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B56C0E">
            <w:pPr>
              <w:contextualSpacing/>
              <w:jc w:val="right"/>
              <w:rPr>
                <w:noProof/>
                <w:sz w:val="21"/>
                <w:szCs w:val="21"/>
                <w:lang w:eastAsia="en-GB"/>
              </w:rPr>
            </w:pPr>
          </w:p>
        </w:tc>
        <w:tc>
          <w:tcPr>
            <w:tcW w:w="3539" w:type="dxa"/>
          </w:tcPr>
          <w:p w14:paraId="58B41280" w14:textId="77777777" w:rsidR="00DF374B" w:rsidRPr="00503557" w:rsidRDefault="00DF374B" w:rsidP="00B56C0E">
            <w:pPr>
              <w:contextualSpacing/>
              <w:jc w:val="right"/>
              <w:rPr>
                <w:noProof/>
                <w:sz w:val="21"/>
                <w:szCs w:val="21"/>
                <w:lang w:eastAsia="en-GB"/>
              </w:rPr>
            </w:pPr>
          </w:p>
        </w:tc>
      </w:tr>
      <w:tr w:rsidR="00DF374B" w:rsidRPr="00503557" w14:paraId="6858A01C" w14:textId="0F3A0FEF" w:rsidTr="00DF374B">
        <w:tc>
          <w:tcPr>
            <w:tcW w:w="1338" w:type="dxa"/>
          </w:tcPr>
          <w:p w14:paraId="6C1703DF" w14:textId="77777777" w:rsidR="00DF374B" w:rsidRPr="00503557" w:rsidRDefault="00DF374B" w:rsidP="00B56C0E">
            <w:pPr>
              <w:contextualSpacing/>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B56C0E">
            <w:pPr>
              <w:contextualSpacing/>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B56C0E">
            <w:pPr>
              <w:contextualSpacing/>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B56C0E">
            <w:pPr>
              <w:contextualSpacing/>
              <w:jc w:val="right"/>
              <w:rPr>
                <w:noProof/>
                <w:sz w:val="21"/>
                <w:szCs w:val="21"/>
                <w:lang w:eastAsia="en-GB"/>
              </w:rPr>
            </w:pPr>
          </w:p>
        </w:tc>
        <w:tc>
          <w:tcPr>
            <w:tcW w:w="3539" w:type="dxa"/>
          </w:tcPr>
          <w:p w14:paraId="41820C0E" w14:textId="77777777" w:rsidR="00DF374B" w:rsidRPr="00503557" w:rsidRDefault="00DF374B" w:rsidP="00B56C0E">
            <w:pPr>
              <w:contextualSpacing/>
              <w:jc w:val="right"/>
              <w:rPr>
                <w:noProof/>
                <w:sz w:val="21"/>
                <w:szCs w:val="21"/>
                <w:lang w:eastAsia="en-GB"/>
              </w:rPr>
            </w:pPr>
          </w:p>
        </w:tc>
      </w:tr>
    </w:tbl>
    <w:p w14:paraId="4C2255AB" w14:textId="77777777" w:rsidR="0007099F" w:rsidRDefault="0007099F" w:rsidP="00B56C0E">
      <w:pPr>
        <w:spacing w:after="0" w:line="240" w:lineRule="auto"/>
        <w:contextualSpacing/>
        <w:rPr>
          <w:noProof/>
          <w:sz w:val="21"/>
          <w:szCs w:val="21"/>
          <w:lang w:eastAsia="en-GB"/>
        </w:rPr>
      </w:pPr>
    </w:p>
    <w:tbl>
      <w:tblPr>
        <w:tblStyle w:val="TableGrid"/>
        <w:tblW w:w="20676" w:type="dxa"/>
        <w:tblLook w:val="04A0" w:firstRow="1" w:lastRow="0" w:firstColumn="1" w:lastColumn="0" w:noHBand="0" w:noVBand="1"/>
      </w:tblPr>
      <w:tblGrid>
        <w:gridCol w:w="10338"/>
        <w:gridCol w:w="10338"/>
      </w:tblGrid>
      <w:tr w:rsidR="0007099F" w14:paraId="6F1D9290" w14:textId="77777777" w:rsidTr="0078163B">
        <w:tc>
          <w:tcPr>
            <w:tcW w:w="10338" w:type="dxa"/>
          </w:tcPr>
          <w:p w14:paraId="5C3D50FE" w14:textId="77777777" w:rsidR="0007099F" w:rsidRDefault="0007099F" w:rsidP="00B56C0E">
            <w:pPr>
              <w:contextualSpacing/>
              <w:rPr>
                <w:noProof/>
                <w:sz w:val="21"/>
                <w:szCs w:val="21"/>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c>
          <w:tcPr>
            <w:tcW w:w="10338" w:type="dxa"/>
          </w:tcPr>
          <w:p w14:paraId="3759123D" w14:textId="77777777" w:rsidR="0007099F" w:rsidRDefault="0007099F" w:rsidP="00B56C0E">
            <w:pPr>
              <w:contextualSpacing/>
              <w:rPr>
                <w:noProof/>
                <w:sz w:val="21"/>
                <w:szCs w:val="21"/>
                <w:lang w:eastAsia="en-GB"/>
              </w:rPr>
            </w:pPr>
          </w:p>
        </w:tc>
      </w:tr>
    </w:tbl>
    <w:p w14:paraId="1318101F" w14:textId="77777777" w:rsidR="00207EC2" w:rsidRDefault="00207EC2" w:rsidP="00B56C0E">
      <w:pPr>
        <w:spacing w:after="0" w:line="240" w:lineRule="auto"/>
        <w:contextualSpacing/>
        <w:jc w:val="both"/>
        <w:outlineLvl w:val="2"/>
        <w:rPr>
          <w:rFonts w:eastAsiaTheme="minorEastAsia"/>
          <w:sz w:val="21"/>
          <w:szCs w:val="21"/>
          <w:lang w:eastAsia="en-GB"/>
        </w:rPr>
      </w:pPr>
    </w:p>
    <w:p w14:paraId="027E4E0A" w14:textId="178833E2" w:rsidR="00F32F40" w:rsidRDefault="00207EC2" w:rsidP="00B56C0E">
      <w:pPr>
        <w:spacing w:after="0" w:line="240" w:lineRule="auto"/>
        <w:contextualSpacing/>
        <w:jc w:val="both"/>
        <w:outlineLvl w:val="2"/>
        <w:rPr>
          <w:rFonts w:eastAsiaTheme="minorEastAsia"/>
          <w:sz w:val="21"/>
          <w:szCs w:val="21"/>
          <w:lang w:eastAsia="en-GB"/>
        </w:rPr>
      </w:pPr>
      <w:r w:rsidRPr="00207EC2">
        <w:rPr>
          <w:rFonts w:eastAsiaTheme="minorEastAsia"/>
          <w:sz w:val="21"/>
          <w:szCs w:val="21"/>
          <w:lang w:eastAsia="en-GB"/>
        </w:rPr>
        <w:t xml:space="preserve">Information security incidents are any event that has resulted or could have resulted in the disclosure of confidential information to an unauthorised individual, the integrity of the system or data put at risk or the availability of the information through the system being put at risk. Incidents may include theft, misuse or loss of equipment containing confidential information or other incidents that could lead to authorised access to data.    </w:t>
      </w:r>
    </w:p>
    <w:p w14:paraId="5F3B31D4" w14:textId="53A65857" w:rsidR="004C42A3" w:rsidRDefault="004C42A3" w:rsidP="00B56C0E">
      <w:pPr>
        <w:spacing w:after="0" w:line="240" w:lineRule="auto"/>
        <w:contextualSpacing/>
        <w:jc w:val="both"/>
        <w:outlineLvl w:val="2"/>
        <w:rPr>
          <w:rFonts w:eastAsiaTheme="minorEastAsia"/>
          <w:sz w:val="21"/>
          <w:szCs w:val="21"/>
          <w:lang w:eastAsia="en-GB"/>
        </w:rPr>
      </w:pPr>
    </w:p>
    <w:p w14:paraId="2F97EC61" w14:textId="77777777" w:rsidR="00CD1557" w:rsidRPr="00503557" w:rsidRDefault="00CD1557" w:rsidP="00B56C0E">
      <w:pPr>
        <w:spacing w:after="0" w:line="240" w:lineRule="auto"/>
        <w:contextualSpacing/>
        <w:jc w:val="both"/>
        <w:outlineLvl w:val="2"/>
        <w:rPr>
          <w:rFonts w:eastAsiaTheme="minorEastAsia"/>
          <w:sz w:val="21"/>
          <w:szCs w:val="21"/>
          <w:lang w:eastAsia="en-GB"/>
        </w:rPr>
      </w:pPr>
    </w:p>
    <w:p w14:paraId="21907BD1" w14:textId="4CFAF1F2" w:rsidR="00F32F40" w:rsidRDefault="00073FE2" w:rsidP="00B56C0E">
      <w:pPr>
        <w:spacing w:after="0" w:line="240" w:lineRule="auto"/>
        <w:contextualSpacing/>
        <w:jc w:val="both"/>
        <w:outlineLvl w:val="2"/>
        <w:rPr>
          <w:rFonts w:eastAsia="Times New Roman" w:cs="Times New Roman"/>
          <w:b/>
          <w:color w:val="AA890A"/>
          <w:sz w:val="27"/>
          <w:szCs w:val="27"/>
          <w:lang w:eastAsia="en-GB"/>
        </w:rPr>
      </w:pPr>
      <w:r w:rsidRPr="00073FE2">
        <w:rPr>
          <w:rFonts w:eastAsia="Times New Roman" w:cs="Times New Roman"/>
          <w:b/>
          <w:color w:val="AA890A"/>
          <w:sz w:val="27"/>
          <w:szCs w:val="27"/>
          <w:lang w:eastAsia="en-GB"/>
        </w:rPr>
        <w:t>Procedures for dealing with various types of incident</w:t>
      </w:r>
    </w:p>
    <w:p w14:paraId="1F4A7EAD" w14:textId="77777777" w:rsidR="00CD1557" w:rsidRDefault="00CD1557" w:rsidP="00B56C0E">
      <w:pPr>
        <w:spacing w:after="0" w:line="240" w:lineRule="auto"/>
        <w:contextualSpacing/>
        <w:jc w:val="both"/>
        <w:outlineLvl w:val="2"/>
        <w:rPr>
          <w:rFonts w:cs="Arial"/>
          <w:sz w:val="21"/>
          <w:szCs w:val="21"/>
        </w:rPr>
      </w:pPr>
    </w:p>
    <w:p w14:paraId="2155886E" w14:textId="725418DB" w:rsidR="00C635EC" w:rsidRPr="008E51CD" w:rsidRDefault="00C635EC" w:rsidP="00B56C0E">
      <w:pPr>
        <w:spacing w:after="0" w:line="240" w:lineRule="auto"/>
        <w:contextualSpacing/>
        <w:jc w:val="both"/>
        <w:outlineLvl w:val="2"/>
        <w:rPr>
          <w:rFonts w:cs="Arial"/>
          <w:color w:val="4E3487" w:themeColor="accent1"/>
          <w:sz w:val="21"/>
          <w:szCs w:val="21"/>
        </w:rPr>
      </w:pPr>
      <w:r w:rsidRPr="00C635EC">
        <w:rPr>
          <w:rFonts w:cs="Arial"/>
          <w:sz w:val="21"/>
          <w:szCs w:val="21"/>
        </w:rPr>
        <w:t xml:space="preserve">All staff should report any suspicious incidents </w:t>
      </w:r>
      <w:r w:rsidRPr="006550B2">
        <w:rPr>
          <w:rFonts w:cs="Arial"/>
          <w:sz w:val="21"/>
          <w:szCs w:val="21"/>
        </w:rPr>
        <w:t>to</w:t>
      </w:r>
      <w:r w:rsidRPr="008E51CD">
        <w:rPr>
          <w:rFonts w:cs="Arial"/>
          <w:color w:val="4E3487" w:themeColor="accent1"/>
          <w:sz w:val="21"/>
          <w:szCs w:val="21"/>
        </w:rPr>
        <w:t xml:space="preserve"> [enter details e.g. the </w:t>
      </w:r>
      <w:r w:rsidR="00006961">
        <w:rPr>
          <w:rFonts w:cs="Arial"/>
          <w:color w:val="4E3487" w:themeColor="accent1"/>
          <w:sz w:val="21"/>
          <w:szCs w:val="21"/>
        </w:rPr>
        <w:t>IG</w:t>
      </w:r>
      <w:r w:rsidRPr="008E51CD">
        <w:rPr>
          <w:rFonts w:cs="Arial"/>
          <w:color w:val="4E3487" w:themeColor="accent1"/>
          <w:sz w:val="21"/>
          <w:szCs w:val="21"/>
        </w:rPr>
        <w:t xml:space="preserve"> </w:t>
      </w:r>
      <w:r w:rsidR="00006961">
        <w:rPr>
          <w:rFonts w:cs="Arial"/>
          <w:color w:val="4E3487" w:themeColor="accent1"/>
          <w:sz w:val="21"/>
          <w:szCs w:val="21"/>
        </w:rPr>
        <w:t>l</w:t>
      </w:r>
      <w:r w:rsidRPr="008E51CD">
        <w:rPr>
          <w:rFonts w:cs="Arial"/>
          <w:color w:val="4E3487" w:themeColor="accent1"/>
          <w:sz w:val="21"/>
          <w:szCs w:val="21"/>
        </w:rPr>
        <w:t>ead in the premises and/or within the organisation].</w:t>
      </w:r>
    </w:p>
    <w:p w14:paraId="695FB661" w14:textId="77777777" w:rsidR="00C635EC" w:rsidRPr="00C635EC" w:rsidRDefault="00C635EC" w:rsidP="00B56C0E">
      <w:pPr>
        <w:spacing w:after="0" w:line="240" w:lineRule="auto"/>
        <w:contextualSpacing/>
        <w:jc w:val="both"/>
        <w:outlineLvl w:val="2"/>
        <w:rPr>
          <w:rFonts w:cs="Arial"/>
          <w:sz w:val="21"/>
          <w:szCs w:val="21"/>
        </w:rPr>
      </w:pPr>
    </w:p>
    <w:p w14:paraId="17E49FF3" w14:textId="68E0F203" w:rsidR="00C635EC" w:rsidRPr="00C635EC" w:rsidRDefault="00C635EC" w:rsidP="00B56C0E">
      <w:pPr>
        <w:spacing w:after="0" w:line="240" w:lineRule="auto"/>
        <w:contextualSpacing/>
        <w:jc w:val="both"/>
        <w:outlineLvl w:val="2"/>
        <w:rPr>
          <w:rFonts w:cs="Arial"/>
          <w:sz w:val="21"/>
          <w:szCs w:val="21"/>
        </w:rPr>
      </w:pPr>
      <w:r w:rsidRPr="00C635EC">
        <w:rPr>
          <w:rFonts w:cs="Arial"/>
          <w:sz w:val="21"/>
          <w:szCs w:val="21"/>
        </w:rPr>
        <w:t xml:space="preserve">Incidents should always be investigated immediately whilst there is still the possibility of collecting as much evidence as possible. Investigations should normally be co-ordinated by </w:t>
      </w:r>
      <w:r w:rsidRPr="008E51CD">
        <w:rPr>
          <w:rFonts w:cs="Arial"/>
          <w:color w:val="4E3487" w:themeColor="accent1"/>
          <w:sz w:val="21"/>
          <w:szCs w:val="21"/>
        </w:rPr>
        <w:t xml:space="preserve">[the </w:t>
      </w:r>
      <w:r w:rsidR="00006961">
        <w:rPr>
          <w:rFonts w:cs="Arial"/>
          <w:color w:val="4E3487" w:themeColor="accent1"/>
          <w:sz w:val="21"/>
          <w:szCs w:val="21"/>
        </w:rPr>
        <w:t>IG</w:t>
      </w:r>
      <w:r w:rsidR="00006961" w:rsidRPr="008E51CD">
        <w:rPr>
          <w:rFonts w:cs="Arial"/>
          <w:color w:val="4E3487" w:themeColor="accent1"/>
          <w:sz w:val="21"/>
          <w:szCs w:val="21"/>
        </w:rPr>
        <w:t xml:space="preserve"> </w:t>
      </w:r>
      <w:r w:rsidR="00006961">
        <w:rPr>
          <w:rFonts w:cs="Arial"/>
          <w:color w:val="4E3487" w:themeColor="accent1"/>
          <w:sz w:val="21"/>
          <w:szCs w:val="21"/>
        </w:rPr>
        <w:t>l</w:t>
      </w:r>
      <w:r w:rsidRPr="008E51CD">
        <w:rPr>
          <w:rFonts w:cs="Arial"/>
          <w:color w:val="4E3487" w:themeColor="accent1"/>
          <w:sz w:val="21"/>
          <w:szCs w:val="21"/>
        </w:rPr>
        <w:t>ead in the premises and/or within the organisation depending on the seriousness of the incident].</w:t>
      </w:r>
    </w:p>
    <w:p w14:paraId="38D8F8A8" w14:textId="77777777" w:rsidR="00C635EC" w:rsidRPr="00C635EC" w:rsidRDefault="00C635EC" w:rsidP="00B56C0E">
      <w:pPr>
        <w:spacing w:after="0" w:line="240" w:lineRule="auto"/>
        <w:contextualSpacing/>
        <w:jc w:val="both"/>
        <w:outlineLvl w:val="2"/>
        <w:rPr>
          <w:rFonts w:cs="Arial"/>
          <w:sz w:val="21"/>
          <w:szCs w:val="21"/>
        </w:rPr>
      </w:pPr>
    </w:p>
    <w:p w14:paraId="76C81487" w14:textId="77777777" w:rsidR="00C635EC" w:rsidRPr="00C635EC" w:rsidRDefault="00C635EC" w:rsidP="00B56C0E">
      <w:pPr>
        <w:spacing w:after="0" w:line="240" w:lineRule="auto"/>
        <w:contextualSpacing/>
        <w:jc w:val="both"/>
        <w:outlineLvl w:val="2"/>
        <w:rPr>
          <w:rFonts w:cs="Arial"/>
          <w:sz w:val="21"/>
          <w:szCs w:val="21"/>
        </w:rPr>
      </w:pPr>
      <w:r w:rsidRPr="00C635EC">
        <w:rPr>
          <w:rFonts w:cs="Arial"/>
          <w:sz w:val="21"/>
          <w:szCs w:val="21"/>
        </w:rPr>
        <w:t xml:space="preserve">The following procedures should be followed for </w:t>
      </w:r>
      <w:proofErr w:type="gramStart"/>
      <w:r w:rsidRPr="00C635EC">
        <w:rPr>
          <w:rFonts w:cs="Arial"/>
          <w:sz w:val="21"/>
          <w:szCs w:val="21"/>
        </w:rPr>
        <w:t>particular breaches</w:t>
      </w:r>
      <w:proofErr w:type="gramEnd"/>
      <w:r w:rsidRPr="00C635EC">
        <w:rPr>
          <w:rFonts w:cs="Arial"/>
          <w:sz w:val="21"/>
          <w:szCs w:val="21"/>
        </w:rPr>
        <w:t>:</w:t>
      </w:r>
    </w:p>
    <w:p w14:paraId="74C87487" w14:textId="0A085B85" w:rsidR="00C635EC" w:rsidRDefault="00C635EC" w:rsidP="00B56C0E">
      <w:pPr>
        <w:spacing w:after="0" w:line="240" w:lineRule="auto"/>
        <w:contextualSpacing/>
        <w:jc w:val="both"/>
        <w:outlineLvl w:val="2"/>
        <w:rPr>
          <w:rFonts w:cs="Arial"/>
          <w:sz w:val="21"/>
          <w:szCs w:val="21"/>
        </w:rPr>
      </w:pPr>
    </w:p>
    <w:p w14:paraId="7DABB895" w14:textId="77777777" w:rsidR="00B56C0E" w:rsidRPr="00C635EC" w:rsidRDefault="00B56C0E" w:rsidP="00B56C0E">
      <w:pPr>
        <w:spacing w:after="0" w:line="240" w:lineRule="auto"/>
        <w:contextualSpacing/>
        <w:jc w:val="both"/>
        <w:outlineLvl w:val="2"/>
        <w:rPr>
          <w:rFonts w:cs="Arial"/>
          <w:sz w:val="21"/>
          <w:szCs w:val="21"/>
        </w:rPr>
      </w:pPr>
    </w:p>
    <w:p w14:paraId="492B580D" w14:textId="26385CB5" w:rsidR="00C635EC" w:rsidRPr="007002D0" w:rsidRDefault="00C635EC" w:rsidP="00B56C0E">
      <w:pPr>
        <w:pStyle w:val="ListParagraph"/>
        <w:numPr>
          <w:ilvl w:val="0"/>
          <w:numId w:val="39"/>
        </w:numPr>
        <w:spacing w:after="0" w:line="240" w:lineRule="auto"/>
        <w:contextualSpacing/>
        <w:jc w:val="both"/>
        <w:outlineLvl w:val="2"/>
        <w:rPr>
          <w:rFonts w:cs="Arial"/>
          <w:b/>
          <w:bCs/>
          <w:color w:val="AA890A"/>
          <w:sz w:val="21"/>
          <w:szCs w:val="21"/>
        </w:rPr>
      </w:pPr>
      <w:r w:rsidRPr="007002D0">
        <w:rPr>
          <w:rFonts w:cs="Arial"/>
          <w:b/>
          <w:bCs/>
          <w:color w:val="AA890A"/>
          <w:sz w:val="21"/>
          <w:szCs w:val="21"/>
        </w:rPr>
        <w:t>Theft of equipment holding confidential information and unauthorised access to an area with unsecured confidential information:</w:t>
      </w:r>
    </w:p>
    <w:p w14:paraId="1B67FA04" w14:textId="77777777" w:rsidR="00B971CE" w:rsidRDefault="00B971CE" w:rsidP="00B56C0E">
      <w:pPr>
        <w:pStyle w:val="ListParagraph"/>
        <w:spacing w:after="0" w:line="240" w:lineRule="auto"/>
        <w:contextualSpacing/>
        <w:jc w:val="both"/>
        <w:outlineLvl w:val="2"/>
        <w:rPr>
          <w:rFonts w:cs="Arial"/>
          <w:sz w:val="21"/>
          <w:szCs w:val="21"/>
        </w:rPr>
      </w:pPr>
    </w:p>
    <w:p w14:paraId="3ED002B5" w14:textId="4A7C3E1F" w:rsidR="00C635EC" w:rsidRPr="00B678CE" w:rsidRDefault="00C635EC" w:rsidP="00B56C0E">
      <w:pPr>
        <w:pStyle w:val="ListParagraph"/>
        <w:numPr>
          <w:ilvl w:val="0"/>
          <w:numId w:val="36"/>
        </w:numPr>
        <w:spacing w:after="0" w:line="240" w:lineRule="auto"/>
        <w:contextualSpacing/>
        <w:jc w:val="both"/>
        <w:outlineLvl w:val="2"/>
        <w:rPr>
          <w:rFonts w:cs="Arial"/>
          <w:sz w:val="21"/>
          <w:szCs w:val="21"/>
        </w:rPr>
      </w:pPr>
      <w:r w:rsidRPr="00B678CE">
        <w:rPr>
          <w:rFonts w:cs="Arial"/>
          <w:sz w:val="21"/>
          <w:szCs w:val="21"/>
        </w:rPr>
        <w:t>Check the asset register to find out which equipment is missing.</w:t>
      </w:r>
    </w:p>
    <w:p w14:paraId="4D04A641" w14:textId="24892FD7" w:rsidR="00C635EC" w:rsidRPr="00B678CE" w:rsidRDefault="00C635EC" w:rsidP="00B56C0E">
      <w:pPr>
        <w:pStyle w:val="ListParagraph"/>
        <w:numPr>
          <w:ilvl w:val="0"/>
          <w:numId w:val="36"/>
        </w:numPr>
        <w:spacing w:after="0" w:line="240" w:lineRule="auto"/>
        <w:contextualSpacing/>
        <w:jc w:val="both"/>
        <w:outlineLvl w:val="2"/>
        <w:rPr>
          <w:rFonts w:cs="Arial"/>
          <w:sz w:val="21"/>
          <w:szCs w:val="21"/>
        </w:rPr>
      </w:pPr>
      <w:r w:rsidRPr="00B678CE">
        <w:rPr>
          <w:rFonts w:cs="Arial"/>
          <w:sz w:val="21"/>
          <w:szCs w:val="21"/>
        </w:rPr>
        <w:t>Investigate whether there has been a legitimate reason for removal of the equipment (such as repair or working away from the usual base).</w:t>
      </w:r>
    </w:p>
    <w:p w14:paraId="466AF6E9" w14:textId="3DFCFFB5" w:rsidR="00C635EC" w:rsidRPr="00B678CE" w:rsidRDefault="00C635EC" w:rsidP="00B56C0E">
      <w:pPr>
        <w:pStyle w:val="ListParagraph"/>
        <w:numPr>
          <w:ilvl w:val="0"/>
          <w:numId w:val="36"/>
        </w:numPr>
        <w:spacing w:after="0" w:line="240" w:lineRule="auto"/>
        <w:contextualSpacing/>
        <w:jc w:val="both"/>
        <w:outlineLvl w:val="2"/>
        <w:rPr>
          <w:rFonts w:cs="Arial"/>
          <w:sz w:val="21"/>
          <w:szCs w:val="21"/>
        </w:rPr>
      </w:pPr>
      <w:r w:rsidRPr="00B678CE">
        <w:rPr>
          <w:rFonts w:cs="Arial"/>
          <w:sz w:val="21"/>
          <w:szCs w:val="21"/>
        </w:rPr>
        <w:t>If the cause is external inform the Police and ask them to investigate.</w:t>
      </w:r>
    </w:p>
    <w:p w14:paraId="108F26AF" w14:textId="019B951D" w:rsidR="00C635EC" w:rsidRPr="00B678CE" w:rsidRDefault="00C635EC" w:rsidP="00B56C0E">
      <w:pPr>
        <w:pStyle w:val="ListParagraph"/>
        <w:numPr>
          <w:ilvl w:val="0"/>
          <w:numId w:val="36"/>
        </w:numPr>
        <w:spacing w:after="0" w:line="240" w:lineRule="auto"/>
        <w:contextualSpacing/>
        <w:jc w:val="both"/>
        <w:outlineLvl w:val="2"/>
        <w:rPr>
          <w:rFonts w:cs="Arial"/>
          <w:sz w:val="21"/>
          <w:szCs w:val="21"/>
        </w:rPr>
      </w:pPr>
      <w:r w:rsidRPr="00B678CE">
        <w:rPr>
          <w:rFonts w:cs="Arial"/>
          <w:sz w:val="21"/>
          <w:szCs w:val="21"/>
        </w:rPr>
        <w:t>If the cause is internal, establish the reason for the theft/ unauthorised access</w:t>
      </w:r>
      <w:r w:rsidR="00006961">
        <w:rPr>
          <w:rFonts w:cs="Arial"/>
          <w:sz w:val="21"/>
          <w:szCs w:val="21"/>
        </w:rPr>
        <w:t>.</w:t>
      </w:r>
    </w:p>
    <w:p w14:paraId="5ECBB97A" w14:textId="547C317A" w:rsidR="00C635EC" w:rsidRPr="00B678CE" w:rsidRDefault="00C635EC" w:rsidP="00B56C0E">
      <w:pPr>
        <w:pStyle w:val="ListParagraph"/>
        <w:numPr>
          <w:ilvl w:val="0"/>
          <w:numId w:val="36"/>
        </w:numPr>
        <w:spacing w:after="0" w:line="240" w:lineRule="auto"/>
        <w:contextualSpacing/>
        <w:jc w:val="both"/>
        <w:outlineLvl w:val="2"/>
        <w:rPr>
          <w:rFonts w:cs="Arial"/>
          <w:sz w:val="21"/>
          <w:szCs w:val="21"/>
        </w:rPr>
      </w:pPr>
      <w:r w:rsidRPr="00B678CE">
        <w:rPr>
          <w:rFonts w:cs="Arial"/>
          <w:sz w:val="21"/>
          <w:szCs w:val="21"/>
        </w:rPr>
        <w:t xml:space="preserve">Consider the sensitivity of the data and the risk that it will be misused, to support assessing whether further action is appropriate (e.g. warning patients, informing the Police, </w:t>
      </w:r>
      <w:r w:rsidR="00FE1842">
        <w:rPr>
          <w:rFonts w:cs="Arial"/>
          <w:sz w:val="21"/>
          <w:szCs w:val="21"/>
        </w:rPr>
        <w:t>local NHS England and NHS Improvement team</w:t>
      </w:r>
      <w:r w:rsidRPr="00B678CE">
        <w:rPr>
          <w:rFonts w:cs="Arial"/>
          <w:sz w:val="21"/>
          <w:szCs w:val="21"/>
        </w:rPr>
        <w:t>).</w:t>
      </w:r>
    </w:p>
    <w:p w14:paraId="4897561C" w14:textId="48B428AA" w:rsidR="00C635EC" w:rsidRPr="00B678CE" w:rsidRDefault="00C635EC" w:rsidP="00B56C0E">
      <w:pPr>
        <w:pStyle w:val="ListParagraph"/>
        <w:numPr>
          <w:ilvl w:val="0"/>
          <w:numId w:val="36"/>
        </w:numPr>
        <w:spacing w:after="0" w:line="240" w:lineRule="auto"/>
        <w:contextualSpacing/>
        <w:jc w:val="both"/>
        <w:outlineLvl w:val="2"/>
        <w:rPr>
          <w:rFonts w:cs="Arial"/>
          <w:sz w:val="21"/>
          <w:szCs w:val="21"/>
        </w:rPr>
      </w:pPr>
      <w:r w:rsidRPr="00B678CE">
        <w:rPr>
          <w:rFonts w:cs="Arial"/>
          <w:sz w:val="21"/>
          <w:szCs w:val="21"/>
        </w:rPr>
        <w:t>Consider whether there is a future threat to system security and the need to take protective action e.g. change passwords</w:t>
      </w:r>
      <w:r w:rsidR="00006961">
        <w:rPr>
          <w:rFonts w:cs="Arial"/>
          <w:sz w:val="21"/>
          <w:szCs w:val="21"/>
        </w:rPr>
        <w:t>.</w:t>
      </w:r>
    </w:p>
    <w:p w14:paraId="70CF5360" w14:textId="7EFD9C64" w:rsidR="00C635EC" w:rsidRDefault="00C635EC" w:rsidP="00B56C0E">
      <w:pPr>
        <w:pStyle w:val="ListParagraph"/>
        <w:numPr>
          <w:ilvl w:val="0"/>
          <w:numId w:val="36"/>
        </w:numPr>
        <w:spacing w:after="0" w:line="240" w:lineRule="auto"/>
        <w:contextualSpacing/>
        <w:jc w:val="both"/>
        <w:outlineLvl w:val="2"/>
        <w:rPr>
          <w:rFonts w:cs="Arial"/>
          <w:sz w:val="21"/>
          <w:szCs w:val="21"/>
        </w:rPr>
      </w:pPr>
      <w:r w:rsidRPr="00B678CE">
        <w:rPr>
          <w:rFonts w:cs="Arial"/>
          <w:sz w:val="21"/>
          <w:szCs w:val="21"/>
        </w:rPr>
        <w:t>Categorise and report the incident as described as per ‘recording and reporting’ requirements.</w:t>
      </w:r>
    </w:p>
    <w:p w14:paraId="6265A3BC" w14:textId="476C40D8" w:rsidR="00B56C0E" w:rsidRDefault="00B56C0E" w:rsidP="00B56C0E">
      <w:pPr>
        <w:spacing w:after="0" w:line="240" w:lineRule="auto"/>
        <w:contextualSpacing/>
        <w:jc w:val="both"/>
        <w:outlineLvl w:val="2"/>
        <w:rPr>
          <w:rFonts w:cs="Arial"/>
          <w:sz w:val="21"/>
          <w:szCs w:val="21"/>
        </w:rPr>
      </w:pPr>
    </w:p>
    <w:p w14:paraId="1F007CA8" w14:textId="77777777" w:rsidR="00B56C0E" w:rsidRPr="00B56C0E" w:rsidRDefault="00B56C0E" w:rsidP="00B56C0E">
      <w:pPr>
        <w:spacing w:after="0" w:line="240" w:lineRule="auto"/>
        <w:contextualSpacing/>
        <w:jc w:val="both"/>
        <w:outlineLvl w:val="2"/>
        <w:rPr>
          <w:rFonts w:cs="Arial"/>
          <w:sz w:val="21"/>
          <w:szCs w:val="21"/>
        </w:rPr>
      </w:pPr>
    </w:p>
    <w:p w14:paraId="5CBE7698" w14:textId="77777777" w:rsidR="00C635EC" w:rsidRPr="00C635EC" w:rsidRDefault="00C635EC" w:rsidP="00B56C0E">
      <w:pPr>
        <w:spacing w:after="0" w:line="240" w:lineRule="auto"/>
        <w:contextualSpacing/>
        <w:jc w:val="both"/>
        <w:outlineLvl w:val="2"/>
        <w:rPr>
          <w:rFonts w:cs="Arial"/>
          <w:sz w:val="21"/>
          <w:szCs w:val="21"/>
        </w:rPr>
      </w:pPr>
    </w:p>
    <w:p w14:paraId="11D894A4" w14:textId="306AD06D" w:rsidR="00C635EC" w:rsidRPr="007002D0" w:rsidRDefault="00C635EC" w:rsidP="00B56C0E">
      <w:pPr>
        <w:pStyle w:val="ListParagraph"/>
        <w:numPr>
          <w:ilvl w:val="0"/>
          <w:numId w:val="39"/>
        </w:numPr>
        <w:spacing w:after="0" w:line="240" w:lineRule="auto"/>
        <w:contextualSpacing/>
        <w:jc w:val="both"/>
        <w:outlineLvl w:val="2"/>
        <w:rPr>
          <w:rFonts w:cs="Arial"/>
          <w:b/>
          <w:bCs/>
          <w:color w:val="AA890A"/>
          <w:sz w:val="21"/>
          <w:szCs w:val="21"/>
        </w:rPr>
      </w:pPr>
      <w:r w:rsidRPr="007002D0">
        <w:rPr>
          <w:rFonts w:cs="Arial"/>
          <w:b/>
          <w:bCs/>
          <w:color w:val="AA890A"/>
          <w:sz w:val="21"/>
          <w:szCs w:val="21"/>
        </w:rPr>
        <w:lastRenderedPageBreak/>
        <w:t>Access to patient records by an authorised user who has no work requirement to access the record:</w:t>
      </w:r>
    </w:p>
    <w:p w14:paraId="35F58878" w14:textId="77777777" w:rsidR="00B971CE" w:rsidRDefault="00B971CE" w:rsidP="00B56C0E">
      <w:pPr>
        <w:pStyle w:val="ListParagraph"/>
        <w:spacing w:after="0" w:line="240" w:lineRule="auto"/>
        <w:contextualSpacing/>
        <w:jc w:val="both"/>
        <w:outlineLvl w:val="2"/>
        <w:rPr>
          <w:rFonts w:cs="Arial"/>
          <w:sz w:val="21"/>
          <w:szCs w:val="21"/>
        </w:rPr>
      </w:pPr>
    </w:p>
    <w:p w14:paraId="55068329" w14:textId="7EEF1B41" w:rsidR="00C635EC" w:rsidRPr="00765C9E" w:rsidRDefault="00C635EC" w:rsidP="00B56C0E">
      <w:pPr>
        <w:pStyle w:val="ListParagraph"/>
        <w:numPr>
          <w:ilvl w:val="0"/>
          <w:numId w:val="37"/>
        </w:numPr>
        <w:spacing w:after="0" w:line="240" w:lineRule="auto"/>
        <w:contextualSpacing/>
        <w:jc w:val="both"/>
        <w:outlineLvl w:val="2"/>
        <w:rPr>
          <w:rFonts w:cs="Arial"/>
          <w:sz w:val="21"/>
          <w:szCs w:val="21"/>
        </w:rPr>
      </w:pPr>
      <w:r w:rsidRPr="00765C9E">
        <w:rPr>
          <w:rFonts w:cs="Arial"/>
          <w:sz w:val="21"/>
          <w:szCs w:val="21"/>
        </w:rPr>
        <w:t>Interview the person reporting the incident to establish the cause for concern.</w:t>
      </w:r>
    </w:p>
    <w:p w14:paraId="75E2A949" w14:textId="7E01372F" w:rsidR="00C635EC" w:rsidRPr="00765C9E" w:rsidRDefault="00C635EC" w:rsidP="00B56C0E">
      <w:pPr>
        <w:pStyle w:val="ListParagraph"/>
        <w:numPr>
          <w:ilvl w:val="0"/>
          <w:numId w:val="37"/>
        </w:numPr>
        <w:spacing w:after="0" w:line="240" w:lineRule="auto"/>
        <w:contextualSpacing/>
        <w:jc w:val="both"/>
        <w:outlineLvl w:val="2"/>
        <w:rPr>
          <w:rFonts w:cs="Arial"/>
          <w:sz w:val="21"/>
          <w:szCs w:val="21"/>
        </w:rPr>
      </w:pPr>
      <w:r w:rsidRPr="00765C9E">
        <w:rPr>
          <w:rFonts w:cs="Arial"/>
          <w:sz w:val="21"/>
          <w:szCs w:val="21"/>
        </w:rPr>
        <w:t>Establish the facts by;</w:t>
      </w:r>
    </w:p>
    <w:p w14:paraId="13855D38" w14:textId="4238644A" w:rsidR="00C635EC" w:rsidRPr="00765C9E" w:rsidRDefault="00C635EC" w:rsidP="00B56C0E">
      <w:pPr>
        <w:pStyle w:val="ListParagraph"/>
        <w:numPr>
          <w:ilvl w:val="1"/>
          <w:numId w:val="37"/>
        </w:numPr>
        <w:spacing w:after="0" w:line="240" w:lineRule="auto"/>
        <w:contextualSpacing/>
        <w:jc w:val="both"/>
        <w:outlineLvl w:val="2"/>
        <w:rPr>
          <w:rFonts w:cs="Arial"/>
          <w:sz w:val="21"/>
          <w:szCs w:val="21"/>
        </w:rPr>
      </w:pPr>
      <w:r w:rsidRPr="00765C9E">
        <w:rPr>
          <w:rFonts w:cs="Arial"/>
          <w:sz w:val="21"/>
          <w:szCs w:val="21"/>
        </w:rPr>
        <w:t>Asking the system supplier to conduct an audit on activities by the user concerned.</w:t>
      </w:r>
    </w:p>
    <w:p w14:paraId="7E55DF05" w14:textId="5FE83FA2" w:rsidR="00C635EC" w:rsidRPr="00765C9E" w:rsidRDefault="00C635EC" w:rsidP="00B56C0E">
      <w:pPr>
        <w:pStyle w:val="ListParagraph"/>
        <w:numPr>
          <w:ilvl w:val="1"/>
          <w:numId w:val="37"/>
        </w:numPr>
        <w:spacing w:after="0" w:line="240" w:lineRule="auto"/>
        <w:contextualSpacing/>
        <w:jc w:val="both"/>
        <w:outlineLvl w:val="2"/>
        <w:rPr>
          <w:rFonts w:cs="Arial"/>
          <w:sz w:val="21"/>
          <w:szCs w:val="21"/>
        </w:rPr>
      </w:pPr>
      <w:r w:rsidRPr="00765C9E">
        <w:rPr>
          <w:rFonts w:cs="Arial"/>
          <w:sz w:val="21"/>
          <w:szCs w:val="21"/>
        </w:rPr>
        <w:t>Interviewing the user concerned.</w:t>
      </w:r>
    </w:p>
    <w:p w14:paraId="3F59AD11" w14:textId="0FAF0C59" w:rsidR="00C635EC" w:rsidRPr="00765C9E" w:rsidRDefault="00C635EC" w:rsidP="00B56C0E">
      <w:pPr>
        <w:pStyle w:val="ListParagraph"/>
        <w:numPr>
          <w:ilvl w:val="0"/>
          <w:numId w:val="37"/>
        </w:numPr>
        <w:spacing w:after="0" w:line="240" w:lineRule="auto"/>
        <w:contextualSpacing/>
        <w:jc w:val="both"/>
        <w:outlineLvl w:val="2"/>
        <w:rPr>
          <w:rFonts w:cs="Arial"/>
          <w:sz w:val="21"/>
          <w:szCs w:val="21"/>
        </w:rPr>
      </w:pPr>
      <w:r w:rsidRPr="00765C9E">
        <w:rPr>
          <w:rFonts w:cs="Arial"/>
          <w:sz w:val="21"/>
          <w:szCs w:val="21"/>
        </w:rPr>
        <w:t>Establish the reason for unauthorised access.</w:t>
      </w:r>
    </w:p>
    <w:p w14:paraId="6E512E87" w14:textId="497978FD" w:rsidR="00C635EC" w:rsidRPr="00765C9E" w:rsidRDefault="00C635EC" w:rsidP="00B56C0E">
      <w:pPr>
        <w:pStyle w:val="ListParagraph"/>
        <w:numPr>
          <w:ilvl w:val="0"/>
          <w:numId w:val="37"/>
        </w:numPr>
        <w:spacing w:after="0" w:line="240" w:lineRule="auto"/>
        <w:contextualSpacing/>
        <w:jc w:val="both"/>
        <w:outlineLvl w:val="2"/>
        <w:rPr>
          <w:rFonts w:cs="Arial"/>
          <w:sz w:val="21"/>
          <w:szCs w:val="21"/>
        </w:rPr>
      </w:pPr>
      <w:r w:rsidRPr="00765C9E">
        <w:rPr>
          <w:rFonts w:cs="Arial"/>
          <w:sz w:val="21"/>
          <w:szCs w:val="21"/>
        </w:rPr>
        <w:t>Consider the sensitivity of the data and the risk to which the patient(s) have been exposed and consider whether the patient(s) should be informed.</w:t>
      </w:r>
    </w:p>
    <w:p w14:paraId="3B72EA94" w14:textId="542366C3" w:rsidR="00C635EC" w:rsidRPr="00765C9E" w:rsidRDefault="00C635EC" w:rsidP="00B56C0E">
      <w:pPr>
        <w:pStyle w:val="ListParagraph"/>
        <w:numPr>
          <w:ilvl w:val="0"/>
          <w:numId w:val="37"/>
        </w:numPr>
        <w:spacing w:after="0" w:line="240" w:lineRule="auto"/>
        <w:contextualSpacing/>
        <w:jc w:val="both"/>
        <w:outlineLvl w:val="2"/>
        <w:rPr>
          <w:rFonts w:cs="Arial"/>
          <w:sz w:val="21"/>
          <w:szCs w:val="21"/>
        </w:rPr>
      </w:pPr>
      <w:r w:rsidRPr="00765C9E">
        <w:rPr>
          <w:rFonts w:cs="Arial"/>
          <w:sz w:val="21"/>
          <w:szCs w:val="21"/>
        </w:rPr>
        <w:t>Take appropriate disciplinary action and action with the patient(s) where appropriate.</w:t>
      </w:r>
    </w:p>
    <w:p w14:paraId="429DFB38" w14:textId="70BAF8DE" w:rsidR="00C635EC" w:rsidRDefault="00C635EC" w:rsidP="00B56C0E">
      <w:pPr>
        <w:pStyle w:val="ListParagraph"/>
        <w:numPr>
          <w:ilvl w:val="0"/>
          <w:numId w:val="37"/>
        </w:numPr>
        <w:spacing w:after="0" w:line="240" w:lineRule="auto"/>
        <w:contextualSpacing/>
        <w:jc w:val="both"/>
        <w:outlineLvl w:val="2"/>
        <w:rPr>
          <w:rFonts w:cs="Arial"/>
          <w:sz w:val="21"/>
          <w:szCs w:val="21"/>
        </w:rPr>
      </w:pPr>
      <w:r w:rsidRPr="00765C9E">
        <w:rPr>
          <w:rFonts w:cs="Arial"/>
          <w:sz w:val="21"/>
          <w:szCs w:val="21"/>
        </w:rPr>
        <w:t>Categorise and report the incident as described as per ‘recording and reporting’ requirements.</w:t>
      </w:r>
    </w:p>
    <w:p w14:paraId="1E17EE2A" w14:textId="62C895AC" w:rsidR="00251AB1" w:rsidRDefault="00251AB1" w:rsidP="00B56C0E">
      <w:pPr>
        <w:spacing w:after="0" w:line="240" w:lineRule="auto"/>
        <w:contextualSpacing/>
        <w:jc w:val="both"/>
        <w:outlineLvl w:val="2"/>
        <w:rPr>
          <w:rFonts w:cs="Arial"/>
          <w:sz w:val="21"/>
          <w:szCs w:val="21"/>
        </w:rPr>
      </w:pPr>
    </w:p>
    <w:p w14:paraId="4422CB97" w14:textId="77777777" w:rsidR="00B56C0E" w:rsidRPr="00251AB1" w:rsidRDefault="00B56C0E" w:rsidP="00B56C0E">
      <w:pPr>
        <w:spacing w:after="0" w:line="240" w:lineRule="auto"/>
        <w:contextualSpacing/>
        <w:jc w:val="both"/>
        <w:outlineLvl w:val="2"/>
        <w:rPr>
          <w:rFonts w:cs="Arial"/>
          <w:sz w:val="21"/>
          <w:szCs w:val="21"/>
        </w:rPr>
      </w:pPr>
    </w:p>
    <w:p w14:paraId="41BB69D0" w14:textId="7DF95B55" w:rsidR="00C635EC" w:rsidRPr="007002D0" w:rsidRDefault="00C635EC" w:rsidP="00B56C0E">
      <w:pPr>
        <w:pStyle w:val="ListParagraph"/>
        <w:numPr>
          <w:ilvl w:val="0"/>
          <w:numId w:val="39"/>
        </w:numPr>
        <w:spacing w:after="0" w:line="240" w:lineRule="auto"/>
        <w:contextualSpacing/>
        <w:jc w:val="both"/>
        <w:outlineLvl w:val="2"/>
        <w:rPr>
          <w:rFonts w:cs="Arial"/>
          <w:b/>
          <w:bCs/>
          <w:color w:val="AA890A"/>
          <w:sz w:val="21"/>
          <w:szCs w:val="21"/>
        </w:rPr>
      </w:pPr>
      <w:r w:rsidRPr="007002D0">
        <w:rPr>
          <w:rFonts w:cs="Arial"/>
          <w:b/>
          <w:bCs/>
          <w:color w:val="AA890A"/>
          <w:sz w:val="21"/>
          <w:szCs w:val="21"/>
        </w:rPr>
        <w:t>Inadequate disposal of confidential material (paper, PC hard drive</w:t>
      </w:r>
      <w:r w:rsidR="00B56C0E">
        <w:rPr>
          <w:rFonts w:cs="Arial"/>
          <w:b/>
          <w:bCs/>
          <w:color w:val="AA890A"/>
          <w:sz w:val="21"/>
          <w:szCs w:val="21"/>
        </w:rPr>
        <w:t xml:space="preserve"> and</w:t>
      </w:r>
      <w:r w:rsidRPr="007002D0">
        <w:rPr>
          <w:rFonts w:cs="Arial"/>
          <w:b/>
          <w:bCs/>
          <w:color w:val="AA890A"/>
          <w:sz w:val="21"/>
          <w:szCs w:val="21"/>
        </w:rPr>
        <w:t xml:space="preserve"> disks):</w:t>
      </w:r>
    </w:p>
    <w:p w14:paraId="0A3B3A6A" w14:textId="77777777" w:rsidR="00B971CE" w:rsidRDefault="00B971CE" w:rsidP="00B56C0E">
      <w:pPr>
        <w:spacing w:after="0" w:line="240" w:lineRule="auto"/>
        <w:contextualSpacing/>
        <w:jc w:val="both"/>
        <w:outlineLvl w:val="2"/>
        <w:rPr>
          <w:rFonts w:cs="Arial"/>
          <w:sz w:val="21"/>
          <w:szCs w:val="21"/>
        </w:rPr>
      </w:pPr>
    </w:p>
    <w:p w14:paraId="4DD71B91" w14:textId="283789E3" w:rsidR="00C635EC" w:rsidRDefault="00C635EC" w:rsidP="00B56C0E">
      <w:pPr>
        <w:spacing w:after="0" w:line="240" w:lineRule="auto"/>
        <w:ind w:firstLine="360"/>
        <w:contextualSpacing/>
        <w:jc w:val="both"/>
        <w:outlineLvl w:val="2"/>
        <w:rPr>
          <w:rFonts w:cs="Arial"/>
          <w:sz w:val="21"/>
          <w:szCs w:val="21"/>
        </w:rPr>
      </w:pPr>
      <w:r w:rsidRPr="00C635EC">
        <w:rPr>
          <w:rFonts w:cs="Arial"/>
          <w:sz w:val="21"/>
          <w:szCs w:val="21"/>
        </w:rPr>
        <w:t>This type of incident is likely to be reported by a member of the public, a patient affected, or a member of staff;</w:t>
      </w:r>
    </w:p>
    <w:p w14:paraId="75B19477" w14:textId="77777777" w:rsidR="00B971CE" w:rsidRPr="00C635EC" w:rsidRDefault="00B971CE" w:rsidP="00B56C0E">
      <w:pPr>
        <w:spacing w:after="0" w:line="240" w:lineRule="auto"/>
        <w:ind w:firstLine="360"/>
        <w:contextualSpacing/>
        <w:jc w:val="both"/>
        <w:outlineLvl w:val="2"/>
        <w:rPr>
          <w:rFonts w:cs="Arial"/>
          <w:sz w:val="21"/>
          <w:szCs w:val="21"/>
        </w:rPr>
      </w:pPr>
    </w:p>
    <w:p w14:paraId="50495CB2" w14:textId="0703248E"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Investigate how the data came to become inappropriately disposed.</w:t>
      </w:r>
    </w:p>
    <w:p w14:paraId="2975FC65" w14:textId="1E9E1429"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Consider the sensitivity of the data and the risk to which the patient(s) have been exposed and consider whether the patient(s) should be informed.</w:t>
      </w:r>
    </w:p>
    <w:p w14:paraId="2E607F77" w14:textId="317821B1"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 xml:space="preserve">Take appropriate action to prevent further occurrences. (e.g. disciplinary, advice/training, contractual) </w:t>
      </w:r>
    </w:p>
    <w:p w14:paraId="4706CABA" w14:textId="5BC771B6"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Take appropriate action with the patient(s) as appropriate</w:t>
      </w:r>
      <w:r w:rsidR="00A318CC">
        <w:rPr>
          <w:rFonts w:cs="Arial"/>
          <w:sz w:val="21"/>
          <w:szCs w:val="21"/>
        </w:rPr>
        <w:t>.</w:t>
      </w:r>
    </w:p>
    <w:p w14:paraId="6A9C1AE2" w14:textId="757D54B3"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Categorise and report the incident as described as per ‘recording and reporting’ requirements.</w:t>
      </w:r>
    </w:p>
    <w:p w14:paraId="01C03DBA" w14:textId="05E92D1C" w:rsidR="00C635EC" w:rsidRDefault="00C635EC" w:rsidP="00B56C0E">
      <w:pPr>
        <w:spacing w:after="0" w:line="240" w:lineRule="auto"/>
        <w:contextualSpacing/>
        <w:jc w:val="both"/>
        <w:outlineLvl w:val="2"/>
        <w:rPr>
          <w:rFonts w:cs="Arial"/>
          <w:sz w:val="21"/>
          <w:szCs w:val="21"/>
        </w:rPr>
      </w:pPr>
    </w:p>
    <w:p w14:paraId="5D744910" w14:textId="77777777" w:rsidR="00B56C0E" w:rsidRPr="00C635EC" w:rsidRDefault="00B56C0E" w:rsidP="00B56C0E">
      <w:pPr>
        <w:spacing w:after="0" w:line="240" w:lineRule="auto"/>
        <w:contextualSpacing/>
        <w:jc w:val="both"/>
        <w:outlineLvl w:val="2"/>
        <w:rPr>
          <w:rFonts w:cs="Arial"/>
          <w:sz w:val="21"/>
          <w:szCs w:val="21"/>
        </w:rPr>
      </w:pPr>
    </w:p>
    <w:p w14:paraId="470CB215" w14:textId="3F28DFAE" w:rsidR="00C635EC" w:rsidRPr="007002D0" w:rsidRDefault="00C635EC" w:rsidP="00B56C0E">
      <w:pPr>
        <w:pStyle w:val="ListParagraph"/>
        <w:numPr>
          <w:ilvl w:val="0"/>
          <w:numId w:val="39"/>
        </w:numPr>
        <w:spacing w:after="0" w:line="240" w:lineRule="auto"/>
        <w:contextualSpacing/>
        <w:jc w:val="both"/>
        <w:outlineLvl w:val="2"/>
        <w:rPr>
          <w:rFonts w:cs="Arial"/>
          <w:b/>
          <w:bCs/>
          <w:color w:val="AA890A"/>
          <w:sz w:val="21"/>
          <w:szCs w:val="21"/>
        </w:rPr>
      </w:pPr>
      <w:r w:rsidRPr="007002D0">
        <w:rPr>
          <w:rFonts w:cs="Arial"/>
          <w:b/>
          <w:bCs/>
          <w:color w:val="AA890A"/>
          <w:sz w:val="21"/>
          <w:szCs w:val="21"/>
        </w:rPr>
        <w:t>Procedure for dealing with complaints about patient confidentiality by a member of the public, patient or member of staff:</w:t>
      </w:r>
    </w:p>
    <w:p w14:paraId="3E2CFBE1" w14:textId="77777777" w:rsidR="00B971CE" w:rsidRDefault="00B971CE" w:rsidP="00B56C0E">
      <w:pPr>
        <w:pStyle w:val="ListParagraph"/>
        <w:spacing w:after="0" w:line="240" w:lineRule="auto"/>
        <w:contextualSpacing/>
        <w:jc w:val="both"/>
        <w:outlineLvl w:val="2"/>
        <w:rPr>
          <w:rFonts w:cs="Arial"/>
          <w:sz w:val="21"/>
          <w:szCs w:val="21"/>
        </w:rPr>
      </w:pPr>
    </w:p>
    <w:p w14:paraId="440821D7" w14:textId="1D3CBD0A"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Interview the complainant to establish the reason for the complaint (Note, any complaint by a patient in relation to his NHS services must be investigated and handled in accordance with the Terms of Service)</w:t>
      </w:r>
      <w:r w:rsidR="00A318CC">
        <w:rPr>
          <w:rFonts w:cs="Arial"/>
          <w:sz w:val="21"/>
          <w:szCs w:val="21"/>
        </w:rPr>
        <w:t>.</w:t>
      </w:r>
    </w:p>
    <w:p w14:paraId="0707152B" w14:textId="50C96C88"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Investigate according to the information given by the complainant and take appropriate action.</w:t>
      </w:r>
    </w:p>
    <w:p w14:paraId="35C3C0DA" w14:textId="051B31C4"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Take appropriate action with the patient(s) as appropriate</w:t>
      </w:r>
      <w:r w:rsidR="00A318CC">
        <w:rPr>
          <w:rFonts w:cs="Arial"/>
          <w:sz w:val="21"/>
          <w:szCs w:val="21"/>
        </w:rPr>
        <w:t>.</w:t>
      </w:r>
    </w:p>
    <w:p w14:paraId="31CA47CF" w14:textId="19FDB262"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Categorise and report the incident as described as per ‘recording and reporting’ requirements.</w:t>
      </w:r>
    </w:p>
    <w:p w14:paraId="38319728" w14:textId="5123C600" w:rsidR="00C635EC" w:rsidRDefault="00C635EC" w:rsidP="00B56C0E">
      <w:pPr>
        <w:spacing w:after="0" w:line="240" w:lineRule="auto"/>
        <w:contextualSpacing/>
        <w:jc w:val="both"/>
        <w:outlineLvl w:val="2"/>
        <w:rPr>
          <w:rFonts w:cs="Arial"/>
          <w:sz w:val="21"/>
          <w:szCs w:val="21"/>
        </w:rPr>
      </w:pPr>
    </w:p>
    <w:p w14:paraId="646FCA03" w14:textId="77777777" w:rsidR="00B56C0E" w:rsidRPr="00C635EC" w:rsidRDefault="00B56C0E" w:rsidP="00B56C0E">
      <w:pPr>
        <w:spacing w:after="0" w:line="240" w:lineRule="auto"/>
        <w:contextualSpacing/>
        <w:jc w:val="both"/>
        <w:outlineLvl w:val="2"/>
        <w:rPr>
          <w:rFonts w:cs="Arial"/>
          <w:sz w:val="21"/>
          <w:szCs w:val="21"/>
        </w:rPr>
      </w:pPr>
    </w:p>
    <w:p w14:paraId="6180B3E5" w14:textId="77A0BCEB" w:rsidR="00C635EC" w:rsidRPr="007002D0" w:rsidRDefault="00C635EC" w:rsidP="00B56C0E">
      <w:pPr>
        <w:pStyle w:val="ListParagraph"/>
        <w:numPr>
          <w:ilvl w:val="0"/>
          <w:numId w:val="39"/>
        </w:numPr>
        <w:spacing w:after="0" w:line="240" w:lineRule="auto"/>
        <w:contextualSpacing/>
        <w:jc w:val="both"/>
        <w:outlineLvl w:val="2"/>
        <w:rPr>
          <w:rFonts w:cs="Arial"/>
          <w:b/>
          <w:bCs/>
          <w:color w:val="AA890A"/>
          <w:sz w:val="21"/>
          <w:szCs w:val="21"/>
        </w:rPr>
      </w:pPr>
      <w:r w:rsidRPr="007002D0">
        <w:rPr>
          <w:rFonts w:cs="Arial"/>
          <w:b/>
          <w:bCs/>
          <w:color w:val="AA890A"/>
          <w:sz w:val="21"/>
          <w:szCs w:val="21"/>
        </w:rPr>
        <w:t xml:space="preserve">Loss of data in transit e.g. when posting </w:t>
      </w:r>
      <w:r w:rsidR="00B56C0E">
        <w:rPr>
          <w:rFonts w:cs="Arial"/>
          <w:b/>
          <w:bCs/>
          <w:color w:val="AA890A"/>
          <w:sz w:val="21"/>
          <w:szCs w:val="21"/>
        </w:rPr>
        <w:t>NMS</w:t>
      </w:r>
      <w:r w:rsidRPr="007002D0">
        <w:rPr>
          <w:rFonts w:cs="Arial"/>
          <w:b/>
          <w:bCs/>
          <w:color w:val="AA890A"/>
          <w:sz w:val="21"/>
          <w:szCs w:val="21"/>
        </w:rPr>
        <w:t xml:space="preserve"> forms to the GP surgery or sending prescriptions to </w:t>
      </w:r>
      <w:r w:rsidR="00B56C0E">
        <w:rPr>
          <w:rFonts w:cs="Arial"/>
          <w:b/>
          <w:bCs/>
          <w:color w:val="AA890A"/>
          <w:sz w:val="21"/>
          <w:szCs w:val="21"/>
        </w:rPr>
        <w:t>NHSBSA</w:t>
      </w:r>
      <w:r w:rsidR="00006961" w:rsidRPr="007002D0">
        <w:rPr>
          <w:rFonts w:cs="Arial"/>
          <w:b/>
          <w:bCs/>
          <w:color w:val="AA890A"/>
          <w:sz w:val="21"/>
          <w:szCs w:val="21"/>
        </w:rPr>
        <w:t>:</w:t>
      </w:r>
    </w:p>
    <w:p w14:paraId="2F116C80" w14:textId="77777777" w:rsidR="00B971CE" w:rsidRDefault="00B971CE" w:rsidP="00B56C0E">
      <w:pPr>
        <w:pStyle w:val="ListParagraph"/>
        <w:spacing w:after="0" w:line="240" w:lineRule="auto"/>
        <w:contextualSpacing/>
        <w:jc w:val="both"/>
        <w:outlineLvl w:val="2"/>
        <w:rPr>
          <w:rFonts w:cs="Arial"/>
          <w:sz w:val="21"/>
          <w:szCs w:val="21"/>
        </w:rPr>
      </w:pPr>
    </w:p>
    <w:p w14:paraId="1B1C6AB3" w14:textId="5EC7B902"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Investigate, as far as possible what has gone missing and where</w:t>
      </w:r>
      <w:r w:rsidR="00A318CC">
        <w:rPr>
          <w:rFonts w:cs="Arial"/>
          <w:sz w:val="21"/>
          <w:szCs w:val="21"/>
        </w:rPr>
        <w:t>.</w:t>
      </w:r>
    </w:p>
    <w:p w14:paraId="2C3625E0" w14:textId="08F05730"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Consider the sensitivity of the data and the risk to which the patient(s) have been exposed and consider whether the patient(s) should be informed.</w:t>
      </w:r>
    </w:p>
    <w:p w14:paraId="3457DBD7" w14:textId="074D8FBA"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Take appropriate action to prevent further occurrences. (e.g. process (was the envelope correctly addressed, is there further safeguards  that could be introduced).</w:t>
      </w:r>
    </w:p>
    <w:p w14:paraId="29999C4D" w14:textId="7672F4F2"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Take appropriate action with the patient(s) as appropriate</w:t>
      </w:r>
      <w:r w:rsidR="00A318CC">
        <w:rPr>
          <w:rFonts w:cs="Arial"/>
          <w:sz w:val="21"/>
          <w:szCs w:val="21"/>
        </w:rPr>
        <w:t>.</w:t>
      </w:r>
    </w:p>
    <w:p w14:paraId="5220A32F" w14:textId="0B6D2D63" w:rsidR="00C635EC" w:rsidRPr="00B23FD6" w:rsidRDefault="00C635EC" w:rsidP="00B56C0E">
      <w:pPr>
        <w:pStyle w:val="ListParagraph"/>
        <w:numPr>
          <w:ilvl w:val="0"/>
          <w:numId w:val="38"/>
        </w:numPr>
        <w:spacing w:after="0" w:line="240" w:lineRule="auto"/>
        <w:contextualSpacing/>
        <w:jc w:val="both"/>
        <w:outlineLvl w:val="2"/>
        <w:rPr>
          <w:rFonts w:cs="Arial"/>
          <w:sz w:val="21"/>
          <w:szCs w:val="21"/>
        </w:rPr>
      </w:pPr>
      <w:r w:rsidRPr="00B23FD6">
        <w:rPr>
          <w:rFonts w:cs="Arial"/>
          <w:sz w:val="21"/>
          <w:szCs w:val="21"/>
        </w:rPr>
        <w:t>Categorise and report the incident as described as per ‘recording and reporting’ requirements</w:t>
      </w:r>
      <w:r w:rsidR="00A318CC">
        <w:rPr>
          <w:rFonts w:cs="Arial"/>
          <w:sz w:val="21"/>
          <w:szCs w:val="21"/>
        </w:rPr>
        <w:t>.</w:t>
      </w:r>
    </w:p>
    <w:p w14:paraId="1C09B658" w14:textId="77777777" w:rsidR="00D95DFD" w:rsidRDefault="00D95DFD" w:rsidP="00B56C0E">
      <w:pPr>
        <w:spacing w:after="0" w:line="240" w:lineRule="auto"/>
        <w:contextualSpacing/>
        <w:jc w:val="both"/>
        <w:rPr>
          <w:rFonts w:cs="Arial"/>
          <w:sz w:val="21"/>
          <w:szCs w:val="21"/>
        </w:rPr>
      </w:pPr>
    </w:p>
    <w:p w14:paraId="5292CCA3" w14:textId="476C4B9D" w:rsidR="00B971CE" w:rsidRDefault="00B971CE" w:rsidP="00B56C0E">
      <w:pPr>
        <w:spacing w:line="240" w:lineRule="auto"/>
        <w:contextualSpacing/>
        <w:rPr>
          <w:rFonts w:eastAsia="Times New Roman" w:cs="Times New Roman"/>
          <w:b/>
          <w:color w:val="AA890A"/>
          <w:sz w:val="27"/>
          <w:szCs w:val="27"/>
          <w:lang w:eastAsia="en-GB"/>
        </w:rPr>
      </w:pPr>
    </w:p>
    <w:p w14:paraId="6CB3C2B8" w14:textId="77777777" w:rsidR="00B971CE" w:rsidRDefault="00B971CE" w:rsidP="00B56C0E">
      <w:pPr>
        <w:spacing w:line="240" w:lineRule="auto"/>
        <w:contextualSpacing/>
        <w:rPr>
          <w:rFonts w:eastAsia="Times New Roman" w:cs="Times New Roman"/>
          <w:b/>
          <w:color w:val="AA890A"/>
          <w:sz w:val="27"/>
          <w:szCs w:val="27"/>
          <w:lang w:eastAsia="en-GB"/>
        </w:rPr>
      </w:pPr>
      <w:r>
        <w:rPr>
          <w:rFonts w:eastAsia="Times New Roman" w:cs="Times New Roman"/>
          <w:b/>
          <w:color w:val="AA890A"/>
          <w:sz w:val="27"/>
          <w:szCs w:val="27"/>
          <w:lang w:eastAsia="en-GB"/>
        </w:rPr>
        <w:br w:type="page"/>
      </w:r>
    </w:p>
    <w:p w14:paraId="29964438" w14:textId="4741EEA0" w:rsidR="00E0702F" w:rsidRDefault="00B971CE" w:rsidP="00B56C0E">
      <w:pPr>
        <w:spacing w:line="240" w:lineRule="auto"/>
        <w:contextualSpacing/>
        <w:rPr>
          <w:rFonts w:eastAsia="Times New Roman" w:cs="Times New Roman"/>
          <w:b/>
          <w:color w:val="AA890A"/>
          <w:sz w:val="27"/>
          <w:szCs w:val="27"/>
          <w:lang w:eastAsia="en-GB"/>
        </w:rPr>
      </w:pPr>
      <w:r>
        <w:rPr>
          <w:rFonts w:eastAsia="Times New Roman" w:cs="Times New Roman"/>
          <w:b/>
          <w:color w:val="AA890A"/>
          <w:sz w:val="27"/>
          <w:szCs w:val="27"/>
          <w:lang w:eastAsia="en-GB"/>
        </w:rPr>
        <w:lastRenderedPageBreak/>
        <w:t>P</w:t>
      </w:r>
      <w:r w:rsidR="00A82BCE" w:rsidRPr="00A82BCE">
        <w:rPr>
          <w:rFonts w:eastAsia="Times New Roman" w:cs="Times New Roman"/>
          <w:b/>
          <w:color w:val="AA890A"/>
          <w:sz w:val="27"/>
          <w:szCs w:val="27"/>
          <w:lang w:eastAsia="en-GB"/>
        </w:rPr>
        <w:t>rocedures for recording incidents</w:t>
      </w:r>
    </w:p>
    <w:p w14:paraId="45DA5608" w14:textId="77777777" w:rsidR="00CD1557" w:rsidRDefault="00CD1557" w:rsidP="00B56C0E">
      <w:pPr>
        <w:spacing w:line="240" w:lineRule="auto"/>
        <w:ind w:right="95"/>
        <w:contextualSpacing/>
        <w:jc w:val="both"/>
        <w:rPr>
          <w:rFonts w:ascii="Calibri" w:hAnsi="Calibri" w:cs="Calibri"/>
          <w:color w:val="000000"/>
          <w:sz w:val="20"/>
        </w:rPr>
      </w:pPr>
    </w:p>
    <w:p w14:paraId="327964EC" w14:textId="07EA62BB" w:rsidR="000A5FFE" w:rsidRPr="008D10F8" w:rsidRDefault="000A5FFE" w:rsidP="00B56C0E">
      <w:pPr>
        <w:spacing w:line="240" w:lineRule="auto"/>
        <w:ind w:right="95"/>
        <w:contextualSpacing/>
        <w:jc w:val="both"/>
        <w:rPr>
          <w:rFonts w:ascii="Calibri" w:hAnsi="Calibri" w:cs="Calibri"/>
          <w:color w:val="000000"/>
          <w:sz w:val="20"/>
        </w:rPr>
      </w:pPr>
      <w:r w:rsidRPr="008D10F8">
        <w:rPr>
          <w:rFonts w:ascii="Calibri" w:hAnsi="Calibri" w:cs="Calibri"/>
          <w:color w:val="000000"/>
          <w:sz w:val="20"/>
        </w:rPr>
        <w:t xml:space="preserve">A record of all incidents, including near-misses, should be made by completing a copy of the information security incident report form. </w:t>
      </w:r>
    </w:p>
    <w:p w14:paraId="7621759E" w14:textId="77777777" w:rsidR="000A5FFE" w:rsidRPr="008D10F8" w:rsidRDefault="000A5FFE" w:rsidP="00B56C0E">
      <w:pPr>
        <w:spacing w:line="240" w:lineRule="auto"/>
        <w:ind w:right="95"/>
        <w:contextualSpacing/>
        <w:jc w:val="both"/>
        <w:rPr>
          <w:rFonts w:ascii="Calibri" w:hAnsi="Calibri" w:cs="Calibri"/>
          <w:color w:val="000000"/>
          <w:sz w:val="20"/>
        </w:rPr>
      </w:pPr>
    </w:p>
    <w:p w14:paraId="7CAA1DF7" w14:textId="77777777" w:rsidR="000A5FFE" w:rsidRPr="008D10F8" w:rsidRDefault="000A5FFE" w:rsidP="00B56C0E">
      <w:pPr>
        <w:spacing w:line="240" w:lineRule="auto"/>
        <w:ind w:right="95"/>
        <w:contextualSpacing/>
        <w:jc w:val="both"/>
        <w:rPr>
          <w:rFonts w:ascii="Calibri" w:hAnsi="Calibri" w:cs="Calibri"/>
          <w:color w:val="000000"/>
          <w:sz w:val="20"/>
        </w:rPr>
      </w:pPr>
      <w:r w:rsidRPr="008D10F8">
        <w:rPr>
          <w:rFonts w:ascii="Calibri" w:hAnsi="Calibri" w:cs="Calibri"/>
          <w:sz w:val="20"/>
        </w:rPr>
        <w:t xml:space="preserve">Incidents should be classified in the log according to severity of risk to patients and the pharmacy using the following </w:t>
      </w:r>
      <w:r w:rsidRPr="008D10F8">
        <w:rPr>
          <w:rFonts w:ascii="Calibri" w:hAnsi="Calibri" w:cs="Calibri"/>
          <w:color w:val="000000"/>
          <w:sz w:val="20"/>
        </w:rPr>
        <w:t xml:space="preserve">incident classification system described below. For near-misses, consider the likely impact if the breach had occurred. </w:t>
      </w:r>
    </w:p>
    <w:p w14:paraId="254C7868" w14:textId="77777777" w:rsidR="000A5FFE" w:rsidRPr="008D10F8" w:rsidRDefault="000A5FFE" w:rsidP="00B56C0E">
      <w:pPr>
        <w:spacing w:line="240" w:lineRule="auto"/>
        <w:ind w:right="95"/>
        <w:contextualSpacing/>
        <w:jc w:val="both"/>
        <w:rPr>
          <w:rFonts w:ascii="Calibri" w:hAnsi="Calibri" w:cs="Calibri"/>
          <w:color w:val="000000"/>
          <w:sz w:val="20"/>
        </w:rPr>
      </w:pPr>
    </w:p>
    <w:p w14:paraId="01B3E203" w14:textId="77777777" w:rsidR="000A5FFE" w:rsidRPr="00251AB1" w:rsidRDefault="000A5FFE" w:rsidP="00B56C0E">
      <w:pPr>
        <w:spacing w:line="240" w:lineRule="auto"/>
        <w:contextualSpacing/>
        <w:jc w:val="both"/>
        <w:rPr>
          <w:rFonts w:cs="Arial"/>
          <w:b/>
          <w:bCs/>
          <w:color w:val="AA890A"/>
          <w:sz w:val="21"/>
          <w:szCs w:val="21"/>
        </w:rPr>
      </w:pPr>
      <w:r w:rsidRPr="00251AB1">
        <w:rPr>
          <w:rFonts w:cs="Arial"/>
          <w:b/>
          <w:bCs/>
          <w:color w:val="AA890A"/>
          <w:sz w:val="21"/>
          <w:szCs w:val="21"/>
        </w:rPr>
        <w:t>Incident Classification:</w:t>
      </w:r>
    </w:p>
    <w:p w14:paraId="6CF2315A" w14:textId="77777777" w:rsidR="000A5FFE" w:rsidRPr="008D10F8" w:rsidRDefault="000A5FFE" w:rsidP="00B56C0E">
      <w:pPr>
        <w:spacing w:line="240" w:lineRule="auto"/>
        <w:contextualSpacing/>
        <w:jc w:val="both"/>
        <w:rPr>
          <w:rFonts w:ascii="Calibri" w:hAnsi="Calibri" w:cs="Calibri"/>
          <w:b/>
          <w:sz w:val="20"/>
          <w:szCs w:val="20"/>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47"/>
        <w:gridCol w:w="2126"/>
        <w:gridCol w:w="2267"/>
        <w:gridCol w:w="2126"/>
        <w:gridCol w:w="2128"/>
      </w:tblGrid>
      <w:tr w:rsidR="000A5FFE" w:rsidRPr="008D10F8" w14:paraId="2FED832C" w14:textId="77777777" w:rsidTr="00CD1557">
        <w:tc>
          <w:tcPr>
            <w:tcW w:w="717" w:type="pct"/>
            <w:shd w:val="clear" w:color="auto" w:fill="FFFFFF"/>
          </w:tcPr>
          <w:p w14:paraId="225C469B" w14:textId="77777777" w:rsidR="000A5FFE" w:rsidRPr="008D10F8" w:rsidRDefault="000A5FFE" w:rsidP="00B56C0E">
            <w:pPr>
              <w:spacing w:line="240" w:lineRule="auto"/>
              <w:contextualSpacing/>
              <w:rPr>
                <w:rFonts w:ascii="Calibri" w:hAnsi="Calibri" w:cs="Calibri"/>
                <w:b/>
                <w:sz w:val="20"/>
                <w:szCs w:val="20"/>
              </w:rPr>
            </w:pPr>
            <w:r w:rsidRPr="008D10F8">
              <w:rPr>
                <w:rFonts w:ascii="Calibri" w:hAnsi="Calibri" w:cs="Calibri"/>
                <w:b/>
                <w:sz w:val="20"/>
                <w:szCs w:val="20"/>
              </w:rPr>
              <w:t xml:space="preserve">Insignificant: </w:t>
            </w:r>
          </w:p>
          <w:p w14:paraId="490D6AEB" w14:textId="77777777" w:rsidR="000A5FFE" w:rsidRPr="008D10F8" w:rsidRDefault="000A5FFE" w:rsidP="00B56C0E">
            <w:pPr>
              <w:spacing w:line="240" w:lineRule="auto"/>
              <w:contextualSpacing/>
              <w:rPr>
                <w:rFonts w:ascii="Calibri" w:hAnsi="Calibri" w:cs="Calibri"/>
                <w:sz w:val="16"/>
                <w:szCs w:val="16"/>
              </w:rPr>
            </w:pPr>
            <w:r w:rsidRPr="008D10F8">
              <w:rPr>
                <w:rFonts w:ascii="Calibri" w:hAnsi="Calibri" w:cs="Calibri"/>
                <w:sz w:val="16"/>
                <w:szCs w:val="16"/>
              </w:rPr>
              <w:t>Minimal discernible effect on patients or the pharmacy.</w:t>
            </w:r>
          </w:p>
        </w:tc>
        <w:tc>
          <w:tcPr>
            <w:tcW w:w="1053" w:type="pct"/>
            <w:shd w:val="clear" w:color="auto" w:fill="FFFFFF"/>
          </w:tcPr>
          <w:p w14:paraId="22CBA592" w14:textId="77777777" w:rsidR="000A5FFE" w:rsidRPr="008D10F8" w:rsidRDefault="000A5FFE" w:rsidP="00B56C0E">
            <w:pPr>
              <w:spacing w:line="240" w:lineRule="auto"/>
              <w:contextualSpacing/>
              <w:rPr>
                <w:rFonts w:ascii="Calibri" w:hAnsi="Calibri" w:cs="Calibri"/>
                <w:b/>
                <w:sz w:val="20"/>
                <w:szCs w:val="20"/>
              </w:rPr>
            </w:pPr>
            <w:r w:rsidRPr="008D10F8">
              <w:rPr>
                <w:rFonts w:ascii="Calibri" w:hAnsi="Calibri" w:cs="Calibri"/>
                <w:b/>
                <w:sz w:val="20"/>
                <w:szCs w:val="20"/>
              </w:rPr>
              <w:t xml:space="preserve">Minor: </w:t>
            </w:r>
          </w:p>
          <w:p w14:paraId="799B909A" w14:textId="77777777" w:rsidR="000A5FFE" w:rsidRPr="008D10F8" w:rsidRDefault="000A5FFE" w:rsidP="00B56C0E">
            <w:pPr>
              <w:spacing w:line="240" w:lineRule="auto"/>
              <w:contextualSpacing/>
              <w:rPr>
                <w:rFonts w:ascii="Calibri" w:hAnsi="Calibri" w:cs="Calibri"/>
                <w:sz w:val="16"/>
                <w:szCs w:val="16"/>
              </w:rPr>
            </w:pPr>
            <w:r w:rsidRPr="008D10F8">
              <w:rPr>
                <w:rFonts w:ascii="Calibri" w:hAnsi="Calibri" w:cs="Calibri"/>
                <w:sz w:val="16"/>
                <w:szCs w:val="16"/>
              </w:rPr>
              <w:t>Minor breach, for example data lost but files encrypted, less than 5 patients affected.</w:t>
            </w:r>
          </w:p>
          <w:p w14:paraId="6007577C" w14:textId="77777777" w:rsidR="000A5FFE" w:rsidRPr="008D10F8" w:rsidRDefault="000A5FFE" w:rsidP="00B56C0E">
            <w:pPr>
              <w:spacing w:line="240" w:lineRule="auto"/>
              <w:contextualSpacing/>
              <w:rPr>
                <w:rFonts w:ascii="Calibri" w:hAnsi="Calibri" w:cs="Calibri"/>
                <w:sz w:val="16"/>
                <w:szCs w:val="16"/>
              </w:rPr>
            </w:pPr>
          </w:p>
          <w:p w14:paraId="14B40D7C" w14:textId="77777777" w:rsidR="000A5FFE" w:rsidRPr="008D10F8" w:rsidRDefault="000A5FFE" w:rsidP="00B56C0E">
            <w:pPr>
              <w:spacing w:line="240" w:lineRule="auto"/>
              <w:contextualSpacing/>
              <w:rPr>
                <w:rFonts w:ascii="Calibri" w:hAnsi="Calibri" w:cs="Calibri"/>
                <w:b/>
                <w:sz w:val="20"/>
                <w:szCs w:val="20"/>
              </w:rPr>
            </w:pPr>
            <w:r w:rsidRPr="008D10F8">
              <w:rPr>
                <w:rFonts w:ascii="Calibri" w:hAnsi="Calibri" w:cs="Calibri"/>
                <w:b/>
                <w:sz w:val="16"/>
                <w:szCs w:val="16"/>
              </w:rPr>
              <w:t>Inconvenient to the pharmacy but manageable.</w:t>
            </w:r>
          </w:p>
          <w:p w14:paraId="5A7614EE" w14:textId="77777777" w:rsidR="000A5FFE" w:rsidRPr="008D10F8" w:rsidRDefault="000A5FFE" w:rsidP="00B56C0E">
            <w:pPr>
              <w:spacing w:line="240" w:lineRule="auto"/>
              <w:contextualSpacing/>
              <w:rPr>
                <w:rFonts w:ascii="Calibri" w:hAnsi="Calibri" w:cs="Calibri"/>
                <w:b/>
                <w:sz w:val="20"/>
                <w:szCs w:val="20"/>
              </w:rPr>
            </w:pPr>
          </w:p>
          <w:p w14:paraId="7F0DC1DA" w14:textId="77777777" w:rsidR="000A5FFE" w:rsidRPr="008D10F8" w:rsidRDefault="000A5FFE" w:rsidP="00B56C0E">
            <w:pPr>
              <w:spacing w:line="240" w:lineRule="auto"/>
              <w:contextualSpacing/>
              <w:rPr>
                <w:rFonts w:ascii="Calibri" w:hAnsi="Calibri" w:cs="Calibri"/>
                <w:b/>
                <w:sz w:val="20"/>
                <w:szCs w:val="20"/>
              </w:rPr>
            </w:pPr>
          </w:p>
        </w:tc>
        <w:tc>
          <w:tcPr>
            <w:tcW w:w="1123" w:type="pct"/>
            <w:shd w:val="clear" w:color="auto" w:fill="FFFFFF"/>
          </w:tcPr>
          <w:p w14:paraId="4DD2CEC4" w14:textId="77777777" w:rsidR="000A5FFE" w:rsidRPr="008D10F8" w:rsidRDefault="000A5FFE" w:rsidP="00B56C0E">
            <w:pPr>
              <w:spacing w:line="240" w:lineRule="auto"/>
              <w:contextualSpacing/>
              <w:rPr>
                <w:rFonts w:ascii="Calibri" w:hAnsi="Calibri" w:cs="Calibri"/>
                <w:b/>
                <w:sz w:val="20"/>
                <w:szCs w:val="20"/>
              </w:rPr>
            </w:pPr>
            <w:r w:rsidRPr="008D10F8">
              <w:rPr>
                <w:rFonts w:ascii="Calibri" w:hAnsi="Calibri" w:cs="Calibri"/>
                <w:b/>
                <w:sz w:val="20"/>
                <w:szCs w:val="20"/>
              </w:rPr>
              <w:t xml:space="preserve">Moderate: </w:t>
            </w:r>
          </w:p>
          <w:p w14:paraId="2B5317BC" w14:textId="77777777" w:rsidR="000A5FFE" w:rsidRPr="008D10F8" w:rsidRDefault="000A5FFE" w:rsidP="00B56C0E">
            <w:pPr>
              <w:spacing w:line="240" w:lineRule="auto"/>
              <w:contextualSpacing/>
              <w:rPr>
                <w:rFonts w:ascii="Calibri" w:hAnsi="Calibri" w:cs="Calibri"/>
                <w:sz w:val="16"/>
                <w:szCs w:val="16"/>
              </w:rPr>
            </w:pPr>
            <w:r w:rsidRPr="008D10F8">
              <w:rPr>
                <w:rFonts w:ascii="Calibri" w:hAnsi="Calibri" w:cs="Calibri"/>
                <w:sz w:val="16"/>
                <w:szCs w:val="16"/>
              </w:rPr>
              <w:t>Moderate breach, for example unencrypted clinical records lost, up to 20 patients affected.</w:t>
            </w:r>
          </w:p>
          <w:p w14:paraId="2DC25BAB" w14:textId="77777777" w:rsidR="000A5FFE" w:rsidRPr="008D10F8" w:rsidRDefault="000A5FFE" w:rsidP="00B56C0E">
            <w:pPr>
              <w:spacing w:line="240" w:lineRule="auto"/>
              <w:contextualSpacing/>
              <w:rPr>
                <w:rFonts w:ascii="Calibri" w:hAnsi="Calibri" w:cs="Calibri"/>
                <w:sz w:val="16"/>
                <w:szCs w:val="16"/>
              </w:rPr>
            </w:pPr>
          </w:p>
          <w:p w14:paraId="144376D5" w14:textId="77777777" w:rsidR="000A5FFE" w:rsidRPr="008D10F8" w:rsidRDefault="000A5FFE" w:rsidP="00B56C0E">
            <w:pPr>
              <w:spacing w:line="240" w:lineRule="auto"/>
              <w:contextualSpacing/>
              <w:rPr>
                <w:rFonts w:ascii="Calibri" w:hAnsi="Calibri" w:cs="Calibri"/>
                <w:b/>
                <w:sz w:val="16"/>
                <w:szCs w:val="16"/>
              </w:rPr>
            </w:pPr>
            <w:r w:rsidRPr="008D10F8">
              <w:rPr>
                <w:rFonts w:ascii="Calibri" w:hAnsi="Calibri" w:cs="Calibri"/>
                <w:b/>
                <w:sz w:val="16"/>
                <w:szCs w:val="16"/>
              </w:rPr>
              <w:t>Potential for damage to the pharmacy’s reputation.</w:t>
            </w:r>
          </w:p>
          <w:p w14:paraId="7B327655" w14:textId="77777777" w:rsidR="000A5FFE" w:rsidRPr="008D10F8" w:rsidRDefault="000A5FFE" w:rsidP="00B56C0E">
            <w:pPr>
              <w:spacing w:line="240" w:lineRule="auto"/>
              <w:contextualSpacing/>
              <w:rPr>
                <w:rFonts w:ascii="Calibri" w:hAnsi="Calibri" w:cs="Calibri"/>
                <w:b/>
                <w:sz w:val="20"/>
                <w:szCs w:val="20"/>
              </w:rPr>
            </w:pPr>
          </w:p>
        </w:tc>
        <w:tc>
          <w:tcPr>
            <w:tcW w:w="1053" w:type="pct"/>
            <w:shd w:val="clear" w:color="auto" w:fill="FFFFFF"/>
          </w:tcPr>
          <w:p w14:paraId="59F29A7B" w14:textId="77777777" w:rsidR="000A5FFE" w:rsidRPr="008D10F8" w:rsidRDefault="000A5FFE" w:rsidP="00B56C0E">
            <w:pPr>
              <w:spacing w:line="240" w:lineRule="auto"/>
              <w:contextualSpacing/>
              <w:rPr>
                <w:rFonts w:ascii="Calibri" w:hAnsi="Calibri" w:cs="Calibri"/>
                <w:b/>
                <w:sz w:val="20"/>
                <w:szCs w:val="20"/>
              </w:rPr>
            </w:pPr>
            <w:r w:rsidRPr="008D10F8">
              <w:rPr>
                <w:rFonts w:ascii="Calibri" w:hAnsi="Calibri" w:cs="Calibri"/>
                <w:b/>
                <w:sz w:val="20"/>
                <w:szCs w:val="20"/>
              </w:rPr>
              <w:t xml:space="preserve">Major: </w:t>
            </w:r>
          </w:p>
          <w:p w14:paraId="4B1D4769" w14:textId="77777777" w:rsidR="000A5FFE" w:rsidRPr="008D10F8" w:rsidRDefault="000A5FFE" w:rsidP="00B56C0E">
            <w:pPr>
              <w:spacing w:line="240" w:lineRule="auto"/>
              <w:contextualSpacing/>
              <w:rPr>
                <w:rFonts w:ascii="Calibri" w:hAnsi="Calibri" w:cs="Calibri"/>
                <w:sz w:val="16"/>
                <w:szCs w:val="16"/>
              </w:rPr>
            </w:pPr>
            <w:r w:rsidRPr="008D10F8">
              <w:rPr>
                <w:rFonts w:ascii="Calibri" w:hAnsi="Calibri" w:cs="Calibri"/>
                <w:sz w:val="16"/>
                <w:szCs w:val="16"/>
              </w:rPr>
              <w:t xml:space="preserve">Serious breach, for example unencrypted clinical records lost, up to 1,000 patients affected or </w:t>
            </w:r>
            <w:proofErr w:type="gramStart"/>
            <w:r w:rsidRPr="008D10F8">
              <w:rPr>
                <w:rFonts w:ascii="Calibri" w:hAnsi="Calibri" w:cs="Calibri"/>
                <w:sz w:val="16"/>
                <w:szCs w:val="16"/>
              </w:rPr>
              <w:t>particular sensitivity</w:t>
            </w:r>
            <w:proofErr w:type="gramEnd"/>
            <w:r w:rsidRPr="008D10F8">
              <w:rPr>
                <w:rFonts w:ascii="Calibri" w:hAnsi="Calibri" w:cs="Calibri"/>
                <w:sz w:val="16"/>
                <w:szCs w:val="16"/>
              </w:rPr>
              <w:t xml:space="preserve"> e.g. sexual health information disclosed.</w:t>
            </w:r>
          </w:p>
          <w:p w14:paraId="3D49621C" w14:textId="77777777" w:rsidR="000A5FFE" w:rsidRPr="008D10F8" w:rsidRDefault="000A5FFE" w:rsidP="00B56C0E">
            <w:pPr>
              <w:spacing w:line="240" w:lineRule="auto"/>
              <w:contextualSpacing/>
              <w:rPr>
                <w:rFonts w:ascii="Calibri" w:hAnsi="Calibri" w:cs="Calibri"/>
                <w:sz w:val="16"/>
                <w:szCs w:val="16"/>
              </w:rPr>
            </w:pPr>
          </w:p>
          <w:p w14:paraId="43459347" w14:textId="77777777" w:rsidR="000A5FFE" w:rsidRPr="008D10F8" w:rsidRDefault="000A5FFE" w:rsidP="00B56C0E">
            <w:pPr>
              <w:spacing w:line="240" w:lineRule="auto"/>
              <w:contextualSpacing/>
              <w:rPr>
                <w:rFonts w:ascii="Calibri" w:hAnsi="Calibri" w:cs="Calibri"/>
                <w:b/>
                <w:sz w:val="20"/>
                <w:szCs w:val="20"/>
              </w:rPr>
            </w:pPr>
            <w:r w:rsidRPr="008D10F8">
              <w:rPr>
                <w:rFonts w:ascii="Calibri" w:hAnsi="Calibri" w:cs="Calibri"/>
                <w:b/>
                <w:sz w:val="16"/>
                <w:szCs w:val="16"/>
              </w:rPr>
              <w:t>Potential for damage to the pharmacy’s reputation and/or local media coverage.</w:t>
            </w:r>
          </w:p>
        </w:tc>
        <w:tc>
          <w:tcPr>
            <w:tcW w:w="1054" w:type="pct"/>
            <w:shd w:val="clear" w:color="auto" w:fill="FFFFFF"/>
          </w:tcPr>
          <w:p w14:paraId="5F2FF317" w14:textId="77777777" w:rsidR="000A5FFE" w:rsidRPr="008D10F8" w:rsidRDefault="000A5FFE" w:rsidP="00B56C0E">
            <w:pPr>
              <w:spacing w:line="240" w:lineRule="auto"/>
              <w:contextualSpacing/>
              <w:rPr>
                <w:rFonts w:ascii="Calibri" w:hAnsi="Calibri" w:cs="Calibri"/>
                <w:b/>
                <w:sz w:val="20"/>
                <w:szCs w:val="20"/>
              </w:rPr>
            </w:pPr>
            <w:r w:rsidRPr="008D10F8">
              <w:rPr>
                <w:rFonts w:ascii="Calibri" w:hAnsi="Calibri" w:cs="Calibri"/>
                <w:b/>
                <w:bCs/>
                <w:sz w:val="20"/>
                <w:szCs w:val="20"/>
              </w:rPr>
              <w:t>Critical:</w:t>
            </w:r>
            <w:r w:rsidRPr="008D10F8">
              <w:rPr>
                <w:rFonts w:ascii="Calibri" w:hAnsi="Calibri" w:cs="Calibri"/>
                <w:b/>
                <w:sz w:val="20"/>
                <w:szCs w:val="20"/>
              </w:rPr>
              <w:t xml:space="preserve"> </w:t>
            </w:r>
          </w:p>
          <w:p w14:paraId="4D8DB390" w14:textId="77777777" w:rsidR="000A5FFE" w:rsidRPr="008D10F8" w:rsidRDefault="000A5FFE" w:rsidP="00B56C0E">
            <w:pPr>
              <w:spacing w:line="240" w:lineRule="auto"/>
              <w:contextualSpacing/>
              <w:rPr>
                <w:rFonts w:ascii="Calibri" w:hAnsi="Calibri" w:cs="Calibri"/>
                <w:sz w:val="16"/>
                <w:szCs w:val="16"/>
              </w:rPr>
            </w:pPr>
            <w:r w:rsidRPr="008D10F8">
              <w:rPr>
                <w:rFonts w:ascii="Calibri" w:hAnsi="Calibri" w:cs="Calibri"/>
                <w:sz w:val="16"/>
                <w:szCs w:val="16"/>
              </w:rPr>
              <w:t xml:space="preserve">Serious breach in terms of volume of records, for example over 1,000 patients affected or </w:t>
            </w:r>
            <w:proofErr w:type="gramStart"/>
            <w:r w:rsidRPr="008D10F8">
              <w:rPr>
                <w:rFonts w:ascii="Calibri" w:hAnsi="Calibri" w:cs="Calibri"/>
                <w:sz w:val="16"/>
                <w:szCs w:val="16"/>
              </w:rPr>
              <w:t>particular sensitivity</w:t>
            </w:r>
            <w:proofErr w:type="gramEnd"/>
            <w:r w:rsidRPr="008D10F8">
              <w:rPr>
                <w:rFonts w:ascii="Calibri" w:hAnsi="Calibri" w:cs="Calibri"/>
                <w:sz w:val="16"/>
                <w:szCs w:val="16"/>
              </w:rPr>
              <w:t xml:space="preserve"> of records.</w:t>
            </w:r>
          </w:p>
          <w:p w14:paraId="502E7EF7" w14:textId="77777777" w:rsidR="000A5FFE" w:rsidRPr="008D10F8" w:rsidRDefault="000A5FFE" w:rsidP="00B56C0E">
            <w:pPr>
              <w:spacing w:line="240" w:lineRule="auto"/>
              <w:contextualSpacing/>
              <w:rPr>
                <w:rFonts w:ascii="Calibri" w:hAnsi="Calibri" w:cs="Calibri"/>
                <w:sz w:val="16"/>
                <w:szCs w:val="16"/>
              </w:rPr>
            </w:pPr>
          </w:p>
          <w:p w14:paraId="22C9B9E6" w14:textId="77777777" w:rsidR="000A5FFE" w:rsidRPr="008D10F8" w:rsidRDefault="000A5FFE" w:rsidP="00B56C0E">
            <w:pPr>
              <w:spacing w:line="240" w:lineRule="auto"/>
              <w:contextualSpacing/>
              <w:rPr>
                <w:rFonts w:ascii="Calibri" w:hAnsi="Calibri" w:cs="Calibri"/>
                <w:b/>
                <w:sz w:val="20"/>
                <w:szCs w:val="20"/>
              </w:rPr>
            </w:pPr>
            <w:r w:rsidRPr="008D10F8">
              <w:rPr>
                <w:rFonts w:ascii="Calibri" w:hAnsi="Calibri" w:cs="Calibri"/>
                <w:b/>
                <w:sz w:val="16"/>
                <w:szCs w:val="16"/>
              </w:rPr>
              <w:t>Damage to the reputation of the NHS and the pharmacy profession. Potential for national media coverage.</w:t>
            </w:r>
          </w:p>
        </w:tc>
      </w:tr>
    </w:tbl>
    <w:p w14:paraId="65421054" w14:textId="77777777" w:rsidR="000A5FFE" w:rsidRDefault="000A5FFE" w:rsidP="00B56C0E">
      <w:pPr>
        <w:spacing w:after="0" w:line="240" w:lineRule="auto"/>
        <w:contextualSpacing/>
        <w:jc w:val="both"/>
      </w:pPr>
    </w:p>
    <w:p w14:paraId="0C8B24ED" w14:textId="77777777" w:rsidR="00F74BBF" w:rsidRPr="00EC655F" w:rsidRDefault="00F74BBF" w:rsidP="00B56C0E">
      <w:pPr>
        <w:spacing w:after="0" w:line="240" w:lineRule="auto"/>
        <w:contextualSpacing/>
        <w:jc w:val="both"/>
        <w:rPr>
          <w:b/>
          <w:bCs/>
          <w:color w:val="AA890A"/>
        </w:rPr>
      </w:pPr>
    </w:p>
    <w:p w14:paraId="5035B2E0" w14:textId="62A7CD2D" w:rsidR="008C46C6" w:rsidRPr="001D4C38" w:rsidRDefault="00EC655F" w:rsidP="00B56C0E">
      <w:pPr>
        <w:spacing w:after="0" w:line="240" w:lineRule="auto"/>
        <w:contextualSpacing/>
        <w:jc w:val="both"/>
        <w:rPr>
          <w:rFonts w:cs="Arial"/>
          <w:b/>
          <w:bCs/>
          <w:color w:val="AA890A"/>
          <w:sz w:val="21"/>
          <w:szCs w:val="21"/>
        </w:rPr>
      </w:pPr>
      <w:r w:rsidRPr="001D4C38">
        <w:rPr>
          <w:rFonts w:cs="Arial"/>
          <w:b/>
          <w:bCs/>
          <w:color w:val="AA890A"/>
          <w:sz w:val="21"/>
          <w:szCs w:val="21"/>
        </w:rPr>
        <w:t xml:space="preserve">Procedures </w:t>
      </w:r>
      <w:r w:rsidR="001D4C38" w:rsidRPr="001D4C38">
        <w:rPr>
          <w:rFonts w:cs="Arial"/>
          <w:b/>
          <w:bCs/>
          <w:color w:val="AA890A"/>
          <w:sz w:val="21"/>
          <w:szCs w:val="21"/>
        </w:rPr>
        <w:t>steps</w:t>
      </w:r>
    </w:p>
    <w:p w14:paraId="4EC9A860" w14:textId="1D9AC70C" w:rsidR="00DC680E" w:rsidRDefault="00DC680E" w:rsidP="00B56C0E">
      <w:pPr>
        <w:spacing w:after="0" w:line="240" w:lineRule="auto"/>
        <w:contextualSpacing/>
        <w:jc w:val="both"/>
      </w:pPr>
    </w:p>
    <w:p w14:paraId="665A77C8" w14:textId="59D42B3C" w:rsidR="00590687" w:rsidRDefault="00590687" w:rsidP="00B56C0E">
      <w:pPr>
        <w:spacing w:line="240" w:lineRule="auto"/>
        <w:ind w:right="95"/>
        <w:contextualSpacing/>
        <w:jc w:val="both"/>
        <w:rPr>
          <w:rFonts w:ascii="Calibri" w:hAnsi="Calibri" w:cs="Calibri"/>
          <w:color w:val="000000"/>
          <w:sz w:val="20"/>
        </w:rPr>
      </w:pPr>
      <w:r w:rsidRPr="008D10F8">
        <w:rPr>
          <w:rFonts w:ascii="Calibri" w:hAnsi="Calibri" w:cs="Calibri"/>
          <w:color w:val="000000"/>
          <w:sz w:val="20"/>
        </w:rPr>
        <w:t xml:space="preserve">Incidents should be reported to </w:t>
      </w:r>
      <w:r w:rsidR="006550B2">
        <w:rPr>
          <w:rFonts w:ascii="Calibri" w:hAnsi="Calibri" w:cs="Calibri"/>
          <w:color w:val="000000"/>
          <w:sz w:val="20"/>
        </w:rPr>
        <w:t>person listed above</w:t>
      </w:r>
      <w:r w:rsidR="00A92ADE">
        <w:rPr>
          <w:rFonts w:ascii="Calibri" w:hAnsi="Calibri" w:cs="Calibri"/>
          <w:color w:val="000000"/>
          <w:sz w:val="20"/>
        </w:rPr>
        <w:t>.</w:t>
      </w:r>
    </w:p>
    <w:p w14:paraId="3B8B7A62" w14:textId="77777777" w:rsidR="00A92ADE" w:rsidRPr="008E51CD" w:rsidRDefault="00A92ADE" w:rsidP="00B56C0E">
      <w:pPr>
        <w:spacing w:line="240" w:lineRule="auto"/>
        <w:ind w:right="95"/>
        <w:contextualSpacing/>
        <w:jc w:val="both"/>
        <w:rPr>
          <w:rFonts w:ascii="Calibri" w:hAnsi="Calibri" w:cs="Calibri"/>
          <w:color w:val="4E3487" w:themeColor="accent1"/>
          <w:sz w:val="20"/>
        </w:rPr>
      </w:pPr>
    </w:p>
    <w:p w14:paraId="24D5CF36" w14:textId="12992FC8" w:rsidR="00A92ADE" w:rsidRDefault="00A76962" w:rsidP="00B56C0E">
      <w:pPr>
        <w:spacing w:after="0" w:line="240" w:lineRule="auto"/>
        <w:contextualSpacing/>
        <w:jc w:val="both"/>
        <w:rPr>
          <w:rFonts w:ascii="Calibri" w:hAnsi="Calibri" w:cs="Calibri"/>
          <w:sz w:val="20"/>
          <w:szCs w:val="20"/>
        </w:rPr>
      </w:pPr>
      <w:r>
        <w:rPr>
          <w:noProof/>
          <w:sz w:val="20"/>
          <w:szCs w:val="20"/>
        </w:rPr>
        <w:drawing>
          <wp:anchor distT="0" distB="0" distL="114300" distR="114300" simplePos="0" relativeHeight="251660288" behindDoc="1" locked="0" layoutInCell="1" allowOverlap="1" wp14:anchorId="4818EBE2" wp14:editId="20ABECB8">
            <wp:simplePos x="0" y="0"/>
            <wp:positionH relativeFrom="column">
              <wp:posOffset>4674235</wp:posOffset>
            </wp:positionH>
            <wp:positionV relativeFrom="paragraph">
              <wp:posOffset>261620</wp:posOffset>
            </wp:positionV>
            <wp:extent cx="1951990" cy="956310"/>
            <wp:effectExtent l="19050" t="19050" r="10160" b="15240"/>
            <wp:wrapTight wrapText="bothSides">
              <wp:wrapPolygon edited="0">
                <wp:start x="-211" y="-430"/>
                <wp:lineTo x="-211" y="21514"/>
                <wp:lineTo x="21502" y="21514"/>
                <wp:lineTo x="21502" y="-430"/>
                <wp:lineTo x="-211" y="-4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1990" cy="956310"/>
                    </a:xfrm>
                    <a:prstGeom prst="rect">
                      <a:avLst/>
                    </a:prstGeom>
                    <a:noFill/>
                    <a:ln>
                      <a:solidFill>
                        <a:srgbClr val="AA890A"/>
                      </a:solidFill>
                    </a:ln>
                  </pic:spPr>
                </pic:pic>
              </a:graphicData>
            </a:graphic>
            <wp14:sizeRelH relativeFrom="margin">
              <wp14:pctWidth>0</wp14:pctWidth>
            </wp14:sizeRelH>
            <wp14:sizeRelV relativeFrom="margin">
              <wp14:pctHeight>0</wp14:pctHeight>
            </wp14:sizeRelV>
          </wp:anchor>
        </w:drawing>
      </w:r>
      <w:r w:rsidR="00590687" w:rsidRPr="008D10F8">
        <w:rPr>
          <w:rFonts w:ascii="Calibri" w:hAnsi="Calibri" w:cs="Calibri"/>
          <w:sz w:val="20"/>
          <w:szCs w:val="20"/>
        </w:rPr>
        <w:t>Th</w:t>
      </w:r>
      <w:r w:rsidR="00A92ADE">
        <w:rPr>
          <w:rFonts w:ascii="Calibri" w:hAnsi="Calibri" w:cs="Calibri"/>
          <w:sz w:val="20"/>
          <w:szCs w:val="20"/>
        </w:rPr>
        <w:t xml:space="preserve">is person </w:t>
      </w:r>
      <w:r w:rsidR="00590687" w:rsidRPr="008D10F8">
        <w:rPr>
          <w:rFonts w:ascii="Calibri" w:hAnsi="Calibri" w:cs="Calibri"/>
          <w:sz w:val="20"/>
          <w:szCs w:val="20"/>
        </w:rPr>
        <w:t>will determine whether there is also a need to report the incident to others depending on the type and likely consequences of the incident, e.g.</w:t>
      </w:r>
      <w:r w:rsidR="00A92ADE">
        <w:rPr>
          <w:rFonts w:ascii="Calibri" w:hAnsi="Calibri" w:cs="Calibri"/>
          <w:sz w:val="20"/>
          <w:szCs w:val="20"/>
        </w:rPr>
        <w:t>:</w:t>
      </w:r>
    </w:p>
    <w:p w14:paraId="0FD0EC61" w14:textId="7B738DCA" w:rsidR="001F7D93" w:rsidRDefault="00A92ADE" w:rsidP="00B56C0E">
      <w:pPr>
        <w:pStyle w:val="ListParagraph"/>
        <w:numPr>
          <w:ilvl w:val="0"/>
          <w:numId w:val="41"/>
        </w:numPr>
        <w:spacing w:after="0" w:line="240" w:lineRule="auto"/>
        <w:contextualSpacing/>
        <w:jc w:val="both"/>
        <w:rPr>
          <w:sz w:val="20"/>
          <w:szCs w:val="20"/>
        </w:rPr>
      </w:pPr>
      <w:r>
        <w:rPr>
          <w:sz w:val="20"/>
          <w:szCs w:val="20"/>
        </w:rPr>
        <w:t>Using the ‘</w:t>
      </w:r>
      <w:r w:rsidRPr="00A76962">
        <w:rPr>
          <w:i/>
          <w:iCs/>
          <w:sz w:val="20"/>
          <w:szCs w:val="20"/>
        </w:rPr>
        <w:t xml:space="preserve">Report an </w:t>
      </w:r>
      <w:r w:rsidR="00B53045" w:rsidRPr="00A76962">
        <w:rPr>
          <w:i/>
          <w:iCs/>
          <w:sz w:val="20"/>
          <w:szCs w:val="20"/>
        </w:rPr>
        <w:t>Incident</w:t>
      </w:r>
      <w:r w:rsidR="00B53045">
        <w:rPr>
          <w:sz w:val="20"/>
          <w:szCs w:val="20"/>
        </w:rPr>
        <w:t>’ option from within the Dat</w:t>
      </w:r>
      <w:r w:rsidR="00A76962">
        <w:rPr>
          <w:sz w:val="20"/>
          <w:szCs w:val="20"/>
        </w:rPr>
        <w:t>a</w:t>
      </w:r>
      <w:r w:rsidR="00B53045">
        <w:rPr>
          <w:sz w:val="20"/>
          <w:szCs w:val="20"/>
        </w:rPr>
        <w:t xml:space="preserve"> Security and Protection Toolkit</w:t>
      </w:r>
      <w:r w:rsidR="00A76962">
        <w:rPr>
          <w:sz w:val="20"/>
          <w:szCs w:val="20"/>
        </w:rPr>
        <w:t xml:space="preserve"> account (see image to right). NHS Digital may also forward information onwards where </w:t>
      </w:r>
      <w:r w:rsidR="001F7D93">
        <w:rPr>
          <w:sz w:val="20"/>
          <w:szCs w:val="20"/>
        </w:rPr>
        <w:t>that is needed.</w:t>
      </w:r>
    </w:p>
    <w:p w14:paraId="5DD0971B" w14:textId="00B7729B" w:rsidR="001F7D93" w:rsidRDefault="001F7D93" w:rsidP="00B56C0E">
      <w:pPr>
        <w:pStyle w:val="ListParagraph"/>
        <w:numPr>
          <w:ilvl w:val="0"/>
          <w:numId w:val="41"/>
        </w:numPr>
        <w:spacing w:after="0" w:line="240" w:lineRule="auto"/>
        <w:contextualSpacing/>
        <w:jc w:val="both"/>
        <w:rPr>
          <w:sz w:val="20"/>
          <w:szCs w:val="20"/>
        </w:rPr>
      </w:pPr>
      <w:r>
        <w:rPr>
          <w:sz w:val="20"/>
          <w:szCs w:val="20"/>
        </w:rPr>
        <w:t>I</w:t>
      </w:r>
      <w:r w:rsidR="00590687" w:rsidRPr="001F7D93">
        <w:rPr>
          <w:sz w:val="20"/>
          <w:szCs w:val="20"/>
        </w:rPr>
        <w:t>nform the Police</w:t>
      </w:r>
      <w:r>
        <w:rPr>
          <w:sz w:val="20"/>
          <w:szCs w:val="20"/>
        </w:rPr>
        <w:t>.</w:t>
      </w:r>
    </w:p>
    <w:p w14:paraId="102AD933" w14:textId="2C45853A" w:rsidR="001F7D93" w:rsidRDefault="00A310CC" w:rsidP="00B56C0E">
      <w:pPr>
        <w:pStyle w:val="ListParagraph"/>
        <w:numPr>
          <w:ilvl w:val="0"/>
          <w:numId w:val="41"/>
        </w:numPr>
        <w:spacing w:after="0" w:line="240" w:lineRule="auto"/>
        <w:contextualSpacing/>
        <w:jc w:val="both"/>
        <w:rPr>
          <w:sz w:val="20"/>
          <w:szCs w:val="20"/>
        </w:rPr>
      </w:pPr>
      <w:r>
        <w:rPr>
          <w:noProof/>
        </w:rPr>
        <mc:AlternateContent>
          <mc:Choice Requires="wps">
            <w:drawing>
              <wp:anchor distT="0" distB="0" distL="114300" distR="114300" simplePos="0" relativeHeight="251661312" behindDoc="0" locked="0" layoutInCell="1" allowOverlap="1" wp14:anchorId="0CAF1349" wp14:editId="7AB19CCF">
                <wp:simplePos x="0" y="0"/>
                <wp:positionH relativeFrom="column">
                  <wp:posOffset>5541010</wp:posOffset>
                </wp:positionH>
                <wp:positionV relativeFrom="paragraph">
                  <wp:posOffset>29845</wp:posOffset>
                </wp:positionV>
                <wp:extent cx="190500" cy="247650"/>
                <wp:effectExtent l="19050" t="19050" r="38100" b="19050"/>
                <wp:wrapNone/>
                <wp:docPr id="3" name="Arrow: Down 3"/>
                <wp:cNvGraphicFramePr/>
                <a:graphic xmlns:a="http://schemas.openxmlformats.org/drawingml/2006/main">
                  <a:graphicData uri="http://schemas.microsoft.com/office/word/2010/wordprocessingShape">
                    <wps:wsp>
                      <wps:cNvSpPr/>
                      <wps:spPr>
                        <a:xfrm rot="10800000">
                          <a:off x="0" y="0"/>
                          <a:ext cx="1905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C19D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436.3pt;margin-top:2.35pt;width:15pt;height:19.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G/gQIAAE4FAAAOAAAAZHJzL2Uyb0RvYy54bWysVN9P3DAMfp+0/yHK+2h7HL8qeugEYpqE&#10;4ARMPIc0oZXSOHNy17v99XPSXmHA07Q+VHFsf7Y/2zm/2HaGbRT6FmzFi4OcM2Ul1K19qfjPx+tv&#10;p5z5IGwtDFhV8Z3y/GLx9ct570o1gwZMrZARiPVl7yrehODKLPOyUZ3wB+CUJaUG7EQgEV+yGkVP&#10;6J3JZnl+nPWAtUOQynu6vRqUfJHwtVYy3GntVWCm4pRbSH9M/+f4zxbnonxB4ZpWjmmIf8iiE62l&#10;oBPUlQiCrbH9ANW1EsGDDgcSugy0bqVKNVA1Rf6umodGOJVqIXK8m2jy/w9W3m5WyNq64oecWdFR&#10;i5aI0JfsCnrLDiNBvfMl2T24FY6Sp2OsdquxYwjEapGf5vFLJFBZbJs43k0cq21gki6Ls/yIzJgk&#10;1Wx+cnyUepANWBHToQ/fFXQsHipeUxopo4QsNjc+UBJkv7cjISY4pJROYWdURDL2XmmqjaLOknea&#10;KnVpkG0EzYOQUtlQDKpG1Gq4pvQowSHI5JFCJsCIrFtjJuwRIE7sR+wBZrSPrioN5eQ8EDaF+Tux&#10;wXnySJHBhsm5ay3gZ5UZqmqMPNjvSRqoiSw9Q72jzqfmUTu8k9ctEX4jfFgJpB2gS9rrcEc/baCv&#10;OIwnzhrA35/dR3saTdJy1tNOVdz/WgtUnJkflob2rJjP4xImYX50MiMB32qe32rsursEalORskvH&#10;aB/M/qgRuida/2WMSiphJcWuuAy4Fy7DsOv0gEi1XCYzWjwnwo19cDKCR1bjLD1unwS6ceoCjest&#10;7PdPlO/mbrCNnhaW6wC6TUP5yuvINy1tGpzxgYmvwls5Wb0+g4s/AAAA//8DAFBLAwQUAAYACAAA&#10;ACEAUEIgidsAAAAIAQAADwAAAGRycy9kb3ducmV2LnhtbEyPQU7DMBBF90jcwRokNog6LahuQ5wK&#10;ISHYIVIO4MRDEtUeR7GbhNszXcHy6X/9eVMcFu/EhGPsA2lYrzIQSE2wPbUavo6v9zsQMRmyxgVC&#10;DT8Y4VBeXxUmt2GmT5yq1AoeoZgbDV1KQy5lbDr0Jq7CgMTZdxi9SYxjK+1oZh73Tm6ybCu96Ykv&#10;dGbAlw6bU3X2Gvy7W6vTnf9IM+776Yh19aaU1rc3y/MTiIRL+ivDRZ/VoWSnOpzJRuE07NRmy1UN&#10;jwoE5/vswjXzgwJZFvL/A+UvAAAA//8DAFBLAQItABQABgAIAAAAIQC2gziS/gAAAOEBAAATAAAA&#10;AAAAAAAAAAAAAAAAAABbQ29udGVudF9UeXBlc10ueG1sUEsBAi0AFAAGAAgAAAAhADj9If/WAAAA&#10;lAEAAAsAAAAAAAAAAAAAAAAALwEAAF9yZWxzLy5yZWxzUEsBAi0AFAAGAAgAAAAhAFWt0b+BAgAA&#10;TgUAAA4AAAAAAAAAAAAAAAAALgIAAGRycy9lMm9Eb2MueG1sUEsBAi0AFAAGAAgAAAAhAFBCIInb&#10;AAAACAEAAA8AAAAAAAAAAAAAAAAA2wQAAGRycy9kb3ducmV2LnhtbFBLBQYAAAAABAAEAPMAAADj&#10;BQAAAAA=&#10;" adj="13292" fillcolor="#4e3487 [3204]" strokecolor="#261a43 [1604]" strokeweight="2pt"/>
            </w:pict>
          </mc:Fallback>
        </mc:AlternateContent>
      </w:r>
      <w:r w:rsidR="001F7D93">
        <w:rPr>
          <w:sz w:val="20"/>
          <w:szCs w:val="20"/>
        </w:rPr>
        <w:t>Inform</w:t>
      </w:r>
      <w:r w:rsidR="00590687" w:rsidRPr="001F7D93">
        <w:rPr>
          <w:sz w:val="20"/>
          <w:szCs w:val="20"/>
        </w:rPr>
        <w:t xml:space="preserve"> the </w:t>
      </w:r>
      <w:r w:rsidR="00FE1842">
        <w:rPr>
          <w:sz w:val="20"/>
          <w:szCs w:val="20"/>
        </w:rPr>
        <w:t>local NHS England and NHS Improvement team</w:t>
      </w:r>
      <w:r w:rsidR="001F7D93">
        <w:rPr>
          <w:sz w:val="20"/>
          <w:szCs w:val="20"/>
        </w:rPr>
        <w:t>.</w:t>
      </w:r>
    </w:p>
    <w:p w14:paraId="0720FAEE" w14:textId="77777777" w:rsidR="001F7D93" w:rsidRDefault="001F7D93" w:rsidP="00B56C0E">
      <w:pPr>
        <w:pStyle w:val="ListParagraph"/>
        <w:numPr>
          <w:ilvl w:val="0"/>
          <w:numId w:val="41"/>
        </w:numPr>
        <w:spacing w:after="0" w:line="240" w:lineRule="auto"/>
        <w:contextualSpacing/>
        <w:jc w:val="both"/>
        <w:rPr>
          <w:sz w:val="20"/>
          <w:szCs w:val="20"/>
        </w:rPr>
      </w:pPr>
      <w:r>
        <w:rPr>
          <w:sz w:val="20"/>
          <w:szCs w:val="20"/>
        </w:rPr>
        <w:t xml:space="preserve">Inform </w:t>
      </w:r>
      <w:r w:rsidR="00590687" w:rsidRPr="001F7D93">
        <w:rPr>
          <w:sz w:val="20"/>
          <w:szCs w:val="20"/>
        </w:rPr>
        <w:t>the pharmacy’s insurer</w:t>
      </w:r>
      <w:r>
        <w:rPr>
          <w:sz w:val="20"/>
          <w:szCs w:val="20"/>
        </w:rPr>
        <w:t>.</w:t>
      </w:r>
      <w:r w:rsidR="00590687" w:rsidRPr="001F7D93">
        <w:rPr>
          <w:sz w:val="20"/>
          <w:szCs w:val="20"/>
        </w:rPr>
        <w:t xml:space="preserve"> </w:t>
      </w:r>
    </w:p>
    <w:p w14:paraId="5FF6C8A0" w14:textId="174726E0" w:rsidR="00A92ADE" w:rsidRPr="001F7D93" w:rsidRDefault="001F7D93" w:rsidP="00B56C0E">
      <w:pPr>
        <w:pStyle w:val="ListParagraph"/>
        <w:numPr>
          <w:ilvl w:val="0"/>
          <w:numId w:val="41"/>
        </w:numPr>
        <w:spacing w:after="0" w:line="240" w:lineRule="auto"/>
        <w:contextualSpacing/>
        <w:jc w:val="both"/>
        <w:rPr>
          <w:sz w:val="20"/>
          <w:szCs w:val="20"/>
        </w:rPr>
      </w:pPr>
      <w:r>
        <w:rPr>
          <w:sz w:val="20"/>
          <w:szCs w:val="20"/>
        </w:rPr>
        <w:t>E</w:t>
      </w:r>
      <w:r w:rsidR="00590687" w:rsidRPr="001F7D93">
        <w:rPr>
          <w:sz w:val="20"/>
          <w:szCs w:val="20"/>
        </w:rPr>
        <w:t xml:space="preserve">tc.  </w:t>
      </w:r>
    </w:p>
    <w:p w14:paraId="31FBFCA5" w14:textId="77777777" w:rsidR="00A92ADE" w:rsidRDefault="00A92ADE" w:rsidP="00B56C0E">
      <w:pPr>
        <w:spacing w:after="0" w:line="240" w:lineRule="auto"/>
        <w:contextualSpacing/>
        <w:jc w:val="both"/>
        <w:rPr>
          <w:rFonts w:ascii="Calibri" w:hAnsi="Calibri" w:cs="Calibri"/>
          <w:sz w:val="20"/>
          <w:szCs w:val="20"/>
        </w:rPr>
      </w:pPr>
    </w:p>
    <w:p w14:paraId="55D2D3E3" w14:textId="197B8076" w:rsidR="00590687" w:rsidRDefault="00590687" w:rsidP="00B56C0E">
      <w:pPr>
        <w:spacing w:after="0" w:line="240" w:lineRule="auto"/>
        <w:contextualSpacing/>
        <w:jc w:val="both"/>
        <w:rPr>
          <w:rFonts w:ascii="Calibri" w:hAnsi="Calibri" w:cs="Calibri"/>
          <w:sz w:val="20"/>
          <w:szCs w:val="20"/>
        </w:rPr>
      </w:pPr>
      <w:r w:rsidRPr="008D10F8">
        <w:rPr>
          <w:rFonts w:ascii="Calibri" w:hAnsi="Calibri" w:cs="Calibri"/>
          <w:sz w:val="20"/>
          <w:szCs w:val="20"/>
        </w:rPr>
        <w:t>Although there may not be legal requirement to do this, where there is high risk of harm to patients, it is considered best practice to also inform the Information Commissioner.</w:t>
      </w:r>
    </w:p>
    <w:p w14:paraId="5930DFFC" w14:textId="6394DBBF" w:rsidR="00590687" w:rsidRDefault="00590687" w:rsidP="00B56C0E">
      <w:pPr>
        <w:spacing w:after="0" w:line="240" w:lineRule="auto"/>
        <w:contextualSpacing/>
        <w:jc w:val="both"/>
      </w:pPr>
    </w:p>
    <w:p w14:paraId="668C9974" w14:textId="77777777" w:rsidR="00AE1A41" w:rsidRDefault="00AE1A41" w:rsidP="00B56C0E">
      <w:pPr>
        <w:spacing w:after="0" w:line="240" w:lineRule="auto"/>
        <w:contextualSpacing/>
        <w:jc w:val="both"/>
      </w:pPr>
    </w:p>
    <w:tbl>
      <w:tblPr>
        <w:tblStyle w:val="TableGrid"/>
        <w:tblW w:w="0" w:type="auto"/>
        <w:tblLook w:val="04A0" w:firstRow="1" w:lastRow="0" w:firstColumn="1" w:lastColumn="0" w:noHBand="0" w:noVBand="1"/>
      </w:tblPr>
      <w:tblGrid>
        <w:gridCol w:w="10338"/>
      </w:tblGrid>
      <w:tr w:rsidR="00AE1A41" w14:paraId="5E8DC959" w14:textId="77777777" w:rsidTr="00A6638D">
        <w:tc>
          <w:tcPr>
            <w:tcW w:w="10338" w:type="dxa"/>
          </w:tcPr>
          <w:p w14:paraId="3AE7D4F4" w14:textId="77777777" w:rsidR="00AE1A41" w:rsidRPr="00751E98" w:rsidRDefault="00AE1A41" w:rsidP="00B56C0E">
            <w:pPr>
              <w:contextualSpacing/>
              <w:rPr>
                <w:i/>
                <w:iCs/>
                <w:noProof/>
                <w:color w:val="4E3487" w:themeColor="accent1"/>
                <w:sz w:val="20"/>
                <w:szCs w:val="20"/>
                <w:lang w:eastAsia="en-GB"/>
              </w:rPr>
            </w:pPr>
            <w:r w:rsidRPr="00751E98">
              <w:rPr>
                <w:noProof/>
                <w:color w:val="4E3487" w:themeColor="accent1"/>
                <w:sz w:val="20"/>
                <w:szCs w:val="20"/>
              </w:rPr>
              <w:drawing>
                <wp:anchor distT="0" distB="0" distL="114300" distR="114300" simplePos="0" relativeHeight="251659264" behindDoc="1" locked="0" layoutInCell="1" allowOverlap="1" wp14:anchorId="3C2BDF97" wp14:editId="7A2D8602">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E98">
              <w:rPr>
                <w:i/>
                <w:iCs/>
                <w:noProof/>
                <w:color w:val="4E3487" w:themeColor="accent1"/>
                <w:sz w:val="20"/>
                <w:szCs w:val="20"/>
                <w:lang w:eastAsia="en-GB"/>
              </w:rPr>
              <w:t xml:space="preserve">This data security document assists the pharmacy’s aligment with the </w:t>
            </w:r>
            <w:r w:rsidRPr="00751E98">
              <w:rPr>
                <w:bCs/>
                <w:i/>
                <w:iCs/>
                <w:noProof/>
                <w:color w:val="4E3487" w:themeColor="accent1"/>
                <w:sz w:val="20"/>
                <w:szCs w:val="20"/>
                <w:lang w:eastAsia="en-GB"/>
              </w:rPr>
              <w:t>Data Security and Protection Toolkit (DSPTK). Related pharmacy</w:t>
            </w:r>
            <w:r w:rsidRPr="00751E98">
              <w:rPr>
                <w:i/>
                <w:iCs/>
                <w:noProof/>
                <w:color w:val="4E3487" w:themeColor="accent1"/>
                <w:sz w:val="20"/>
                <w:szCs w:val="20"/>
                <w:lang w:eastAsia="en-GB"/>
              </w:rPr>
              <w:t xml:space="preserve"> policies and more can be found at:</w:t>
            </w:r>
          </w:p>
          <w:p w14:paraId="6AE15800" w14:textId="77777777" w:rsidR="00AE1A41" w:rsidRPr="00751E98" w:rsidRDefault="001D4C38" w:rsidP="00B56C0E">
            <w:pPr>
              <w:pStyle w:val="ListParagraph"/>
              <w:numPr>
                <w:ilvl w:val="0"/>
                <w:numId w:val="35"/>
              </w:numPr>
              <w:contextualSpacing/>
              <w:rPr>
                <w:i/>
                <w:iCs/>
                <w:sz w:val="20"/>
                <w:szCs w:val="20"/>
              </w:rPr>
            </w:pPr>
            <w:hyperlink r:id="rId17" w:history="1">
              <w:r w:rsidR="00AE1A41" w:rsidRPr="00751E98">
                <w:rPr>
                  <w:rStyle w:val="Hyperlink"/>
                  <w:i/>
                  <w:iCs/>
                  <w:noProof/>
                  <w:sz w:val="20"/>
                  <w:szCs w:val="20"/>
                </w:rPr>
                <w:t>psnc.org.uk/ds</w:t>
              </w:r>
            </w:hyperlink>
            <w:r w:rsidR="00AE1A41" w:rsidRPr="00751E98">
              <w:rPr>
                <w:i/>
                <w:iCs/>
                <w:noProof/>
                <w:color w:val="4E3487" w:themeColor="accent1"/>
                <w:sz w:val="20"/>
                <w:szCs w:val="20"/>
              </w:rPr>
              <w:t xml:space="preserve">; </w:t>
            </w:r>
          </w:p>
          <w:p w14:paraId="61F9DD27" w14:textId="77777777" w:rsidR="00AE1A41" w:rsidRPr="00751E98" w:rsidRDefault="001D4C38" w:rsidP="00B56C0E">
            <w:pPr>
              <w:pStyle w:val="ListParagraph"/>
              <w:numPr>
                <w:ilvl w:val="0"/>
                <w:numId w:val="35"/>
              </w:numPr>
              <w:contextualSpacing/>
              <w:rPr>
                <w:i/>
                <w:iCs/>
                <w:sz w:val="20"/>
                <w:szCs w:val="20"/>
              </w:rPr>
            </w:pPr>
            <w:hyperlink r:id="rId18" w:history="1">
              <w:r w:rsidR="00AE1A41" w:rsidRPr="00751E98">
                <w:rPr>
                  <w:rStyle w:val="Hyperlink"/>
                  <w:i/>
                  <w:iCs/>
                  <w:noProof/>
                  <w:sz w:val="20"/>
                  <w:szCs w:val="20"/>
                </w:rPr>
                <w:t>psnc.org.uk/dsptk</w:t>
              </w:r>
            </w:hyperlink>
            <w:r w:rsidR="00AE1A41" w:rsidRPr="00751E98">
              <w:rPr>
                <w:i/>
                <w:iCs/>
                <w:noProof/>
                <w:color w:val="4E3487" w:themeColor="accent1"/>
                <w:sz w:val="20"/>
                <w:szCs w:val="20"/>
              </w:rPr>
              <w:t>;</w:t>
            </w:r>
            <w:r w:rsidR="00AE1A41" w:rsidRPr="00751E98">
              <w:rPr>
                <w:i/>
                <w:iCs/>
                <w:noProof/>
                <w:sz w:val="20"/>
                <w:szCs w:val="20"/>
              </w:rPr>
              <w:t xml:space="preserve"> </w:t>
            </w:r>
            <w:r w:rsidR="00AE1A41" w:rsidRPr="00751E98">
              <w:rPr>
                <w:i/>
                <w:iCs/>
                <w:noProof/>
                <w:color w:val="4E3487" w:themeColor="accent1"/>
                <w:sz w:val="20"/>
                <w:szCs w:val="20"/>
              </w:rPr>
              <w:t xml:space="preserve">and </w:t>
            </w:r>
          </w:p>
          <w:p w14:paraId="49A60366" w14:textId="77777777" w:rsidR="00AE1A41" w:rsidRPr="00751E98" w:rsidRDefault="001D4C38" w:rsidP="00B56C0E">
            <w:pPr>
              <w:pStyle w:val="ListParagraph"/>
              <w:numPr>
                <w:ilvl w:val="0"/>
                <w:numId w:val="35"/>
              </w:numPr>
              <w:contextualSpacing/>
              <w:rPr>
                <w:i/>
                <w:iCs/>
                <w:sz w:val="20"/>
                <w:szCs w:val="20"/>
              </w:rPr>
            </w:pPr>
            <w:hyperlink r:id="rId19" w:history="1">
              <w:r w:rsidR="00AE1A41" w:rsidRPr="00751E98">
                <w:rPr>
                  <w:rStyle w:val="Hyperlink"/>
                  <w:i/>
                  <w:iCs/>
                  <w:noProof/>
                  <w:sz w:val="20"/>
                  <w:szCs w:val="20"/>
                </w:rPr>
                <w:t>psnc.org.uk/dstemplates</w:t>
              </w:r>
            </w:hyperlink>
            <w:r w:rsidR="00AE1A41" w:rsidRPr="00751E98">
              <w:rPr>
                <w:i/>
                <w:iCs/>
                <w:noProof/>
                <w:sz w:val="20"/>
                <w:szCs w:val="20"/>
              </w:rPr>
              <w:t>.</w:t>
            </w:r>
          </w:p>
          <w:p w14:paraId="00DD3EEB" w14:textId="77777777" w:rsidR="00AE1A41" w:rsidRPr="00751E98" w:rsidRDefault="00AE1A41" w:rsidP="00B56C0E">
            <w:pPr>
              <w:contextualSpacing/>
              <w:rPr>
                <w:i/>
                <w:iCs/>
                <w:sz w:val="20"/>
                <w:szCs w:val="20"/>
              </w:rPr>
            </w:pPr>
            <w:r w:rsidRPr="00751E98">
              <w:rPr>
                <w:i/>
                <w:iCs/>
                <w:color w:val="4E3487" w:themeColor="accent1"/>
                <w:sz w:val="20"/>
                <w:szCs w:val="20"/>
              </w:rPr>
              <w:t xml:space="preserve">Pharmacy contractors with queries about the original template or questions about DSPTK may contact </w:t>
            </w:r>
            <w:hyperlink r:id="rId20" w:history="1">
              <w:r w:rsidRPr="00751E98">
                <w:rPr>
                  <w:rStyle w:val="Hyperlink"/>
                  <w:i/>
                  <w:iCs/>
                  <w:sz w:val="20"/>
                  <w:szCs w:val="20"/>
                </w:rPr>
                <w:t>it@psnc.org.uk</w:t>
              </w:r>
            </w:hyperlink>
            <w:r w:rsidRPr="00751E98">
              <w:rPr>
                <w:i/>
                <w:iCs/>
                <w:sz w:val="20"/>
                <w:szCs w:val="20"/>
              </w:rPr>
              <w:t xml:space="preserve">. </w:t>
            </w:r>
          </w:p>
          <w:p w14:paraId="42C36F33" w14:textId="77777777" w:rsidR="00AE1A41" w:rsidRPr="0034345D" w:rsidRDefault="00AE1A41" w:rsidP="00B56C0E">
            <w:pPr>
              <w:contextualSpacing/>
              <w:rPr>
                <w:i/>
                <w:iCs/>
                <w:sz w:val="20"/>
                <w:szCs w:val="20"/>
              </w:rPr>
            </w:pPr>
            <w:r w:rsidRPr="00751E98">
              <w:rPr>
                <w:i/>
                <w:iCs/>
                <w:color w:val="4E3487" w:themeColor="accent1"/>
                <w:sz w:val="20"/>
                <w:szCs w:val="20"/>
              </w:rPr>
              <w:t xml:space="preserve">This document is based on a template updated </w:t>
            </w:r>
            <w:proofErr w:type="gramStart"/>
            <w:r w:rsidRPr="00751E98">
              <w:rPr>
                <w:i/>
                <w:iCs/>
                <w:color w:val="4E3487" w:themeColor="accent1"/>
                <w:sz w:val="20"/>
                <w:szCs w:val="20"/>
              </w:rPr>
              <w:t>during:</w:t>
            </w:r>
            <w:proofErr w:type="gramEnd"/>
            <w:r w:rsidRPr="00751E98">
              <w:rPr>
                <w:i/>
                <w:iCs/>
                <w:color w:val="4E3487" w:themeColor="accent1"/>
                <w:sz w:val="20"/>
                <w:szCs w:val="20"/>
              </w:rPr>
              <w:t xml:space="preserve"> </w:t>
            </w:r>
            <w:r>
              <w:rPr>
                <w:i/>
                <w:iCs/>
                <w:color w:val="4E3487" w:themeColor="accent1"/>
                <w:sz w:val="20"/>
                <w:szCs w:val="20"/>
              </w:rPr>
              <w:t>Feb</w:t>
            </w:r>
            <w:r w:rsidRPr="00751E98">
              <w:rPr>
                <w:i/>
                <w:iCs/>
                <w:color w:val="4E3487" w:themeColor="accent1"/>
                <w:sz w:val="20"/>
                <w:szCs w:val="20"/>
              </w:rPr>
              <w:t xml:space="preserve"> 2021</w:t>
            </w:r>
          </w:p>
        </w:tc>
      </w:tr>
    </w:tbl>
    <w:p w14:paraId="00724E20" w14:textId="77777777" w:rsidR="00AE1A41" w:rsidRDefault="00AE1A41" w:rsidP="00B56C0E">
      <w:pPr>
        <w:spacing w:after="0" w:line="240" w:lineRule="auto"/>
        <w:contextualSpacing/>
        <w:jc w:val="both"/>
      </w:pPr>
    </w:p>
    <w:p w14:paraId="1A55418C" w14:textId="77777777" w:rsidR="00937BFB" w:rsidRDefault="00937BFB" w:rsidP="00B56C0E">
      <w:pPr>
        <w:spacing w:after="0" w:line="240" w:lineRule="auto"/>
        <w:contextualSpacing/>
        <w:jc w:val="both"/>
      </w:pPr>
    </w:p>
    <w:p w14:paraId="308350DF" w14:textId="2FAE98A7" w:rsidR="00DC680E" w:rsidRDefault="00DC680E" w:rsidP="00B56C0E">
      <w:pPr>
        <w:spacing w:after="0" w:line="240" w:lineRule="auto"/>
        <w:contextualSpacing/>
        <w:jc w:val="both"/>
      </w:pPr>
    </w:p>
    <w:sectPr w:rsidR="00DC680E" w:rsidSect="0006652C">
      <w:headerReference w:type="default" r:id="rId21"/>
      <w:footerReference w:type="default" r:id="rId22"/>
      <w:footerReference w:type="first" r:id="rId23"/>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68192" w14:textId="77777777" w:rsidR="00AF37F2" w:rsidRDefault="00AF37F2" w:rsidP="00991CB5">
      <w:pPr>
        <w:spacing w:after="0" w:line="240" w:lineRule="auto"/>
      </w:pPr>
      <w:r>
        <w:separator/>
      </w:r>
    </w:p>
  </w:endnote>
  <w:endnote w:type="continuationSeparator" w:id="0">
    <w:p w14:paraId="155285B1" w14:textId="77777777" w:rsidR="00AF37F2" w:rsidRDefault="00AF37F2" w:rsidP="00991CB5">
      <w:pPr>
        <w:spacing w:after="0" w:line="240" w:lineRule="auto"/>
      </w:pPr>
      <w:r>
        <w:continuationSeparator/>
      </w:r>
    </w:p>
  </w:endnote>
  <w:endnote w:type="continuationNotice" w:id="1">
    <w:p w14:paraId="2F37ED56" w14:textId="77777777" w:rsidR="00AF37F2" w:rsidRDefault="00AF3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1190" w14:textId="77777777" w:rsidR="00AF37F2" w:rsidRDefault="00AF37F2" w:rsidP="00991CB5">
      <w:pPr>
        <w:spacing w:after="0" w:line="240" w:lineRule="auto"/>
      </w:pPr>
      <w:r>
        <w:separator/>
      </w:r>
    </w:p>
  </w:footnote>
  <w:footnote w:type="continuationSeparator" w:id="0">
    <w:p w14:paraId="0844A2EF" w14:textId="77777777" w:rsidR="00AF37F2" w:rsidRDefault="00AF37F2" w:rsidP="00991CB5">
      <w:pPr>
        <w:spacing w:after="0" w:line="240" w:lineRule="auto"/>
      </w:pPr>
      <w:r>
        <w:continuationSeparator/>
      </w:r>
    </w:p>
  </w:footnote>
  <w:footnote w:type="continuationNotice" w:id="1">
    <w:p w14:paraId="364667B9" w14:textId="77777777" w:rsidR="00AF37F2" w:rsidRDefault="00AF37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23C" w14:textId="14BCE7DD" w:rsidR="0088455A" w:rsidRDefault="0088455A" w:rsidP="0088455A">
    <w:pPr>
      <w:pStyle w:val="Header"/>
      <w:jc w:val="right"/>
    </w:pPr>
    <w:r>
      <w:rPr>
        <w:noProof/>
        <w:sz w:val="24"/>
        <w:szCs w:val="24"/>
        <w:lang w:eastAsia="en-GB"/>
      </w:rPr>
      <w:drawing>
        <wp:inline distT="0" distB="0" distL="0" distR="0" wp14:anchorId="2E17D5DD" wp14:editId="39D8B743">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292" cy="866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4073B6"/>
    <w:multiLevelType w:val="hybridMultilevel"/>
    <w:tmpl w:val="3668A40E"/>
    <w:lvl w:ilvl="0" w:tplc="A230AF7A">
      <w:start w:val="1"/>
      <w:numFmt w:val="upperLetter"/>
      <w:lvlText w:val="%1."/>
      <w:lvlJc w:val="left"/>
      <w:pPr>
        <w:ind w:left="720" w:hanging="360"/>
      </w:pPr>
      <w:rPr>
        <w:b/>
        <w:bCs/>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86F66"/>
    <w:multiLevelType w:val="hybridMultilevel"/>
    <w:tmpl w:val="92C63232"/>
    <w:lvl w:ilvl="0" w:tplc="20AA7096">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A0A43"/>
    <w:multiLevelType w:val="hybridMultilevel"/>
    <w:tmpl w:val="9758B1E0"/>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20AFB"/>
    <w:multiLevelType w:val="hybridMultilevel"/>
    <w:tmpl w:val="2FDEC5CC"/>
    <w:lvl w:ilvl="0" w:tplc="20AA7096">
      <w:start w:val="1"/>
      <w:numFmt w:val="bullet"/>
      <w:lvlText w:val=""/>
      <w:lvlJc w:val="left"/>
      <w:pPr>
        <w:ind w:left="720" w:hanging="360"/>
      </w:pPr>
      <w:rPr>
        <w:rFonts w:ascii="Symbol" w:hAnsi="Symbol" w:hint="default"/>
        <w:color w:val="AA890A"/>
      </w:rPr>
    </w:lvl>
    <w:lvl w:ilvl="1" w:tplc="E35AB64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33947"/>
    <w:multiLevelType w:val="hybridMultilevel"/>
    <w:tmpl w:val="1C30E52C"/>
    <w:lvl w:ilvl="0" w:tplc="20AA7096">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253BB"/>
    <w:multiLevelType w:val="multilevel"/>
    <w:tmpl w:val="C64AB0C6"/>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804D1"/>
    <w:multiLevelType w:val="multilevel"/>
    <w:tmpl w:val="EC7E2F9C"/>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93019"/>
    <w:multiLevelType w:val="multilevel"/>
    <w:tmpl w:val="F97214E0"/>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A536C"/>
    <w:multiLevelType w:val="multilevel"/>
    <w:tmpl w:val="50F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187EDA"/>
    <w:multiLevelType w:val="multilevel"/>
    <w:tmpl w:val="8CC62322"/>
    <w:lvl w:ilvl="0">
      <w:start w:val="1"/>
      <w:numFmt w:val="bullet"/>
      <w:lvlText w:val=""/>
      <w:lvlJc w:val="left"/>
      <w:pPr>
        <w:tabs>
          <w:tab w:val="num" w:pos="720"/>
        </w:tabs>
        <w:ind w:left="720" w:hanging="360"/>
      </w:pPr>
      <w:rPr>
        <w:rFonts w:ascii="Symbol" w:hAnsi="Symbol" w:hint="default"/>
        <w:color w:val="93378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7700A4"/>
    <w:multiLevelType w:val="multilevel"/>
    <w:tmpl w:val="A71EB5A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3121"/>
    <w:multiLevelType w:val="multilevel"/>
    <w:tmpl w:val="FC6C675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4D3654"/>
    <w:multiLevelType w:val="multilevel"/>
    <w:tmpl w:val="DC067D8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F5F6D"/>
    <w:multiLevelType w:val="hybridMultilevel"/>
    <w:tmpl w:val="6848F4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0"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6"/>
  </w:num>
  <w:num w:numId="4">
    <w:abstractNumId w:val="26"/>
  </w:num>
  <w:num w:numId="5">
    <w:abstractNumId w:val="14"/>
  </w:num>
  <w:num w:numId="6">
    <w:abstractNumId w:val="15"/>
  </w:num>
  <w:num w:numId="7">
    <w:abstractNumId w:val="34"/>
  </w:num>
  <w:num w:numId="8">
    <w:abstractNumId w:val="12"/>
  </w:num>
  <w:num w:numId="9">
    <w:abstractNumId w:val="25"/>
  </w:num>
  <w:num w:numId="10">
    <w:abstractNumId w:val="5"/>
  </w:num>
  <w:num w:numId="11">
    <w:abstractNumId w:val="27"/>
  </w:num>
  <w:num w:numId="12">
    <w:abstractNumId w:val="21"/>
  </w:num>
  <w:num w:numId="13">
    <w:abstractNumId w:val="6"/>
  </w:num>
  <w:num w:numId="14">
    <w:abstractNumId w:val="30"/>
  </w:num>
  <w:num w:numId="15">
    <w:abstractNumId w:val="36"/>
  </w:num>
  <w:num w:numId="16">
    <w:abstractNumId w:val="19"/>
  </w:num>
  <w:num w:numId="17">
    <w:abstractNumId w:val="40"/>
  </w:num>
  <w:num w:numId="18">
    <w:abstractNumId w:val="38"/>
  </w:num>
  <w:num w:numId="19">
    <w:abstractNumId w:val="17"/>
  </w:num>
  <w:num w:numId="20">
    <w:abstractNumId w:val="37"/>
  </w:num>
  <w:num w:numId="21">
    <w:abstractNumId w:val="29"/>
  </w:num>
  <w:num w:numId="22">
    <w:abstractNumId w:val="20"/>
  </w:num>
  <w:num w:numId="23">
    <w:abstractNumId w:val="10"/>
  </w:num>
  <w:num w:numId="24">
    <w:abstractNumId w:val="1"/>
  </w:num>
  <w:num w:numId="25">
    <w:abstractNumId w:val="18"/>
  </w:num>
  <w:num w:numId="26">
    <w:abstractNumId w:val="32"/>
  </w:num>
  <w:num w:numId="27">
    <w:abstractNumId w:val="4"/>
  </w:num>
  <w:num w:numId="28">
    <w:abstractNumId w:val="33"/>
  </w:num>
  <w:num w:numId="29">
    <w:abstractNumId w:val="39"/>
  </w:num>
  <w:num w:numId="30">
    <w:abstractNumId w:val="28"/>
  </w:num>
  <w:num w:numId="31">
    <w:abstractNumId w:val="0"/>
  </w:num>
  <w:num w:numId="32">
    <w:abstractNumId w:val="31"/>
  </w:num>
  <w:num w:numId="33">
    <w:abstractNumId w:val="11"/>
  </w:num>
  <w:num w:numId="34">
    <w:abstractNumId w:val="22"/>
  </w:num>
  <w:num w:numId="35">
    <w:abstractNumId w:val="3"/>
  </w:num>
  <w:num w:numId="36">
    <w:abstractNumId w:val="7"/>
  </w:num>
  <w:num w:numId="37">
    <w:abstractNumId w:val="9"/>
  </w:num>
  <w:num w:numId="38">
    <w:abstractNumId w:val="13"/>
  </w:num>
  <w:num w:numId="39">
    <w:abstractNumId w:val="2"/>
  </w:num>
  <w:num w:numId="40">
    <w:abstractNumId w:val="3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06961"/>
    <w:rsid w:val="00010AD0"/>
    <w:rsid w:val="0001253D"/>
    <w:rsid w:val="00013B4E"/>
    <w:rsid w:val="0001427F"/>
    <w:rsid w:val="0001574F"/>
    <w:rsid w:val="00023A92"/>
    <w:rsid w:val="0002632C"/>
    <w:rsid w:val="0002667D"/>
    <w:rsid w:val="000274E8"/>
    <w:rsid w:val="00036AED"/>
    <w:rsid w:val="00046924"/>
    <w:rsid w:val="0004757D"/>
    <w:rsid w:val="00047BED"/>
    <w:rsid w:val="00051973"/>
    <w:rsid w:val="00052973"/>
    <w:rsid w:val="0005715A"/>
    <w:rsid w:val="00057209"/>
    <w:rsid w:val="00060811"/>
    <w:rsid w:val="00060BD8"/>
    <w:rsid w:val="0006652C"/>
    <w:rsid w:val="0007099F"/>
    <w:rsid w:val="00072820"/>
    <w:rsid w:val="000731D5"/>
    <w:rsid w:val="00073FE2"/>
    <w:rsid w:val="00080F23"/>
    <w:rsid w:val="00082C4E"/>
    <w:rsid w:val="00096D97"/>
    <w:rsid w:val="000A5FFE"/>
    <w:rsid w:val="000A6FCE"/>
    <w:rsid w:val="000B4062"/>
    <w:rsid w:val="000B44D0"/>
    <w:rsid w:val="000C16BA"/>
    <w:rsid w:val="000C3C65"/>
    <w:rsid w:val="000C3FE4"/>
    <w:rsid w:val="000C564A"/>
    <w:rsid w:val="000C74CD"/>
    <w:rsid w:val="000D41EF"/>
    <w:rsid w:val="000D6158"/>
    <w:rsid w:val="000D6BA4"/>
    <w:rsid w:val="000D7EA1"/>
    <w:rsid w:val="000E2D17"/>
    <w:rsid w:val="000E3D6C"/>
    <w:rsid w:val="000E53A1"/>
    <w:rsid w:val="000E7787"/>
    <w:rsid w:val="000F0892"/>
    <w:rsid w:val="000F4227"/>
    <w:rsid w:val="00101511"/>
    <w:rsid w:val="0010660B"/>
    <w:rsid w:val="00113A64"/>
    <w:rsid w:val="001219D7"/>
    <w:rsid w:val="00123B00"/>
    <w:rsid w:val="00124DBA"/>
    <w:rsid w:val="00126503"/>
    <w:rsid w:val="001277A3"/>
    <w:rsid w:val="0013215C"/>
    <w:rsid w:val="0013245A"/>
    <w:rsid w:val="00135F4A"/>
    <w:rsid w:val="00137467"/>
    <w:rsid w:val="00142F37"/>
    <w:rsid w:val="0014379F"/>
    <w:rsid w:val="00147476"/>
    <w:rsid w:val="00153D8D"/>
    <w:rsid w:val="00162210"/>
    <w:rsid w:val="00162663"/>
    <w:rsid w:val="00165ADD"/>
    <w:rsid w:val="001707A0"/>
    <w:rsid w:val="00170986"/>
    <w:rsid w:val="00171281"/>
    <w:rsid w:val="001751C2"/>
    <w:rsid w:val="001760AF"/>
    <w:rsid w:val="00176146"/>
    <w:rsid w:val="00176588"/>
    <w:rsid w:val="001778EB"/>
    <w:rsid w:val="00180229"/>
    <w:rsid w:val="00182886"/>
    <w:rsid w:val="00185AAA"/>
    <w:rsid w:val="00185AFA"/>
    <w:rsid w:val="00193191"/>
    <w:rsid w:val="001939AA"/>
    <w:rsid w:val="00194CB5"/>
    <w:rsid w:val="001A12CF"/>
    <w:rsid w:val="001A406B"/>
    <w:rsid w:val="001A7A66"/>
    <w:rsid w:val="001B063C"/>
    <w:rsid w:val="001B3DFC"/>
    <w:rsid w:val="001B7E89"/>
    <w:rsid w:val="001C09F9"/>
    <w:rsid w:val="001C28A1"/>
    <w:rsid w:val="001D4C38"/>
    <w:rsid w:val="001D61FE"/>
    <w:rsid w:val="001D6DF2"/>
    <w:rsid w:val="001F03AF"/>
    <w:rsid w:val="001F2011"/>
    <w:rsid w:val="001F2DA6"/>
    <w:rsid w:val="001F4654"/>
    <w:rsid w:val="001F7D93"/>
    <w:rsid w:val="00203857"/>
    <w:rsid w:val="00206564"/>
    <w:rsid w:val="00206800"/>
    <w:rsid w:val="00207EC2"/>
    <w:rsid w:val="002135EA"/>
    <w:rsid w:val="00214D46"/>
    <w:rsid w:val="0022281B"/>
    <w:rsid w:val="00224825"/>
    <w:rsid w:val="00224A24"/>
    <w:rsid w:val="002264E8"/>
    <w:rsid w:val="002340EF"/>
    <w:rsid w:val="002508A7"/>
    <w:rsid w:val="00251AB1"/>
    <w:rsid w:val="00251CFE"/>
    <w:rsid w:val="002529C3"/>
    <w:rsid w:val="00252A98"/>
    <w:rsid w:val="0025407D"/>
    <w:rsid w:val="00254B31"/>
    <w:rsid w:val="00262D62"/>
    <w:rsid w:val="00265936"/>
    <w:rsid w:val="0026664D"/>
    <w:rsid w:val="0026742A"/>
    <w:rsid w:val="002727D1"/>
    <w:rsid w:val="00276BB4"/>
    <w:rsid w:val="00280656"/>
    <w:rsid w:val="00282154"/>
    <w:rsid w:val="002844AF"/>
    <w:rsid w:val="00285B1D"/>
    <w:rsid w:val="00290097"/>
    <w:rsid w:val="002912ED"/>
    <w:rsid w:val="00291825"/>
    <w:rsid w:val="002973E9"/>
    <w:rsid w:val="002A279B"/>
    <w:rsid w:val="002A2927"/>
    <w:rsid w:val="002A6D65"/>
    <w:rsid w:val="002B16D8"/>
    <w:rsid w:val="002B28D3"/>
    <w:rsid w:val="002B2C9B"/>
    <w:rsid w:val="002B2F83"/>
    <w:rsid w:val="002B65A0"/>
    <w:rsid w:val="002C017F"/>
    <w:rsid w:val="002C3672"/>
    <w:rsid w:val="002C73DE"/>
    <w:rsid w:val="002D3B49"/>
    <w:rsid w:val="002D3F38"/>
    <w:rsid w:val="002D46FD"/>
    <w:rsid w:val="002D64BE"/>
    <w:rsid w:val="002E19E4"/>
    <w:rsid w:val="002E3175"/>
    <w:rsid w:val="002E5544"/>
    <w:rsid w:val="002F7A5F"/>
    <w:rsid w:val="00313E90"/>
    <w:rsid w:val="0031472F"/>
    <w:rsid w:val="0031484C"/>
    <w:rsid w:val="00314850"/>
    <w:rsid w:val="003152A4"/>
    <w:rsid w:val="00317314"/>
    <w:rsid w:val="00323719"/>
    <w:rsid w:val="0032609C"/>
    <w:rsid w:val="00326694"/>
    <w:rsid w:val="0033070A"/>
    <w:rsid w:val="0033141A"/>
    <w:rsid w:val="00331DD2"/>
    <w:rsid w:val="00334084"/>
    <w:rsid w:val="0034345D"/>
    <w:rsid w:val="00343AA8"/>
    <w:rsid w:val="00343CC0"/>
    <w:rsid w:val="00352063"/>
    <w:rsid w:val="00353E0C"/>
    <w:rsid w:val="00355597"/>
    <w:rsid w:val="00356D1C"/>
    <w:rsid w:val="003615DB"/>
    <w:rsid w:val="003640DA"/>
    <w:rsid w:val="00366C1A"/>
    <w:rsid w:val="00367662"/>
    <w:rsid w:val="00370C4B"/>
    <w:rsid w:val="00374486"/>
    <w:rsid w:val="00376404"/>
    <w:rsid w:val="003773A4"/>
    <w:rsid w:val="003778A3"/>
    <w:rsid w:val="00380D86"/>
    <w:rsid w:val="00382BE1"/>
    <w:rsid w:val="003838A9"/>
    <w:rsid w:val="00384B31"/>
    <w:rsid w:val="0038625D"/>
    <w:rsid w:val="003869B9"/>
    <w:rsid w:val="00392FBF"/>
    <w:rsid w:val="0039349A"/>
    <w:rsid w:val="0039685F"/>
    <w:rsid w:val="00396DC5"/>
    <w:rsid w:val="003A1F4D"/>
    <w:rsid w:val="003A5DB3"/>
    <w:rsid w:val="003A7139"/>
    <w:rsid w:val="003B2221"/>
    <w:rsid w:val="003B4A7B"/>
    <w:rsid w:val="003B5294"/>
    <w:rsid w:val="003B56F0"/>
    <w:rsid w:val="003B73EA"/>
    <w:rsid w:val="003C119B"/>
    <w:rsid w:val="003C2237"/>
    <w:rsid w:val="003C2571"/>
    <w:rsid w:val="003C4985"/>
    <w:rsid w:val="003D2203"/>
    <w:rsid w:val="003D2BFF"/>
    <w:rsid w:val="003D49AA"/>
    <w:rsid w:val="003D5937"/>
    <w:rsid w:val="003E3E8D"/>
    <w:rsid w:val="003E6785"/>
    <w:rsid w:val="003F1917"/>
    <w:rsid w:val="003F30A9"/>
    <w:rsid w:val="003F5681"/>
    <w:rsid w:val="00400BBC"/>
    <w:rsid w:val="00400FBA"/>
    <w:rsid w:val="00405909"/>
    <w:rsid w:val="00407436"/>
    <w:rsid w:val="0040765E"/>
    <w:rsid w:val="00410EB2"/>
    <w:rsid w:val="004131FF"/>
    <w:rsid w:val="004158EB"/>
    <w:rsid w:val="004169A6"/>
    <w:rsid w:val="004218A7"/>
    <w:rsid w:val="00424383"/>
    <w:rsid w:val="004276AC"/>
    <w:rsid w:val="00427910"/>
    <w:rsid w:val="00427CDA"/>
    <w:rsid w:val="00431C94"/>
    <w:rsid w:val="0043209E"/>
    <w:rsid w:val="0043623C"/>
    <w:rsid w:val="00437D10"/>
    <w:rsid w:val="00442A5F"/>
    <w:rsid w:val="00460BD6"/>
    <w:rsid w:val="00463224"/>
    <w:rsid w:val="00465E35"/>
    <w:rsid w:val="00466322"/>
    <w:rsid w:val="00466F34"/>
    <w:rsid w:val="00474F45"/>
    <w:rsid w:val="00476067"/>
    <w:rsid w:val="00484EE8"/>
    <w:rsid w:val="004959DA"/>
    <w:rsid w:val="0049673A"/>
    <w:rsid w:val="004A1A9B"/>
    <w:rsid w:val="004A2135"/>
    <w:rsid w:val="004A2CB1"/>
    <w:rsid w:val="004A341E"/>
    <w:rsid w:val="004A5F23"/>
    <w:rsid w:val="004B636F"/>
    <w:rsid w:val="004B72D7"/>
    <w:rsid w:val="004C42A3"/>
    <w:rsid w:val="004E240F"/>
    <w:rsid w:val="004E6C04"/>
    <w:rsid w:val="004F0FEB"/>
    <w:rsid w:val="004F12CD"/>
    <w:rsid w:val="004F149A"/>
    <w:rsid w:val="004F446F"/>
    <w:rsid w:val="005033F2"/>
    <w:rsid w:val="00503557"/>
    <w:rsid w:val="00504A21"/>
    <w:rsid w:val="005053F1"/>
    <w:rsid w:val="00507D3D"/>
    <w:rsid w:val="00511FF7"/>
    <w:rsid w:val="00513432"/>
    <w:rsid w:val="0051745D"/>
    <w:rsid w:val="005250F3"/>
    <w:rsid w:val="0052643C"/>
    <w:rsid w:val="00530361"/>
    <w:rsid w:val="00532C2F"/>
    <w:rsid w:val="0053479B"/>
    <w:rsid w:val="00534CDB"/>
    <w:rsid w:val="00534E98"/>
    <w:rsid w:val="005423EE"/>
    <w:rsid w:val="00545B10"/>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70E2D"/>
    <w:rsid w:val="00571B36"/>
    <w:rsid w:val="00576C5F"/>
    <w:rsid w:val="00577C1B"/>
    <w:rsid w:val="005810C4"/>
    <w:rsid w:val="00583B05"/>
    <w:rsid w:val="005848C8"/>
    <w:rsid w:val="00586B9D"/>
    <w:rsid w:val="0058717D"/>
    <w:rsid w:val="00587BFB"/>
    <w:rsid w:val="00590086"/>
    <w:rsid w:val="00590687"/>
    <w:rsid w:val="005929C0"/>
    <w:rsid w:val="00597C1B"/>
    <w:rsid w:val="005A2438"/>
    <w:rsid w:val="005A39BA"/>
    <w:rsid w:val="005B1B6A"/>
    <w:rsid w:val="005B1F35"/>
    <w:rsid w:val="005B2366"/>
    <w:rsid w:val="005B33E3"/>
    <w:rsid w:val="005B3DE4"/>
    <w:rsid w:val="005B4775"/>
    <w:rsid w:val="005B49C9"/>
    <w:rsid w:val="005B51E1"/>
    <w:rsid w:val="005B7241"/>
    <w:rsid w:val="005C04DC"/>
    <w:rsid w:val="005C1FD3"/>
    <w:rsid w:val="005C5B3B"/>
    <w:rsid w:val="005D3E1C"/>
    <w:rsid w:val="005D581D"/>
    <w:rsid w:val="005D6312"/>
    <w:rsid w:val="005D7529"/>
    <w:rsid w:val="005E2259"/>
    <w:rsid w:val="005E45F0"/>
    <w:rsid w:val="005E6E35"/>
    <w:rsid w:val="005F13E4"/>
    <w:rsid w:val="005F2C94"/>
    <w:rsid w:val="005F6B56"/>
    <w:rsid w:val="006036FD"/>
    <w:rsid w:val="00604165"/>
    <w:rsid w:val="00610D56"/>
    <w:rsid w:val="006166E0"/>
    <w:rsid w:val="006219A1"/>
    <w:rsid w:val="00625492"/>
    <w:rsid w:val="0062688D"/>
    <w:rsid w:val="006300D5"/>
    <w:rsid w:val="006307DA"/>
    <w:rsid w:val="0063130D"/>
    <w:rsid w:val="006360A4"/>
    <w:rsid w:val="00636735"/>
    <w:rsid w:val="00641D13"/>
    <w:rsid w:val="00643881"/>
    <w:rsid w:val="00646658"/>
    <w:rsid w:val="00651DE1"/>
    <w:rsid w:val="006539BF"/>
    <w:rsid w:val="00653BC9"/>
    <w:rsid w:val="00653E73"/>
    <w:rsid w:val="006550B2"/>
    <w:rsid w:val="00656400"/>
    <w:rsid w:val="006609E4"/>
    <w:rsid w:val="00662151"/>
    <w:rsid w:val="00666819"/>
    <w:rsid w:val="0066717B"/>
    <w:rsid w:val="0067276B"/>
    <w:rsid w:val="00674AAB"/>
    <w:rsid w:val="006758B3"/>
    <w:rsid w:val="00680893"/>
    <w:rsid w:val="00681C45"/>
    <w:rsid w:val="006826FD"/>
    <w:rsid w:val="00683E56"/>
    <w:rsid w:val="006852B5"/>
    <w:rsid w:val="00687031"/>
    <w:rsid w:val="00690C97"/>
    <w:rsid w:val="00691957"/>
    <w:rsid w:val="006A7A64"/>
    <w:rsid w:val="006B171E"/>
    <w:rsid w:val="006B3465"/>
    <w:rsid w:val="006B58C9"/>
    <w:rsid w:val="006C1CA8"/>
    <w:rsid w:val="006C24C8"/>
    <w:rsid w:val="006C2C64"/>
    <w:rsid w:val="006C743E"/>
    <w:rsid w:val="006D01C5"/>
    <w:rsid w:val="006D1140"/>
    <w:rsid w:val="006D2EAD"/>
    <w:rsid w:val="006D6F32"/>
    <w:rsid w:val="006D7A19"/>
    <w:rsid w:val="006E2469"/>
    <w:rsid w:val="006F058A"/>
    <w:rsid w:val="007002D0"/>
    <w:rsid w:val="007058F2"/>
    <w:rsid w:val="00707371"/>
    <w:rsid w:val="00711732"/>
    <w:rsid w:val="00712F86"/>
    <w:rsid w:val="0071716E"/>
    <w:rsid w:val="007173D4"/>
    <w:rsid w:val="00725B36"/>
    <w:rsid w:val="00733267"/>
    <w:rsid w:val="00733D41"/>
    <w:rsid w:val="007368B6"/>
    <w:rsid w:val="007371CF"/>
    <w:rsid w:val="00737B25"/>
    <w:rsid w:val="007426D6"/>
    <w:rsid w:val="0074328C"/>
    <w:rsid w:val="00743598"/>
    <w:rsid w:val="0074456C"/>
    <w:rsid w:val="00745177"/>
    <w:rsid w:val="0075289D"/>
    <w:rsid w:val="00755B63"/>
    <w:rsid w:val="00760C91"/>
    <w:rsid w:val="00765C9E"/>
    <w:rsid w:val="00770AAD"/>
    <w:rsid w:val="0077160A"/>
    <w:rsid w:val="0078328D"/>
    <w:rsid w:val="007876FC"/>
    <w:rsid w:val="0079265D"/>
    <w:rsid w:val="0079308A"/>
    <w:rsid w:val="00797007"/>
    <w:rsid w:val="007A09E7"/>
    <w:rsid w:val="007A5713"/>
    <w:rsid w:val="007B1090"/>
    <w:rsid w:val="007B6F8E"/>
    <w:rsid w:val="007B7A7C"/>
    <w:rsid w:val="007C3AD2"/>
    <w:rsid w:val="007C4972"/>
    <w:rsid w:val="007C4E1F"/>
    <w:rsid w:val="007D12B4"/>
    <w:rsid w:val="007D6556"/>
    <w:rsid w:val="007D740E"/>
    <w:rsid w:val="007E18BD"/>
    <w:rsid w:val="007E6B81"/>
    <w:rsid w:val="007F224A"/>
    <w:rsid w:val="007F2D63"/>
    <w:rsid w:val="007F4515"/>
    <w:rsid w:val="007F76E4"/>
    <w:rsid w:val="0080073D"/>
    <w:rsid w:val="00801522"/>
    <w:rsid w:val="00802D16"/>
    <w:rsid w:val="00805DC5"/>
    <w:rsid w:val="00812B0D"/>
    <w:rsid w:val="00813C89"/>
    <w:rsid w:val="00817C43"/>
    <w:rsid w:val="00821C0F"/>
    <w:rsid w:val="00821C88"/>
    <w:rsid w:val="008236B7"/>
    <w:rsid w:val="0082729E"/>
    <w:rsid w:val="00830D05"/>
    <w:rsid w:val="008461D3"/>
    <w:rsid w:val="00847BD6"/>
    <w:rsid w:val="00850E2D"/>
    <w:rsid w:val="00853C79"/>
    <w:rsid w:val="008545B9"/>
    <w:rsid w:val="008563DF"/>
    <w:rsid w:val="00857BD8"/>
    <w:rsid w:val="00857C98"/>
    <w:rsid w:val="00860D6A"/>
    <w:rsid w:val="00865104"/>
    <w:rsid w:val="00865242"/>
    <w:rsid w:val="00882F60"/>
    <w:rsid w:val="0088455A"/>
    <w:rsid w:val="008918FE"/>
    <w:rsid w:val="00894165"/>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51CD"/>
    <w:rsid w:val="008E626B"/>
    <w:rsid w:val="008E704D"/>
    <w:rsid w:val="008E7A51"/>
    <w:rsid w:val="008F301A"/>
    <w:rsid w:val="00900DD0"/>
    <w:rsid w:val="009109B4"/>
    <w:rsid w:val="00910B30"/>
    <w:rsid w:val="00913D7E"/>
    <w:rsid w:val="00914827"/>
    <w:rsid w:val="009206AC"/>
    <w:rsid w:val="00922205"/>
    <w:rsid w:val="00922866"/>
    <w:rsid w:val="0092343E"/>
    <w:rsid w:val="00923E0B"/>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1F55"/>
    <w:rsid w:val="009728B6"/>
    <w:rsid w:val="009728BB"/>
    <w:rsid w:val="009751C5"/>
    <w:rsid w:val="00980D1C"/>
    <w:rsid w:val="00984432"/>
    <w:rsid w:val="00987A17"/>
    <w:rsid w:val="00991CB5"/>
    <w:rsid w:val="009920C0"/>
    <w:rsid w:val="00997F19"/>
    <w:rsid w:val="009A2D81"/>
    <w:rsid w:val="009B1F2E"/>
    <w:rsid w:val="009B5F64"/>
    <w:rsid w:val="009B7764"/>
    <w:rsid w:val="009C0004"/>
    <w:rsid w:val="009D0CBC"/>
    <w:rsid w:val="009D2F63"/>
    <w:rsid w:val="009D6C67"/>
    <w:rsid w:val="009D73CB"/>
    <w:rsid w:val="009E26FA"/>
    <w:rsid w:val="009E3EA7"/>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612B"/>
    <w:rsid w:val="00A310CC"/>
    <w:rsid w:val="00A318CC"/>
    <w:rsid w:val="00A33BDB"/>
    <w:rsid w:val="00A352B7"/>
    <w:rsid w:val="00A36549"/>
    <w:rsid w:val="00A37E98"/>
    <w:rsid w:val="00A45587"/>
    <w:rsid w:val="00A4699D"/>
    <w:rsid w:val="00A46CCB"/>
    <w:rsid w:val="00A5048E"/>
    <w:rsid w:val="00A56676"/>
    <w:rsid w:val="00A70FC8"/>
    <w:rsid w:val="00A71F6F"/>
    <w:rsid w:val="00A72B6B"/>
    <w:rsid w:val="00A73228"/>
    <w:rsid w:val="00A76962"/>
    <w:rsid w:val="00A808E0"/>
    <w:rsid w:val="00A82BCE"/>
    <w:rsid w:val="00A84A72"/>
    <w:rsid w:val="00A92ADE"/>
    <w:rsid w:val="00A94FB7"/>
    <w:rsid w:val="00AA07FE"/>
    <w:rsid w:val="00AA17BF"/>
    <w:rsid w:val="00AA1A58"/>
    <w:rsid w:val="00AA2DF3"/>
    <w:rsid w:val="00AA3AA0"/>
    <w:rsid w:val="00AA4A8A"/>
    <w:rsid w:val="00AA53DF"/>
    <w:rsid w:val="00AB1239"/>
    <w:rsid w:val="00AB2D4E"/>
    <w:rsid w:val="00AB4607"/>
    <w:rsid w:val="00AC2A41"/>
    <w:rsid w:val="00AC4E2A"/>
    <w:rsid w:val="00AC6E23"/>
    <w:rsid w:val="00AD0C89"/>
    <w:rsid w:val="00AD30D7"/>
    <w:rsid w:val="00AD3D65"/>
    <w:rsid w:val="00AD3F5F"/>
    <w:rsid w:val="00AD677D"/>
    <w:rsid w:val="00AE0558"/>
    <w:rsid w:val="00AE1A41"/>
    <w:rsid w:val="00AE232A"/>
    <w:rsid w:val="00AE2377"/>
    <w:rsid w:val="00AE4F80"/>
    <w:rsid w:val="00AE581D"/>
    <w:rsid w:val="00AE5933"/>
    <w:rsid w:val="00AF0DD1"/>
    <w:rsid w:val="00AF32C0"/>
    <w:rsid w:val="00AF37F2"/>
    <w:rsid w:val="00AF4EAD"/>
    <w:rsid w:val="00AF7CCD"/>
    <w:rsid w:val="00B05612"/>
    <w:rsid w:val="00B06C85"/>
    <w:rsid w:val="00B06FE4"/>
    <w:rsid w:val="00B12505"/>
    <w:rsid w:val="00B14858"/>
    <w:rsid w:val="00B1500A"/>
    <w:rsid w:val="00B21661"/>
    <w:rsid w:val="00B21D71"/>
    <w:rsid w:val="00B23D9A"/>
    <w:rsid w:val="00B23E2E"/>
    <w:rsid w:val="00B23FD6"/>
    <w:rsid w:val="00B3240F"/>
    <w:rsid w:val="00B35010"/>
    <w:rsid w:val="00B42CD7"/>
    <w:rsid w:val="00B5027F"/>
    <w:rsid w:val="00B519CB"/>
    <w:rsid w:val="00B51C89"/>
    <w:rsid w:val="00B53045"/>
    <w:rsid w:val="00B56C0E"/>
    <w:rsid w:val="00B62D8F"/>
    <w:rsid w:val="00B633A8"/>
    <w:rsid w:val="00B6738A"/>
    <w:rsid w:val="00B678CE"/>
    <w:rsid w:val="00B67E82"/>
    <w:rsid w:val="00B70A99"/>
    <w:rsid w:val="00B71D3E"/>
    <w:rsid w:val="00B748DB"/>
    <w:rsid w:val="00B82098"/>
    <w:rsid w:val="00B82A61"/>
    <w:rsid w:val="00B84E57"/>
    <w:rsid w:val="00B91084"/>
    <w:rsid w:val="00B913E7"/>
    <w:rsid w:val="00B971CE"/>
    <w:rsid w:val="00B97377"/>
    <w:rsid w:val="00BA70CE"/>
    <w:rsid w:val="00BB18BB"/>
    <w:rsid w:val="00BB47D7"/>
    <w:rsid w:val="00BB6FDB"/>
    <w:rsid w:val="00BC397C"/>
    <w:rsid w:val="00BC7880"/>
    <w:rsid w:val="00BD1ABC"/>
    <w:rsid w:val="00BD73A6"/>
    <w:rsid w:val="00BE10F8"/>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33C01"/>
    <w:rsid w:val="00C376DD"/>
    <w:rsid w:val="00C40F0A"/>
    <w:rsid w:val="00C437C7"/>
    <w:rsid w:val="00C4709C"/>
    <w:rsid w:val="00C50846"/>
    <w:rsid w:val="00C51578"/>
    <w:rsid w:val="00C52F3C"/>
    <w:rsid w:val="00C5507D"/>
    <w:rsid w:val="00C56B9B"/>
    <w:rsid w:val="00C62C7E"/>
    <w:rsid w:val="00C635EC"/>
    <w:rsid w:val="00C63998"/>
    <w:rsid w:val="00C65DA8"/>
    <w:rsid w:val="00C664E4"/>
    <w:rsid w:val="00C70AAA"/>
    <w:rsid w:val="00C71955"/>
    <w:rsid w:val="00C726F8"/>
    <w:rsid w:val="00C802CF"/>
    <w:rsid w:val="00C80FF7"/>
    <w:rsid w:val="00C829D0"/>
    <w:rsid w:val="00C850FD"/>
    <w:rsid w:val="00C910AC"/>
    <w:rsid w:val="00CA68AF"/>
    <w:rsid w:val="00CB0406"/>
    <w:rsid w:val="00CB138D"/>
    <w:rsid w:val="00CB146C"/>
    <w:rsid w:val="00CB1812"/>
    <w:rsid w:val="00CB1F8A"/>
    <w:rsid w:val="00CB21E3"/>
    <w:rsid w:val="00CC0074"/>
    <w:rsid w:val="00CC4895"/>
    <w:rsid w:val="00CC6127"/>
    <w:rsid w:val="00CC6511"/>
    <w:rsid w:val="00CD0CBC"/>
    <w:rsid w:val="00CD1557"/>
    <w:rsid w:val="00CD294E"/>
    <w:rsid w:val="00CD2BD1"/>
    <w:rsid w:val="00CD74FB"/>
    <w:rsid w:val="00CE1F1F"/>
    <w:rsid w:val="00CF05B5"/>
    <w:rsid w:val="00CF261C"/>
    <w:rsid w:val="00CF54B5"/>
    <w:rsid w:val="00D00460"/>
    <w:rsid w:val="00D0402B"/>
    <w:rsid w:val="00D074D7"/>
    <w:rsid w:val="00D07E94"/>
    <w:rsid w:val="00D104D9"/>
    <w:rsid w:val="00D12E1C"/>
    <w:rsid w:val="00D15449"/>
    <w:rsid w:val="00D15C1A"/>
    <w:rsid w:val="00D1603C"/>
    <w:rsid w:val="00D269B9"/>
    <w:rsid w:val="00D30925"/>
    <w:rsid w:val="00D30BD4"/>
    <w:rsid w:val="00D3242A"/>
    <w:rsid w:val="00D32C59"/>
    <w:rsid w:val="00D34638"/>
    <w:rsid w:val="00D35096"/>
    <w:rsid w:val="00D36E10"/>
    <w:rsid w:val="00D423F5"/>
    <w:rsid w:val="00D4375A"/>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5DFD"/>
    <w:rsid w:val="00D9629D"/>
    <w:rsid w:val="00D97E9C"/>
    <w:rsid w:val="00DA5F3F"/>
    <w:rsid w:val="00DB1BDE"/>
    <w:rsid w:val="00DB3C7B"/>
    <w:rsid w:val="00DB68CD"/>
    <w:rsid w:val="00DB7DFF"/>
    <w:rsid w:val="00DC0AC6"/>
    <w:rsid w:val="00DC2E58"/>
    <w:rsid w:val="00DC4317"/>
    <w:rsid w:val="00DC47E0"/>
    <w:rsid w:val="00DC680E"/>
    <w:rsid w:val="00DD197D"/>
    <w:rsid w:val="00DD2E02"/>
    <w:rsid w:val="00DD3211"/>
    <w:rsid w:val="00DD4B00"/>
    <w:rsid w:val="00DD4F79"/>
    <w:rsid w:val="00DD5B52"/>
    <w:rsid w:val="00DE22F7"/>
    <w:rsid w:val="00DE50C7"/>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5458"/>
    <w:rsid w:val="00E15C29"/>
    <w:rsid w:val="00E16D66"/>
    <w:rsid w:val="00E33916"/>
    <w:rsid w:val="00E346FE"/>
    <w:rsid w:val="00E446ED"/>
    <w:rsid w:val="00E454D7"/>
    <w:rsid w:val="00E4703A"/>
    <w:rsid w:val="00E53F63"/>
    <w:rsid w:val="00E600D6"/>
    <w:rsid w:val="00E617AF"/>
    <w:rsid w:val="00E62A40"/>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C655F"/>
    <w:rsid w:val="00ED52E7"/>
    <w:rsid w:val="00ED552E"/>
    <w:rsid w:val="00ED6D7D"/>
    <w:rsid w:val="00EE02AA"/>
    <w:rsid w:val="00EE2922"/>
    <w:rsid w:val="00EE5498"/>
    <w:rsid w:val="00EE5B47"/>
    <w:rsid w:val="00EE6FFF"/>
    <w:rsid w:val="00EF12EC"/>
    <w:rsid w:val="00EF1811"/>
    <w:rsid w:val="00EF3204"/>
    <w:rsid w:val="00EF331F"/>
    <w:rsid w:val="00EF43CB"/>
    <w:rsid w:val="00EF492F"/>
    <w:rsid w:val="00EF7703"/>
    <w:rsid w:val="00F024CB"/>
    <w:rsid w:val="00F16485"/>
    <w:rsid w:val="00F2275C"/>
    <w:rsid w:val="00F24B64"/>
    <w:rsid w:val="00F302EA"/>
    <w:rsid w:val="00F321D0"/>
    <w:rsid w:val="00F32F40"/>
    <w:rsid w:val="00F350F6"/>
    <w:rsid w:val="00F37455"/>
    <w:rsid w:val="00F40BD5"/>
    <w:rsid w:val="00F43365"/>
    <w:rsid w:val="00F45503"/>
    <w:rsid w:val="00F47D8F"/>
    <w:rsid w:val="00F51CAD"/>
    <w:rsid w:val="00F5329E"/>
    <w:rsid w:val="00F542BA"/>
    <w:rsid w:val="00F54F05"/>
    <w:rsid w:val="00F55279"/>
    <w:rsid w:val="00F55BB2"/>
    <w:rsid w:val="00F569C7"/>
    <w:rsid w:val="00F61EEB"/>
    <w:rsid w:val="00F63FD4"/>
    <w:rsid w:val="00F646A5"/>
    <w:rsid w:val="00F74BBF"/>
    <w:rsid w:val="00F807B6"/>
    <w:rsid w:val="00F81BA0"/>
    <w:rsid w:val="00F82DEC"/>
    <w:rsid w:val="00F8746F"/>
    <w:rsid w:val="00F9159B"/>
    <w:rsid w:val="00F91A7B"/>
    <w:rsid w:val="00F9399B"/>
    <w:rsid w:val="00F958EA"/>
    <w:rsid w:val="00FA2160"/>
    <w:rsid w:val="00FA2ED2"/>
    <w:rsid w:val="00FA7E52"/>
    <w:rsid w:val="00FB387F"/>
    <w:rsid w:val="00FB4E54"/>
    <w:rsid w:val="00FD26D6"/>
    <w:rsid w:val="00FD459D"/>
    <w:rsid w:val="00FD721E"/>
    <w:rsid w:val="00FD73D7"/>
    <w:rsid w:val="00FE1842"/>
    <w:rsid w:val="00FE5362"/>
    <w:rsid w:val="00FE6F15"/>
    <w:rsid w:val="00FF0A89"/>
    <w:rsid w:val="00FF6A9B"/>
    <w:rsid w:val="00FF7318"/>
    <w:rsid w:val="00FF7E0D"/>
    <w:rsid w:val="00FF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DB"/>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 w:type="paragraph" w:customStyle="1" w:styleId="Char1">
    <w:name w:val="Char1"/>
    <w:basedOn w:val="Normal"/>
    <w:autoRedefine/>
    <w:rsid w:val="000A5FFE"/>
    <w:pPr>
      <w:spacing w:after="160" w:line="240" w:lineRule="exact"/>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psnc.org.uk/dspt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hyperlink" Target="http://psnc.org.uk/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it@psn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snc.org.uk/ds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9051F-99C7-4B79-B7CA-7B3F85814959}">
  <ds:schemaRefs>
    <ds:schemaRef ds:uri="http://schemas.microsoft.com/sharepoint/v3/contenttype/forms"/>
  </ds:schemaRefs>
</ds:datastoreItem>
</file>

<file path=customXml/itemProps3.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235</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Links>
    <vt:vector size="150" baseType="variant">
      <vt:variant>
        <vt:i4>2490450</vt:i4>
      </vt:variant>
      <vt:variant>
        <vt:i4>72</vt:i4>
      </vt:variant>
      <vt:variant>
        <vt:i4>0</vt:i4>
      </vt:variant>
      <vt:variant>
        <vt:i4>5</vt:i4>
      </vt:variant>
      <vt:variant>
        <vt:lpwstr>mailto:it@psnc.org.uk</vt:lpwstr>
      </vt:variant>
      <vt:variant>
        <vt:lpwstr/>
      </vt:variant>
      <vt:variant>
        <vt:i4>3473439</vt:i4>
      </vt:variant>
      <vt:variant>
        <vt:i4>69</vt:i4>
      </vt:variant>
      <vt:variant>
        <vt:i4>0</vt:i4>
      </vt:variant>
      <vt:variant>
        <vt:i4>5</vt:i4>
      </vt:variant>
      <vt:variant>
        <vt:lpwstr>mailto:Daniel%20Ah-Thion%20%3cDaniel.Ah-Thion@psnc.org.uk%3e</vt:lpwstr>
      </vt:variant>
      <vt:variant>
        <vt:lpwstr/>
      </vt:variant>
      <vt:variant>
        <vt:i4>3080239</vt:i4>
      </vt:variant>
      <vt:variant>
        <vt:i4>66</vt:i4>
      </vt:variant>
      <vt:variant>
        <vt:i4>0</vt:i4>
      </vt:variant>
      <vt:variant>
        <vt:i4>5</vt:i4>
      </vt:variant>
      <vt:variant>
        <vt:lpwstr>https://psnc.org.uk/scrlist</vt:lpwstr>
      </vt:variant>
      <vt:variant>
        <vt:lpwstr/>
      </vt:variant>
      <vt:variant>
        <vt:i4>1572885</vt:i4>
      </vt:variant>
      <vt:variant>
        <vt:i4>63</vt:i4>
      </vt:variant>
      <vt:variant>
        <vt:i4>0</vt:i4>
      </vt:variant>
      <vt:variant>
        <vt:i4>5</vt:i4>
      </vt:variant>
      <vt:variant>
        <vt:lpwstr>https://psnc.org.uk/our-news/smartcard-model-overview-factsheet/</vt:lpwstr>
      </vt:variant>
      <vt:variant>
        <vt:lpwstr/>
      </vt:variant>
      <vt:variant>
        <vt:i4>4325399</vt:i4>
      </vt:variant>
      <vt:variant>
        <vt:i4>60</vt:i4>
      </vt:variant>
      <vt:variant>
        <vt:i4>0</vt:i4>
      </vt:variant>
      <vt:variant>
        <vt:i4>5</vt:i4>
      </vt:variant>
      <vt:variant>
        <vt:lpwstr>https://psnc.org.uk/contract-it/psnc-briefings-pharmacy-contract-and-it/psnc-briefing-006-18-better-managing-smartcards-january-2018/</vt:lpwstr>
      </vt:variant>
      <vt:variant>
        <vt:lpwstr/>
      </vt:variant>
      <vt:variant>
        <vt:i4>5963852</vt:i4>
      </vt:variant>
      <vt:variant>
        <vt:i4>57</vt:i4>
      </vt:variant>
      <vt:variant>
        <vt:i4>0</vt:i4>
      </vt:variant>
      <vt:variant>
        <vt:i4>5</vt:i4>
      </vt:variant>
      <vt:variant>
        <vt:lpwstr>http://psnc.org.uk/dealingwithsmartcards</vt:lpwstr>
      </vt:variant>
      <vt:variant>
        <vt:lpwstr/>
      </vt:variant>
      <vt:variant>
        <vt:i4>5177372</vt:i4>
      </vt:variant>
      <vt:variant>
        <vt:i4>54</vt:i4>
      </vt:variant>
      <vt:variant>
        <vt:i4>0</vt:i4>
      </vt:variant>
      <vt:variant>
        <vt:i4>5</vt:i4>
      </vt:variant>
      <vt:variant>
        <vt:lpwstr>http://www.psnc.org.uk/smartcards</vt:lpwstr>
      </vt:variant>
      <vt:variant>
        <vt:lpwstr/>
      </vt:variant>
      <vt:variant>
        <vt:i4>3080239</vt:i4>
      </vt:variant>
      <vt:variant>
        <vt:i4>51</vt:i4>
      </vt:variant>
      <vt:variant>
        <vt:i4>0</vt:i4>
      </vt:variant>
      <vt:variant>
        <vt:i4>5</vt:i4>
      </vt:variant>
      <vt:variant>
        <vt:lpwstr>https://psnc.org.uk/scrlist</vt:lpwstr>
      </vt:variant>
      <vt:variant>
        <vt:lpwstr/>
      </vt:variant>
      <vt:variant>
        <vt:i4>8126587</vt:i4>
      </vt:variant>
      <vt:variant>
        <vt:i4>48</vt:i4>
      </vt:variant>
      <vt:variant>
        <vt:i4>0</vt:i4>
      </vt:variant>
      <vt:variant>
        <vt:i4>5</vt:i4>
      </vt:variant>
      <vt:variant>
        <vt:lpwstr>https://portal.national.ncrs.nhs.uk/portal/</vt:lpwstr>
      </vt:variant>
      <vt:variant>
        <vt:lpwstr/>
      </vt:variant>
      <vt:variant>
        <vt:i4>327709</vt:i4>
      </vt:variant>
      <vt:variant>
        <vt:i4>45</vt:i4>
      </vt:variant>
      <vt:variant>
        <vt:i4>0</vt:i4>
      </vt:variant>
      <vt:variant>
        <vt:i4>5</vt:i4>
      </vt:variant>
      <vt:variant>
        <vt:lpwstr>https://www.england.nhs.uk/publication/advanced-service-specification-nhs-community-pharmacist-consultation-service/</vt:lpwstr>
      </vt:variant>
      <vt:variant>
        <vt:lpwstr/>
      </vt:variant>
      <vt:variant>
        <vt:i4>2490473</vt:i4>
      </vt:variant>
      <vt:variant>
        <vt:i4>42</vt:i4>
      </vt:variant>
      <vt:variant>
        <vt:i4>0</vt:i4>
      </vt:variant>
      <vt:variant>
        <vt:i4>5</vt:i4>
      </vt:variant>
      <vt:variant>
        <vt:lpwstr>https://psnc.org.uk/services-commissioning/advanced-services/community-pharmacist-consultation-service/</vt:lpwstr>
      </vt:variant>
      <vt:variant>
        <vt:lpwstr/>
      </vt:variant>
      <vt:variant>
        <vt:i4>1572867</vt:i4>
      </vt:variant>
      <vt:variant>
        <vt:i4>39</vt:i4>
      </vt:variant>
      <vt:variant>
        <vt:i4>0</vt:i4>
      </vt:variant>
      <vt:variant>
        <vt:i4>5</vt:i4>
      </vt:variant>
      <vt:variant>
        <vt:lpwstr>https://psnc.org.uk/contract-it/pharmacy-it/electronic-health-records/summary-care-record-scr-home/preparing-for-scr/staff-training-scr/</vt:lpwstr>
      </vt:variant>
      <vt:variant>
        <vt:lpwstr/>
      </vt:variant>
      <vt:variant>
        <vt:i4>786463</vt:i4>
      </vt:variant>
      <vt:variant>
        <vt:i4>36</vt:i4>
      </vt:variant>
      <vt:variant>
        <vt:i4>0</vt:i4>
      </vt:variant>
      <vt:variant>
        <vt:i4>5</vt:i4>
      </vt:variant>
      <vt:variant>
        <vt:lpwstr>https://psnc.org.uk/contract-it/pharmacy-it/smartcards/smartcard-roles/updating-smartcard-roles/</vt:lpwstr>
      </vt:variant>
      <vt:variant>
        <vt:lpwstr/>
      </vt:variant>
      <vt:variant>
        <vt:i4>1048603</vt:i4>
      </vt:variant>
      <vt:variant>
        <vt:i4>33</vt:i4>
      </vt:variant>
      <vt:variant>
        <vt:i4>0</vt:i4>
      </vt:variant>
      <vt:variant>
        <vt:i4>5</vt:i4>
      </vt:variant>
      <vt:variant>
        <vt:lpwstr>https://psnc.org.uk/contract-it/psnc-briefings-pharmacy-contract-and-it/psnc-briefing-02317-summary-care-record-scr-implementation-checklist-april-2017/</vt:lpwstr>
      </vt:variant>
      <vt:variant>
        <vt:lpwstr/>
      </vt:variant>
      <vt:variant>
        <vt:i4>2883617</vt:i4>
      </vt:variant>
      <vt:variant>
        <vt:i4>30</vt:i4>
      </vt:variant>
      <vt:variant>
        <vt:i4>0</vt:i4>
      </vt:variant>
      <vt:variant>
        <vt:i4>5</vt:i4>
      </vt:variant>
      <vt:variant>
        <vt:lpwstr>https://psnc.org.uk/contract-it/pharmacy-it/smartcards/smartcard-roles/</vt:lpwstr>
      </vt:variant>
      <vt:variant>
        <vt:lpwstr/>
      </vt:variant>
      <vt:variant>
        <vt:i4>1769500</vt:i4>
      </vt:variant>
      <vt:variant>
        <vt:i4>27</vt:i4>
      </vt:variant>
      <vt:variant>
        <vt:i4>0</vt:i4>
      </vt:variant>
      <vt:variant>
        <vt:i4>5</vt:i4>
      </vt:variant>
      <vt:variant>
        <vt:lpwstr>https://psnc.org.uk/contract-it/psnc-briefings-pharmacy-contract-and-it/psnc-briefing-056-19/</vt:lpwstr>
      </vt:variant>
      <vt:variant>
        <vt:lpwstr/>
      </vt:variant>
      <vt:variant>
        <vt:i4>3276860</vt:i4>
      </vt:variant>
      <vt:variant>
        <vt:i4>24</vt:i4>
      </vt:variant>
      <vt:variant>
        <vt:i4>0</vt:i4>
      </vt:variant>
      <vt:variant>
        <vt:i4>5</vt:i4>
      </vt:variant>
      <vt:variant>
        <vt:lpwstr>https://psnc.org.uk/contract-it/pharmacy-it/smartcards/smartcard-registration-authorities/</vt:lpwstr>
      </vt:variant>
      <vt:variant>
        <vt:lpwstr/>
      </vt:variant>
      <vt:variant>
        <vt:i4>3145790</vt:i4>
      </vt:variant>
      <vt:variant>
        <vt:i4>21</vt:i4>
      </vt:variant>
      <vt:variant>
        <vt:i4>0</vt:i4>
      </vt:variant>
      <vt:variant>
        <vt:i4>5</vt:i4>
      </vt:variant>
      <vt:variant>
        <vt:lpwstr>https://psnc.org.uk/usecis</vt:lpwstr>
      </vt:variant>
      <vt:variant>
        <vt:lpwstr/>
      </vt:variant>
      <vt:variant>
        <vt:i4>3080239</vt:i4>
      </vt:variant>
      <vt:variant>
        <vt:i4>18</vt:i4>
      </vt:variant>
      <vt:variant>
        <vt:i4>0</vt:i4>
      </vt:variant>
      <vt:variant>
        <vt:i4>5</vt:i4>
      </vt:variant>
      <vt:variant>
        <vt:lpwstr>https://psnc.org.uk/scrlist</vt:lpwstr>
      </vt:variant>
      <vt:variant>
        <vt:lpwstr/>
      </vt:variant>
      <vt:variant>
        <vt:i4>786463</vt:i4>
      </vt:variant>
      <vt:variant>
        <vt:i4>15</vt:i4>
      </vt:variant>
      <vt:variant>
        <vt:i4>0</vt:i4>
      </vt:variant>
      <vt:variant>
        <vt:i4>5</vt:i4>
      </vt:variant>
      <vt:variant>
        <vt:lpwstr>https://psnc.org.uk/contract-it/pharmacy-it/smartcards/smartcard-roles/updating-smartcard-roles/</vt:lpwstr>
      </vt:variant>
      <vt:variant>
        <vt:lpwstr/>
      </vt:variant>
      <vt:variant>
        <vt:i4>3604520</vt:i4>
      </vt:variant>
      <vt:variant>
        <vt:i4>12</vt:i4>
      </vt:variant>
      <vt:variant>
        <vt:i4>0</vt:i4>
      </vt:variant>
      <vt:variant>
        <vt:i4>5</vt:i4>
      </vt:variant>
      <vt:variant>
        <vt:lpwstr>https://psnc.org.uk/ods</vt:lpwstr>
      </vt:variant>
      <vt:variant>
        <vt:lpwstr/>
      </vt:variant>
      <vt:variant>
        <vt:i4>2883617</vt:i4>
      </vt:variant>
      <vt:variant>
        <vt:i4>9</vt:i4>
      </vt:variant>
      <vt:variant>
        <vt:i4>0</vt:i4>
      </vt:variant>
      <vt:variant>
        <vt:i4>5</vt:i4>
      </vt:variant>
      <vt:variant>
        <vt:lpwstr>https://psnc.org.uk/contract-it/pharmacy-it/smartcards/smartcard-roles/</vt:lpwstr>
      </vt:variant>
      <vt:variant>
        <vt:lpwstr/>
      </vt:variant>
      <vt:variant>
        <vt:i4>3276860</vt:i4>
      </vt:variant>
      <vt:variant>
        <vt:i4>6</vt:i4>
      </vt:variant>
      <vt:variant>
        <vt:i4>0</vt:i4>
      </vt:variant>
      <vt:variant>
        <vt:i4>5</vt:i4>
      </vt:variant>
      <vt:variant>
        <vt:lpwstr>https://psnc.org.uk/contract-it/pharmacy-it/smartcards/smartcard-registration-authorities/</vt:lpwstr>
      </vt:variant>
      <vt:variant>
        <vt:lpwstr/>
      </vt:variant>
      <vt:variant>
        <vt:i4>3801149</vt:i4>
      </vt:variant>
      <vt:variant>
        <vt:i4>3</vt:i4>
      </vt:variant>
      <vt:variant>
        <vt:i4>0</vt:i4>
      </vt:variant>
      <vt:variant>
        <vt:i4>5</vt:i4>
      </vt:variant>
      <vt:variant>
        <vt:lpwstr>https://psnc.org.uk/scmodel</vt:lpwstr>
      </vt:variant>
      <vt:variant>
        <vt:lpwstr/>
      </vt:variant>
      <vt:variant>
        <vt:i4>2228263</vt:i4>
      </vt:variant>
      <vt:variant>
        <vt:i4>0</vt:i4>
      </vt:variant>
      <vt:variant>
        <vt:i4>0</vt:i4>
      </vt:variant>
      <vt:variant>
        <vt:i4>5</vt:i4>
      </vt:variant>
      <vt:variant>
        <vt:lpwstr>https://psnc.org.uk/contract-it/pharmacy-it/smartcards/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 Ah-Thion</cp:lastModifiedBy>
  <cp:revision>146</cp:revision>
  <cp:lastPrinted>2020-06-10T12:54:00Z</cp:lastPrinted>
  <dcterms:created xsi:type="dcterms:W3CDTF">2020-06-09T23:54:00Z</dcterms:created>
  <dcterms:modified xsi:type="dcterms:W3CDTF">2021-03-17T11:01:00Z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