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780E" w14:textId="77777777" w:rsidR="0072352E" w:rsidRDefault="0072352E">
      <w:pPr>
        <w:spacing w:after="0"/>
        <w:rPr>
          <w:b/>
          <w:color w:val="519680"/>
          <w:sz w:val="32"/>
        </w:rPr>
      </w:pPr>
    </w:p>
    <w:p w14:paraId="6ADD3EE9" w14:textId="2C202072" w:rsidR="002854DA" w:rsidRDefault="00FC67FA" w:rsidP="004730D4">
      <w:pPr>
        <w:spacing w:after="0"/>
        <w:ind w:right="118"/>
        <w:rPr>
          <w:b/>
          <w:color w:val="519680"/>
          <w:sz w:val="32"/>
        </w:rPr>
      </w:pPr>
      <w:r>
        <w:rPr>
          <w:b/>
          <w:color w:val="519680"/>
          <w:sz w:val="32"/>
        </w:rPr>
        <w:t xml:space="preserve">Healthy Living Pharmacy </w:t>
      </w:r>
      <w:r w:rsidR="008C4737">
        <w:rPr>
          <w:b/>
          <w:color w:val="519680"/>
          <w:sz w:val="32"/>
        </w:rPr>
        <w:t>requirements</w:t>
      </w:r>
      <w:r>
        <w:rPr>
          <w:b/>
          <w:color w:val="519680"/>
          <w:sz w:val="32"/>
        </w:rPr>
        <w:t>: Assessment of compliance</w:t>
      </w:r>
    </w:p>
    <w:p w14:paraId="44C36143" w14:textId="77777777" w:rsidR="002854DA" w:rsidRDefault="002854DA" w:rsidP="004730D4">
      <w:pPr>
        <w:spacing w:after="0"/>
        <w:ind w:right="118"/>
        <w:rPr>
          <w:b/>
          <w:color w:val="519680"/>
          <w:sz w:val="28"/>
        </w:rPr>
      </w:pPr>
    </w:p>
    <w:p w14:paraId="1677217B" w14:textId="77777777" w:rsidR="002854DA" w:rsidRDefault="00FC67FA" w:rsidP="004730D4">
      <w:pPr>
        <w:spacing w:after="0"/>
        <w:ind w:right="118"/>
        <w:rPr>
          <w:b/>
          <w:color w:val="519680"/>
          <w:sz w:val="28"/>
        </w:rPr>
      </w:pPr>
      <w:r>
        <w:rPr>
          <w:b/>
          <w:color w:val="519680"/>
          <w:sz w:val="28"/>
        </w:rPr>
        <w:t>Part 1</w:t>
      </w:r>
    </w:p>
    <w:p w14:paraId="16C251E9" w14:textId="0AFF935A" w:rsidR="002854DA" w:rsidRDefault="00FC67FA" w:rsidP="00D12567">
      <w:pPr>
        <w:spacing w:after="0"/>
        <w:ind w:right="118"/>
        <w:jc w:val="both"/>
      </w:pPr>
      <w:r>
        <w:t xml:space="preserve">This section of the framework asks you to </w:t>
      </w:r>
      <w:r w:rsidR="00645E1C">
        <w:t>document</w:t>
      </w:r>
      <w:r>
        <w:t xml:space="preserve"> what evidence you possess in the pharmacy, which you can use to demonstrate compliance with the requirements below. Evidence must be provided against all requirements.  </w:t>
      </w:r>
    </w:p>
    <w:p w14:paraId="5C57C945" w14:textId="77777777" w:rsidR="0072352E" w:rsidRDefault="0072352E" w:rsidP="004730D4">
      <w:pPr>
        <w:spacing w:after="0"/>
        <w:ind w:right="118"/>
      </w:pPr>
    </w:p>
    <w:tbl>
      <w:tblPr>
        <w:tblW w:w="10348" w:type="dxa"/>
        <w:tblInd w:w="-5" w:type="dxa"/>
        <w:tblLayout w:type="fixed"/>
        <w:tblCellMar>
          <w:left w:w="10" w:type="dxa"/>
          <w:right w:w="10" w:type="dxa"/>
        </w:tblCellMar>
        <w:tblLook w:val="0000" w:firstRow="0" w:lastRow="0" w:firstColumn="0" w:lastColumn="0" w:noHBand="0" w:noVBand="0"/>
      </w:tblPr>
      <w:tblGrid>
        <w:gridCol w:w="4820"/>
        <w:gridCol w:w="5528"/>
      </w:tblGrid>
      <w:tr w:rsidR="002854DA" w14:paraId="081BA736" w14:textId="77777777" w:rsidTr="004730D4">
        <w:tc>
          <w:tcPr>
            <w:tcW w:w="4820"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52A039DE" w14:textId="77777777" w:rsidR="002854DA" w:rsidRDefault="00FC67FA" w:rsidP="004730D4">
            <w:pPr>
              <w:spacing w:after="0" w:line="240" w:lineRule="auto"/>
              <w:ind w:right="118"/>
              <w:rPr>
                <w:b/>
                <w:color w:val="519680"/>
              </w:rPr>
            </w:pPr>
            <w:r>
              <w:rPr>
                <w:b/>
                <w:color w:val="519680"/>
              </w:rPr>
              <w:t>Requirement</w:t>
            </w:r>
          </w:p>
        </w:tc>
        <w:tc>
          <w:tcPr>
            <w:tcW w:w="552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67D8ED7C" w14:textId="77777777" w:rsidR="002854DA" w:rsidRDefault="00FC67FA" w:rsidP="00D12567">
            <w:pPr>
              <w:spacing w:after="0" w:line="240" w:lineRule="auto"/>
              <w:ind w:right="118"/>
              <w:jc w:val="both"/>
              <w:rPr>
                <w:b/>
                <w:color w:val="519680"/>
              </w:rPr>
            </w:pPr>
            <w:r>
              <w:rPr>
                <w:b/>
                <w:color w:val="519680"/>
              </w:rPr>
              <w:t>Brief description of evidence (Evidence can include photos, copies of leaflets and posters, policies and other documents, electronic data records, etc.)</w:t>
            </w:r>
          </w:p>
        </w:tc>
      </w:tr>
      <w:tr w:rsidR="002854DA" w14:paraId="07942FCB" w14:textId="77777777" w:rsidTr="000B3452">
        <w:tc>
          <w:tcPr>
            <w:tcW w:w="10348" w:type="dxa"/>
            <w:gridSpan w:val="2"/>
            <w:tcBorders>
              <w:top w:val="single" w:sz="4" w:space="0" w:color="519680"/>
              <w:left w:val="single" w:sz="4" w:space="0" w:color="519680"/>
              <w:bottom w:val="single" w:sz="4" w:space="0" w:color="519680"/>
              <w:right w:val="single" w:sz="4" w:space="0" w:color="519680"/>
            </w:tcBorders>
            <w:shd w:val="clear" w:color="auto" w:fill="BCDAD1"/>
            <w:tcMar>
              <w:top w:w="0" w:type="dxa"/>
              <w:left w:w="108" w:type="dxa"/>
              <w:bottom w:w="0" w:type="dxa"/>
              <w:right w:w="108" w:type="dxa"/>
            </w:tcMar>
          </w:tcPr>
          <w:p w14:paraId="671ABB66" w14:textId="031F8A36" w:rsidR="002854DA" w:rsidRPr="005E7318" w:rsidRDefault="006D1033" w:rsidP="00D12567">
            <w:pPr>
              <w:spacing w:after="0" w:line="240" w:lineRule="auto"/>
              <w:ind w:right="118"/>
              <w:jc w:val="both"/>
              <w:rPr>
                <w:color w:val="519680"/>
                <w:sz w:val="28"/>
                <w:szCs w:val="28"/>
              </w:rPr>
            </w:pPr>
            <w:r w:rsidRPr="005E7318">
              <w:rPr>
                <w:b/>
                <w:color w:val="519680"/>
                <w:sz w:val="28"/>
                <w:szCs w:val="28"/>
              </w:rPr>
              <w:t>Work</w:t>
            </w:r>
            <w:r w:rsidR="00DB68AB" w:rsidRPr="005E7318">
              <w:rPr>
                <w:b/>
                <w:color w:val="519680"/>
                <w:sz w:val="28"/>
                <w:szCs w:val="28"/>
              </w:rPr>
              <w:t>force Development</w:t>
            </w:r>
          </w:p>
        </w:tc>
      </w:tr>
      <w:tr w:rsidR="00817330" w14:paraId="2E1C1CF8" w14:textId="77777777" w:rsidTr="0015189D">
        <w:tc>
          <w:tcPr>
            <w:tcW w:w="4820" w:type="dxa"/>
            <w:tcBorders>
              <w:top w:val="single" w:sz="4" w:space="0" w:color="519680"/>
              <w:left w:val="single" w:sz="4" w:space="0" w:color="519680"/>
              <w:bottom w:val="single" w:sz="4" w:space="0" w:color="519680"/>
              <w:right w:val="single" w:sz="4" w:space="0" w:color="519680"/>
            </w:tcBorders>
            <w:shd w:val="clear" w:color="auto" w:fill="BCDAD1"/>
            <w:tcMar>
              <w:top w:w="0" w:type="dxa"/>
              <w:left w:w="108" w:type="dxa"/>
              <w:bottom w:w="0" w:type="dxa"/>
              <w:right w:w="108" w:type="dxa"/>
            </w:tcMar>
          </w:tcPr>
          <w:p w14:paraId="1C0AD598" w14:textId="071FD51F" w:rsidR="00817330" w:rsidRPr="00EC1AD5" w:rsidRDefault="0015189D" w:rsidP="0015189D">
            <w:pPr>
              <w:spacing w:after="0" w:line="240" w:lineRule="auto"/>
              <w:ind w:right="118"/>
              <w:jc w:val="both"/>
            </w:pPr>
            <w:r w:rsidRPr="0015189D">
              <w:rPr>
                <w:b/>
              </w:rPr>
              <w:t>Public health needs</w:t>
            </w:r>
          </w:p>
        </w:tc>
        <w:tc>
          <w:tcPr>
            <w:tcW w:w="5528" w:type="dxa"/>
            <w:tcBorders>
              <w:top w:val="single" w:sz="4" w:space="0" w:color="519680"/>
              <w:left w:val="single" w:sz="4" w:space="0" w:color="519680"/>
              <w:bottom w:val="single" w:sz="4" w:space="0" w:color="519680"/>
              <w:right w:val="single" w:sz="4" w:space="0" w:color="519680"/>
            </w:tcBorders>
            <w:shd w:val="clear" w:color="auto" w:fill="BCDAD1"/>
            <w:tcMar>
              <w:top w:w="0" w:type="dxa"/>
              <w:left w:w="108" w:type="dxa"/>
              <w:bottom w:w="0" w:type="dxa"/>
              <w:right w:w="108" w:type="dxa"/>
            </w:tcMar>
          </w:tcPr>
          <w:p w14:paraId="66B0F7B7" w14:textId="77777777" w:rsidR="00817330" w:rsidRDefault="00817330" w:rsidP="00D12567">
            <w:pPr>
              <w:spacing w:after="0" w:line="240" w:lineRule="auto"/>
              <w:ind w:right="118"/>
              <w:jc w:val="both"/>
            </w:pPr>
          </w:p>
        </w:tc>
      </w:tr>
      <w:tr w:rsidR="002854DA" w14:paraId="5F39B9E2" w14:textId="77777777" w:rsidTr="004730D4">
        <w:tc>
          <w:tcPr>
            <w:tcW w:w="4820"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6C8947EA" w14:textId="77777777" w:rsidR="00EC1AD5" w:rsidRPr="00EC1AD5" w:rsidRDefault="00EC1AD5" w:rsidP="005724FC">
            <w:pPr>
              <w:spacing w:after="0" w:line="240" w:lineRule="auto"/>
              <w:ind w:right="118"/>
              <w:jc w:val="both"/>
            </w:pPr>
            <w:r w:rsidRPr="00EC1AD5">
              <w:t xml:space="preserve">All pharmacy staff have an </w:t>
            </w:r>
            <w:r w:rsidRPr="00EC1AD5">
              <w:rPr>
                <w:b/>
                <w:bCs/>
              </w:rPr>
              <w:t>awareness of the local public health and pharmaceutical needs</w:t>
            </w:r>
            <w:r w:rsidRPr="00EC1AD5">
              <w:t xml:space="preserve"> outlined in the Joint Strategic Needs Assessment (</w:t>
            </w:r>
            <w:proofErr w:type="spellStart"/>
            <w:r w:rsidRPr="00EC1AD5">
              <w:t>JSNA</w:t>
            </w:r>
            <w:proofErr w:type="spellEnd"/>
            <w:r w:rsidRPr="00EC1AD5">
              <w:t>), Pharmaceutical Needs Assessment (</w:t>
            </w:r>
            <w:proofErr w:type="spellStart"/>
            <w:r w:rsidRPr="00EC1AD5">
              <w:t>PNA</w:t>
            </w:r>
            <w:proofErr w:type="spellEnd"/>
            <w:r w:rsidRPr="00EC1AD5">
              <w:t>) and Health Profiles for the area the serve including where and how to access them.</w:t>
            </w:r>
          </w:p>
          <w:p w14:paraId="1F1E5E37" w14:textId="77777777" w:rsidR="002854DA" w:rsidRDefault="002854DA" w:rsidP="005724FC">
            <w:pPr>
              <w:spacing w:after="0" w:line="240" w:lineRule="auto"/>
              <w:ind w:right="118"/>
              <w:jc w:val="both"/>
            </w:pPr>
          </w:p>
          <w:p w14:paraId="1318CDBE" w14:textId="77777777" w:rsidR="00D86F01" w:rsidRDefault="00D86F01" w:rsidP="005724FC">
            <w:pPr>
              <w:spacing w:after="0" w:line="240" w:lineRule="auto"/>
              <w:ind w:right="118"/>
              <w:jc w:val="both"/>
            </w:pPr>
          </w:p>
          <w:p w14:paraId="6535DD2C" w14:textId="77777777" w:rsidR="00732B71" w:rsidRDefault="00732B71" w:rsidP="005724FC">
            <w:pPr>
              <w:spacing w:after="0" w:line="240" w:lineRule="auto"/>
              <w:ind w:right="118"/>
              <w:jc w:val="both"/>
            </w:pPr>
          </w:p>
          <w:p w14:paraId="4CE6B50C" w14:textId="31B76F4E" w:rsidR="00206EDE" w:rsidRDefault="00206EDE" w:rsidP="005724FC">
            <w:pPr>
              <w:spacing w:after="0" w:line="240" w:lineRule="auto"/>
              <w:ind w:right="118"/>
              <w:jc w:val="both"/>
            </w:pPr>
          </w:p>
        </w:tc>
        <w:tc>
          <w:tcPr>
            <w:tcW w:w="552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9BC7DFA" w14:textId="518772F2" w:rsidR="002854DA" w:rsidRDefault="00D7605C" w:rsidP="00D12567">
            <w:pPr>
              <w:spacing w:after="0" w:line="240" w:lineRule="auto"/>
              <w:ind w:right="118"/>
              <w:jc w:val="both"/>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C53CF6" w14:paraId="242D970D" w14:textId="77777777" w:rsidTr="004730D4">
        <w:tc>
          <w:tcPr>
            <w:tcW w:w="4820"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56916F9E" w14:textId="5E72D905" w:rsidR="007D308A" w:rsidRDefault="008C1F98" w:rsidP="005724FC">
            <w:pPr>
              <w:spacing w:after="0" w:line="240" w:lineRule="auto"/>
              <w:ind w:right="118"/>
              <w:jc w:val="both"/>
            </w:pPr>
            <w:r w:rsidRPr="008C1F98">
              <w:rPr>
                <w:b/>
                <w:bCs/>
              </w:rPr>
              <w:t xml:space="preserve">For DSPs only: </w:t>
            </w:r>
            <w:r w:rsidRPr="008C1F98">
              <w:t>As DSPs will provide services to patients in a wider geographical area than that of most other pharmacies, they will need to reflect on the broad health needs of their patients wherever they may live, rather than those living in a specific local area, for example by seeking information on the health profile of their patients when undertaking patient experience surveys or similar, or using the health profiles reflecting a broader area.</w:t>
            </w:r>
          </w:p>
          <w:p w14:paraId="76FC6E34" w14:textId="77777777" w:rsidR="00206EDE" w:rsidRDefault="00206EDE" w:rsidP="005724FC">
            <w:pPr>
              <w:spacing w:after="0" w:line="240" w:lineRule="auto"/>
              <w:ind w:right="118"/>
              <w:jc w:val="both"/>
            </w:pPr>
          </w:p>
          <w:p w14:paraId="7E348FBB" w14:textId="3999A666" w:rsidR="00732B71" w:rsidRDefault="00732B71" w:rsidP="005724FC">
            <w:pPr>
              <w:spacing w:after="0" w:line="240" w:lineRule="auto"/>
              <w:ind w:right="118"/>
              <w:jc w:val="both"/>
            </w:pPr>
          </w:p>
        </w:tc>
        <w:tc>
          <w:tcPr>
            <w:tcW w:w="552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17AEEF2" w14:textId="3D374C28" w:rsidR="00C53CF6" w:rsidRDefault="009756DA" w:rsidP="00D12567">
            <w:pPr>
              <w:spacing w:after="0" w:line="240" w:lineRule="auto"/>
              <w:ind w:right="118"/>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7318" w14:paraId="035FA10D" w14:textId="77777777" w:rsidTr="000B3452">
        <w:tc>
          <w:tcPr>
            <w:tcW w:w="4820" w:type="dxa"/>
            <w:tcBorders>
              <w:top w:val="single" w:sz="4" w:space="0" w:color="519680"/>
              <w:left w:val="single" w:sz="4" w:space="0" w:color="519680"/>
              <w:bottom w:val="single" w:sz="4" w:space="0" w:color="519680"/>
              <w:right w:val="single" w:sz="4" w:space="0" w:color="519680"/>
            </w:tcBorders>
            <w:shd w:val="clear" w:color="auto" w:fill="BCDAD1"/>
            <w:tcMar>
              <w:top w:w="0" w:type="dxa"/>
              <w:left w:w="108" w:type="dxa"/>
              <w:bottom w:w="0" w:type="dxa"/>
              <w:right w:w="108" w:type="dxa"/>
            </w:tcMar>
          </w:tcPr>
          <w:p w14:paraId="192F86D8" w14:textId="10192C82" w:rsidR="005E7318" w:rsidRPr="009756DA" w:rsidRDefault="000C3CEC" w:rsidP="005724FC">
            <w:pPr>
              <w:spacing w:after="0" w:line="240" w:lineRule="auto"/>
              <w:ind w:right="118"/>
              <w:jc w:val="both"/>
            </w:pPr>
            <w:r w:rsidRPr="000C3CEC">
              <w:rPr>
                <w:b/>
              </w:rPr>
              <w:t>Health and Wellbeing Ethos</w:t>
            </w:r>
          </w:p>
        </w:tc>
        <w:tc>
          <w:tcPr>
            <w:tcW w:w="5528" w:type="dxa"/>
            <w:tcBorders>
              <w:top w:val="single" w:sz="4" w:space="0" w:color="519680"/>
              <w:left w:val="single" w:sz="4" w:space="0" w:color="519680"/>
              <w:bottom w:val="single" w:sz="4" w:space="0" w:color="519680"/>
              <w:right w:val="single" w:sz="4" w:space="0" w:color="519680"/>
            </w:tcBorders>
            <w:shd w:val="clear" w:color="auto" w:fill="BCDAD1"/>
            <w:tcMar>
              <w:top w:w="0" w:type="dxa"/>
              <w:left w:w="108" w:type="dxa"/>
              <w:bottom w:w="0" w:type="dxa"/>
              <w:right w:w="108" w:type="dxa"/>
            </w:tcMar>
          </w:tcPr>
          <w:p w14:paraId="4F54CD95" w14:textId="77777777" w:rsidR="005E7318" w:rsidRDefault="005E7318" w:rsidP="00D12567">
            <w:pPr>
              <w:spacing w:after="0" w:line="240" w:lineRule="auto"/>
              <w:ind w:right="118"/>
              <w:jc w:val="both"/>
            </w:pPr>
          </w:p>
        </w:tc>
      </w:tr>
      <w:tr w:rsidR="009756DA" w14:paraId="67D8AE81" w14:textId="77777777" w:rsidTr="004730D4">
        <w:tc>
          <w:tcPr>
            <w:tcW w:w="4820"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7EAB83DE" w14:textId="77777777" w:rsidR="009756DA" w:rsidRPr="009756DA" w:rsidRDefault="009756DA" w:rsidP="005724FC">
            <w:pPr>
              <w:spacing w:after="0" w:line="240" w:lineRule="auto"/>
              <w:ind w:right="118"/>
              <w:jc w:val="both"/>
            </w:pPr>
            <w:r w:rsidRPr="009756DA">
              <w:t xml:space="preserve">All pharmacy staff </w:t>
            </w:r>
            <w:r w:rsidRPr="009756DA">
              <w:rPr>
                <w:b/>
                <w:bCs/>
              </w:rPr>
              <w:t>understand the basic principles of health and wellbeing</w:t>
            </w:r>
            <w:r w:rsidRPr="009756DA">
              <w:t>, and that every interaction is an opportunity for a health promoting intervention.</w:t>
            </w:r>
          </w:p>
          <w:p w14:paraId="56140077" w14:textId="77777777" w:rsidR="009756DA" w:rsidRDefault="009756DA" w:rsidP="005724FC">
            <w:pPr>
              <w:spacing w:after="0" w:line="240" w:lineRule="auto"/>
              <w:ind w:right="118"/>
              <w:jc w:val="both"/>
            </w:pPr>
          </w:p>
          <w:p w14:paraId="5E72A53C" w14:textId="77777777" w:rsidR="009756DA" w:rsidRDefault="009756DA" w:rsidP="005724FC">
            <w:pPr>
              <w:spacing w:after="0" w:line="240" w:lineRule="auto"/>
              <w:ind w:right="118"/>
              <w:jc w:val="both"/>
            </w:pPr>
          </w:p>
          <w:p w14:paraId="616AFB6F" w14:textId="77777777" w:rsidR="009756DA" w:rsidRDefault="009756DA" w:rsidP="005724FC">
            <w:pPr>
              <w:spacing w:after="0" w:line="240" w:lineRule="auto"/>
              <w:ind w:right="118"/>
              <w:jc w:val="both"/>
            </w:pPr>
          </w:p>
          <w:p w14:paraId="4A5AD7D2" w14:textId="4D1CB57B" w:rsidR="00206EDE" w:rsidRDefault="00206EDE" w:rsidP="005724FC">
            <w:pPr>
              <w:spacing w:after="0" w:line="240" w:lineRule="auto"/>
              <w:ind w:right="118"/>
              <w:jc w:val="both"/>
            </w:pPr>
          </w:p>
        </w:tc>
        <w:tc>
          <w:tcPr>
            <w:tcW w:w="552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1A1662CA" w14:textId="5319B922" w:rsidR="009756DA" w:rsidRDefault="009756DA" w:rsidP="00D12567">
            <w:pPr>
              <w:spacing w:after="0" w:line="240" w:lineRule="auto"/>
              <w:ind w:right="118"/>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51D6D12D" w14:textId="77777777" w:rsidTr="004730D4">
        <w:tc>
          <w:tcPr>
            <w:tcW w:w="4820"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17F9FF53" w14:textId="77777777" w:rsidR="001D68BD" w:rsidRPr="00F46E35" w:rsidRDefault="001D68BD" w:rsidP="005724FC">
            <w:pPr>
              <w:spacing w:after="0" w:line="240" w:lineRule="auto"/>
              <w:ind w:right="118"/>
              <w:jc w:val="both"/>
              <w:rPr>
                <w:rFonts w:cs="Arial"/>
              </w:rPr>
            </w:pPr>
            <w:r w:rsidRPr="00F46E35">
              <w:rPr>
                <w:rFonts w:cs="Arial"/>
              </w:rPr>
              <w:t>At least</w:t>
            </w:r>
            <w:r w:rsidRPr="00F46E35">
              <w:rPr>
                <w:rFonts w:cs="Arial"/>
                <w:b/>
              </w:rPr>
              <w:t xml:space="preserve"> one</w:t>
            </w:r>
            <w:r w:rsidRPr="00F46E35">
              <w:rPr>
                <w:rFonts w:cs="Arial"/>
              </w:rPr>
              <w:t xml:space="preserve"> member of pharmacy staff (1 Full Time Equivalent) has completed the training and assessment of the Royal Society for Public Health (</w:t>
            </w:r>
            <w:proofErr w:type="spellStart"/>
            <w:r w:rsidRPr="00F46E35">
              <w:rPr>
                <w:rFonts w:cs="Arial"/>
              </w:rPr>
              <w:t>RSPH</w:t>
            </w:r>
            <w:proofErr w:type="spellEnd"/>
            <w:r w:rsidRPr="00F46E35">
              <w:rPr>
                <w:rFonts w:cs="Arial"/>
              </w:rPr>
              <w:t xml:space="preserve">) Level 2 Award in </w:t>
            </w:r>
            <w:r w:rsidRPr="00CD449B">
              <w:rPr>
                <w:rFonts w:cs="Arial"/>
                <w:b/>
                <w:bCs/>
                <w:i/>
                <w:iCs/>
              </w:rPr>
              <w:t>Understanding Health Improvement</w:t>
            </w:r>
            <w:r w:rsidRPr="00F46E35">
              <w:rPr>
                <w:rFonts w:cs="Arial"/>
              </w:rPr>
              <w:t xml:space="preserve"> and is therefore a Health Champion.</w:t>
            </w:r>
          </w:p>
          <w:p w14:paraId="0DAA66C8" w14:textId="77777777" w:rsidR="002854DA" w:rsidRDefault="002854DA" w:rsidP="005724FC">
            <w:pPr>
              <w:spacing w:after="0" w:line="240" w:lineRule="auto"/>
              <w:ind w:right="118"/>
              <w:jc w:val="both"/>
            </w:pPr>
          </w:p>
          <w:p w14:paraId="5D35BB2E" w14:textId="77777777" w:rsidR="002854DA" w:rsidRDefault="002854DA" w:rsidP="005724FC">
            <w:pPr>
              <w:spacing w:after="0" w:line="240" w:lineRule="auto"/>
              <w:ind w:right="118"/>
              <w:jc w:val="both"/>
            </w:pPr>
          </w:p>
          <w:p w14:paraId="162B31A5" w14:textId="77777777" w:rsidR="002854DA" w:rsidRDefault="002854DA" w:rsidP="005724FC">
            <w:pPr>
              <w:spacing w:after="0" w:line="240" w:lineRule="auto"/>
              <w:ind w:right="118"/>
              <w:jc w:val="both"/>
            </w:pPr>
          </w:p>
          <w:p w14:paraId="715ABA36" w14:textId="603CC3AA" w:rsidR="00206EDE" w:rsidRDefault="00206EDE" w:rsidP="005724FC">
            <w:pPr>
              <w:spacing w:after="0" w:line="240" w:lineRule="auto"/>
              <w:ind w:right="118"/>
              <w:jc w:val="both"/>
            </w:pPr>
          </w:p>
        </w:tc>
        <w:tc>
          <w:tcPr>
            <w:tcW w:w="552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0A6960A" w14:textId="19F5E199" w:rsidR="002854DA" w:rsidRDefault="00D7605C" w:rsidP="00D12567">
            <w:pPr>
              <w:spacing w:after="0" w:line="240" w:lineRule="auto"/>
              <w:ind w:right="118"/>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2DD" w14:paraId="3C4A0195" w14:textId="77777777" w:rsidTr="00FA7287">
        <w:tc>
          <w:tcPr>
            <w:tcW w:w="4820"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2322F5A6" w14:textId="478FB192" w:rsidR="006362DD" w:rsidRPr="00206EDE" w:rsidRDefault="006362DD" w:rsidP="006362DD">
            <w:pPr>
              <w:spacing w:after="0" w:line="240" w:lineRule="auto"/>
              <w:ind w:right="118"/>
              <w:jc w:val="both"/>
              <w:rPr>
                <w:rFonts w:cs="Arial"/>
                <w:b/>
                <w:color w:val="000000"/>
                <w:szCs w:val="20"/>
              </w:rPr>
            </w:pPr>
            <w:r>
              <w:rPr>
                <w:b/>
                <w:color w:val="519680"/>
              </w:rPr>
              <w:lastRenderedPageBreak/>
              <w:t>Requirement</w:t>
            </w:r>
          </w:p>
        </w:tc>
        <w:tc>
          <w:tcPr>
            <w:tcW w:w="552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F3696F6" w14:textId="706BD0FD" w:rsidR="006362DD" w:rsidRDefault="006362DD" w:rsidP="006362DD">
            <w:pPr>
              <w:spacing w:after="0" w:line="240" w:lineRule="auto"/>
              <w:ind w:right="118"/>
              <w:jc w:val="both"/>
            </w:pPr>
            <w:r>
              <w:rPr>
                <w:b/>
                <w:color w:val="519680"/>
              </w:rPr>
              <w:t>Brief description of evidence (Evidence can include photos, copies of leaflets and posters, policies and other documents, electronic data records, etc.)</w:t>
            </w:r>
          </w:p>
        </w:tc>
      </w:tr>
      <w:tr w:rsidR="00206EDE" w14:paraId="5227B531" w14:textId="77777777" w:rsidTr="000B3452">
        <w:tc>
          <w:tcPr>
            <w:tcW w:w="4820" w:type="dxa"/>
            <w:shd w:val="clear" w:color="auto" w:fill="BCDAD1"/>
            <w:tcMar>
              <w:top w:w="0" w:type="dxa"/>
              <w:left w:w="108" w:type="dxa"/>
              <w:bottom w:w="0" w:type="dxa"/>
              <w:right w:w="108" w:type="dxa"/>
            </w:tcMar>
          </w:tcPr>
          <w:p w14:paraId="4178D12A" w14:textId="188C6F9E" w:rsidR="00206EDE" w:rsidRPr="00206EDE" w:rsidRDefault="00206EDE" w:rsidP="005724FC">
            <w:pPr>
              <w:spacing w:after="0" w:line="240" w:lineRule="auto"/>
              <w:ind w:right="118"/>
              <w:jc w:val="both"/>
              <w:rPr>
                <w:szCs w:val="20"/>
              </w:rPr>
            </w:pPr>
            <w:r w:rsidRPr="00206EDE">
              <w:rPr>
                <w:rFonts w:cs="Arial"/>
                <w:b/>
                <w:color w:val="000000"/>
                <w:szCs w:val="20"/>
              </w:rPr>
              <w:t>Team leadership</w:t>
            </w:r>
          </w:p>
        </w:tc>
        <w:tc>
          <w:tcPr>
            <w:tcW w:w="5528" w:type="dxa"/>
            <w:tcBorders>
              <w:top w:val="single" w:sz="4" w:space="0" w:color="519680"/>
              <w:left w:val="single" w:sz="4" w:space="0" w:color="519680"/>
              <w:bottom w:val="single" w:sz="4" w:space="0" w:color="519680"/>
              <w:right w:val="single" w:sz="4" w:space="0" w:color="519680"/>
            </w:tcBorders>
            <w:shd w:val="clear" w:color="auto" w:fill="BCDAD1"/>
            <w:tcMar>
              <w:top w:w="0" w:type="dxa"/>
              <w:left w:w="108" w:type="dxa"/>
              <w:bottom w:w="0" w:type="dxa"/>
              <w:right w:w="108" w:type="dxa"/>
            </w:tcMar>
          </w:tcPr>
          <w:p w14:paraId="52FD1551" w14:textId="77777777" w:rsidR="00206EDE" w:rsidRDefault="00206EDE" w:rsidP="00D12567">
            <w:pPr>
              <w:spacing w:after="0" w:line="240" w:lineRule="auto"/>
              <w:ind w:right="118"/>
              <w:jc w:val="both"/>
            </w:pPr>
          </w:p>
        </w:tc>
      </w:tr>
      <w:tr w:rsidR="00206EDE" w14:paraId="532E57F5" w14:textId="77777777" w:rsidTr="004730D4">
        <w:tc>
          <w:tcPr>
            <w:tcW w:w="4820"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8192308" w14:textId="05F1649F" w:rsidR="00206EDE" w:rsidRPr="007B6D0A" w:rsidRDefault="00206EDE" w:rsidP="005724FC">
            <w:pPr>
              <w:spacing w:after="0" w:line="240" w:lineRule="auto"/>
              <w:ind w:right="118"/>
              <w:jc w:val="both"/>
            </w:pPr>
            <w:r w:rsidRPr="007B6D0A">
              <w:t xml:space="preserve">An individual from the pharmacy team has undergone leadership training internally or through an organisation that maps to/encompasses </w:t>
            </w:r>
            <w:r>
              <w:t>t</w:t>
            </w:r>
            <w:r w:rsidRPr="007B6D0A">
              <w:t>he domains</w:t>
            </w:r>
            <w:r>
              <w:t xml:space="preserve"> specified in the HLP requirements.</w:t>
            </w:r>
          </w:p>
          <w:p w14:paraId="596CF1D0" w14:textId="631EC49F" w:rsidR="00206EDE" w:rsidRDefault="00206EDE" w:rsidP="005724FC">
            <w:pPr>
              <w:spacing w:after="0" w:line="240" w:lineRule="auto"/>
              <w:ind w:right="118"/>
              <w:jc w:val="both"/>
            </w:pPr>
            <w:r>
              <w:t xml:space="preserve"> </w:t>
            </w:r>
          </w:p>
          <w:p w14:paraId="7766A7EE" w14:textId="2473F510" w:rsidR="00206EDE" w:rsidRDefault="00206EDE" w:rsidP="005724FC">
            <w:pPr>
              <w:spacing w:after="0" w:line="240" w:lineRule="auto"/>
              <w:ind w:right="118"/>
              <w:jc w:val="both"/>
            </w:pPr>
          </w:p>
        </w:tc>
        <w:tc>
          <w:tcPr>
            <w:tcW w:w="552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8453C7D" w14:textId="08DC5957" w:rsidR="00206EDE" w:rsidRDefault="00206EDE" w:rsidP="00D12567">
            <w:pPr>
              <w:spacing w:after="0" w:line="240" w:lineRule="auto"/>
              <w:ind w:right="118"/>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452" w14:paraId="5ED9A6A1" w14:textId="77777777" w:rsidTr="000B3452">
        <w:tc>
          <w:tcPr>
            <w:tcW w:w="4820" w:type="dxa"/>
            <w:tcBorders>
              <w:top w:val="single" w:sz="4" w:space="0" w:color="519680"/>
              <w:left w:val="single" w:sz="4" w:space="0" w:color="519680"/>
              <w:bottom w:val="single" w:sz="4" w:space="0" w:color="519680"/>
              <w:right w:val="single" w:sz="4" w:space="0" w:color="519680"/>
            </w:tcBorders>
            <w:shd w:val="clear" w:color="auto" w:fill="BCDAD1"/>
            <w:tcMar>
              <w:top w:w="0" w:type="dxa"/>
              <w:left w:w="108" w:type="dxa"/>
              <w:bottom w:w="0" w:type="dxa"/>
              <w:right w:w="108" w:type="dxa"/>
            </w:tcMar>
          </w:tcPr>
          <w:p w14:paraId="0B6B07D8" w14:textId="64C05B00" w:rsidR="000B3452" w:rsidRPr="000B3452" w:rsidRDefault="000B3452" w:rsidP="005724FC">
            <w:pPr>
              <w:spacing w:after="0" w:line="240" w:lineRule="auto"/>
              <w:ind w:right="118"/>
              <w:jc w:val="both"/>
              <w:rPr>
                <w:szCs w:val="20"/>
              </w:rPr>
            </w:pPr>
            <w:r w:rsidRPr="000B3452">
              <w:rPr>
                <w:rFonts w:cs="Arial"/>
                <w:b/>
                <w:color w:val="000000"/>
                <w:szCs w:val="20"/>
              </w:rPr>
              <w:t>Communication</w:t>
            </w:r>
          </w:p>
        </w:tc>
        <w:tc>
          <w:tcPr>
            <w:tcW w:w="5528" w:type="dxa"/>
            <w:tcBorders>
              <w:top w:val="single" w:sz="4" w:space="0" w:color="519680"/>
              <w:left w:val="single" w:sz="4" w:space="0" w:color="519680"/>
              <w:bottom w:val="single" w:sz="4" w:space="0" w:color="519680"/>
              <w:right w:val="single" w:sz="4" w:space="0" w:color="519680"/>
            </w:tcBorders>
            <w:shd w:val="clear" w:color="auto" w:fill="BCDAD1"/>
            <w:tcMar>
              <w:top w:w="0" w:type="dxa"/>
              <w:left w:w="108" w:type="dxa"/>
              <w:bottom w:w="0" w:type="dxa"/>
              <w:right w:w="108" w:type="dxa"/>
            </w:tcMar>
          </w:tcPr>
          <w:p w14:paraId="24189A06" w14:textId="681D9D9C" w:rsidR="000B3452" w:rsidRPr="000B3452" w:rsidRDefault="000B3452" w:rsidP="00D12567">
            <w:pPr>
              <w:spacing w:after="0" w:line="240" w:lineRule="auto"/>
              <w:ind w:right="118"/>
              <w:jc w:val="both"/>
              <w:rPr>
                <w:szCs w:val="20"/>
              </w:rPr>
            </w:pPr>
          </w:p>
        </w:tc>
      </w:tr>
      <w:tr w:rsidR="000B3452" w14:paraId="62917457" w14:textId="77777777" w:rsidTr="004730D4">
        <w:tc>
          <w:tcPr>
            <w:tcW w:w="4820"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7AFDDAE" w14:textId="01D6C67D" w:rsidR="000B3452" w:rsidRDefault="00FC2CCC" w:rsidP="005724FC">
            <w:pPr>
              <w:spacing w:after="0" w:line="240" w:lineRule="auto"/>
              <w:ind w:right="118"/>
              <w:jc w:val="both"/>
            </w:pPr>
            <w:r w:rsidRPr="00FC2CCC">
              <w:rPr>
                <w:bCs/>
              </w:rPr>
              <w:t>All patient-facing pharmacy staff can use the NHS website and other appropriate public health information sources, e.g. PHE Resource Centre, when providing advice on health issues and where appropriate</w:t>
            </w:r>
            <w:r w:rsidRPr="00FC2CCC">
              <w:t xml:space="preserve">, bearing in mind the findings of e.g. </w:t>
            </w:r>
            <w:proofErr w:type="spellStart"/>
            <w:r w:rsidRPr="00FC2CCC">
              <w:t>PNAs</w:t>
            </w:r>
            <w:proofErr w:type="spellEnd"/>
            <w:r w:rsidRPr="00FC2CCC">
              <w:t xml:space="preserve"> and </w:t>
            </w:r>
            <w:proofErr w:type="spellStart"/>
            <w:r w:rsidRPr="00FC2CCC">
              <w:t>JSNAs</w:t>
            </w:r>
            <w:proofErr w:type="spellEnd"/>
            <w:r w:rsidRPr="00FC2CCC">
              <w:t xml:space="preserve"> such as location of services, when providing advice on health issues when appropriate.</w:t>
            </w:r>
          </w:p>
          <w:p w14:paraId="446A2231" w14:textId="21B49756" w:rsidR="000B3452" w:rsidRDefault="000B3452" w:rsidP="005724FC">
            <w:pPr>
              <w:spacing w:after="0" w:line="240" w:lineRule="auto"/>
              <w:ind w:right="118"/>
              <w:jc w:val="both"/>
            </w:pPr>
          </w:p>
        </w:tc>
        <w:tc>
          <w:tcPr>
            <w:tcW w:w="552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6AE94DB" w14:textId="085C1F46" w:rsidR="000B3452" w:rsidRDefault="000B3452" w:rsidP="00D12567">
            <w:pPr>
              <w:spacing w:after="0" w:line="240" w:lineRule="auto"/>
              <w:ind w:right="118"/>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452" w14:paraId="34561EC9" w14:textId="77777777" w:rsidTr="004730D4">
        <w:tblPrEx>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PrEx>
        <w:tc>
          <w:tcPr>
            <w:tcW w:w="4820" w:type="dxa"/>
            <w:shd w:val="clear" w:color="auto" w:fill="auto"/>
            <w:tcMar>
              <w:top w:w="0" w:type="dxa"/>
              <w:left w:w="108" w:type="dxa"/>
              <w:bottom w:w="0" w:type="dxa"/>
              <w:right w:w="108" w:type="dxa"/>
            </w:tcMar>
          </w:tcPr>
          <w:p w14:paraId="49808F25" w14:textId="77777777" w:rsidR="0033555D" w:rsidRPr="0033555D" w:rsidRDefault="0033555D" w:rsidP="005724FC">
            <w:pPr>
              <w:spacing w:after="0" w:line="240" w:lineRule="auto"/>
              <w:ind w:right="118"/>
              <w:jc w:val="both"/>
              <w:rPr>
                <w:bCs/>
              </w:rPr>
            </w:pPr>
            <w:r w:rsidRPr="0033555D">
              <w:rPr>
                <w:bCs/>
              </w:rPr>
              <w:t>The pharmacy team is friendly, welcoming and sensitive to the need for privacy for different individuals seeking advice including respecting people’s values and beliefs.</w:t>
            </w:r>
          </w:p>
          <w:p w14:paraId="2B0252C4" w14:textId="77777777" w:rsidR="000B3452" w:rsidRDefault="000B3452" w:rsidP="005724FC">
            <w:pPr>
              <w:spacing w:after="0" w:line="240" w:lineRule="auto"/>
              <w:ind w:right="118"/>
              <w:jc w:val="both"/>
              <w:rPr>
                <w:b/>
                <w:color w:val="519680"/>
              </w:rPr>
            </w:pPr>
          </w:p>
          <w:p w14:paraId="65B0A041" w14:textId="77777777" w:rsidR="0033555D" w:rsidRDefault="0033555D" w:rsidP="005724FC">
            <w:pPr>
              <w:spacing w:after="0" w:line="240" w:lineRule="auto"/>
              <w:ind w:right="118"/>
              <w:jc w:val="both"/>
              <w:rPr>
                <w:b/>
                <w:color w:val="519680"/>
              </w:rPr>
            </w:pPr>
          </w:p>
          <w:p w14:paraId="1C5BE234" w14:textId="132DF8DB" w:rsidR="0033555D" w:rsidRDefault="0033555D" w:rsidP="005724FC">
            <w:pPr>
              <w:spacing w:after="0" w:line="240" w:lineRule="auto"/>
              <w:ind w:right="118"/>
              <w:jc w:val="both"/>
              <w:rPr>
                <w:b/>
                <w:color w:val="519680"/>
              </w:rPr>
            </w:pPr>
          </w:p>
        </w:tc>
        <w:tc>
          <w:tcPr>
            <w:tcW w:w="5528" w:type="dxa"/>
            <w:shd w:val="clear" w:color="auto" w:fill="auto"/>
            <w:tcMar>
              <w:top w:w="0" w:type="dxa"/>
              <w:left w:w="108" w:type="dxa"/>
              <w:bottom w:w="0" w:type="dxa"/>
              <w:right w:w="108" w:type="dxa"/>
            </w:tcMar>
          </w:tcPr>
          <w:p w14:paraId="0C0198F8" w14:textId="76195EA7" w:rsidR="000B3452" w:rsidRDefault="0033555D" w:rsidP="00D12567">
            <w:pPr>
              <w:spacing w:after="0" w:line="240" w:lineRule="auto"/>
              <w:ind w:right="118"/>
              <w:jc w:val="both"/>
              <w:rPr>
                <w:b/>
                <w:color w:val="51968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376F" w14:paraId="39206434" w14:textId="77777777" w:rsidTr="004730D4">
        <w:tblPrEx>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PrEx>
        <w:tc>
          <w:tcPr>
            <w:tcW w:w="4820" w:type="dxa"/>
            <w:shd w:val="clear" w:color="auto" w:fill="auto"/>
            <w:tcMar>
              <w:top w:w="0" w:type="dxa"/>
              <w:left w:w="108" w:type="dxa"/>
              <w:bottom w:w="0" w:type="dxa"/>
              <w:right w:w="108" w:type="dxa"/>
            </w:tcMar>
          </w:tcPr>
          <w:p w14:paraId="2BE3AA2D" w14:textId="77777777" w:rsidR="00A8376F" w:rsidRDefault="003C10AB" w:rsidP="005724FC">
            <w:pPr>
              <w:spacing w:after="0" w:line="240" w:lineRule="auto"/>
              <w:ind w:right="118"/>
              <w:jc w:val="both"/>
              <w:rPr>
                <w:bCs/>
              </w:rPr>
            </w:pPr>
            <w:r w:rsidRPr="003C10AB">
              <w:rPr>
                <w:bCs/>
              </w:rPr>
              <w:t>The pharmacy team routinely explain who they are, wear a name badge and inform people about the information and/or services on offer.</w:t>
            </w:r>
          </w:p>
          <w:p w14:paraId="3513EE04" w14:textId="77777777" w:rsidR="003C10AB" w:rsidRDefault="003C10AB" w:rsidP="005724FC">
            <w:pPr>
              <w:spacing w:after="0" w:line="240" w:lineRule="auto"/>
              <w:ind w:right="118"/>
              <w:jc w:val="both"/>
              <w:rPr>
                <w:bCs/>
              </w:rPr>
            </w:pPr>
          </w:p>
          <w:p w14:paraId="2B9F2BE6" w14:textId="77777777" w:rsidR="00FF2ADD" w:rsidRDefault="00FF2ADD" w:rsidP="005724FC">
            <w:pPr>
              <w:spacing w:after="0" w:line="240" w:lineRule="auto"/>
              <w:ind w:right="118"/>
              <w:jc w:val="both"/>
              <w:rPr>
                <w:bCs/>
              </w:rPr>
            </w:pPr>
          </w:p>
          <w:p w14:paraId="21FECB75" w14:textId="589ECCAB" w:rsidR="003C10AB" w:rsidRPr="0033555D" w:rsidRDefault="003C10AB" w:rsidP="005724FC">
            <w:pPr>
              <w:spacing w:after="0" w:line="240" w:lineRule="auto"/>
              <w:ind w:right="118"/>
              <w:jc w:val="both"/>
              <w:rPr>
                <w:bCs/>
              </w:rPr>
            </w:pPr>
          </w:p>
        </w:tc>
        <w:tc>
          <w:tcPr>
            <w:tcW w:w="5528" w:type="dxa"/>
            <w:shd w:val="clear" w:color="auto" w:fill="auto"/>
            <w:tcMar>
              <w:top w:w="0" w:type="dxa"/>
              <w:left w:w="108" w:type="dxa"/>
              <w:bottom w:w="0" w:type="dxa"/>
              <w:right w:w="108" w:type="dxa"/>
            </w:tcMar>
          </w:tcPr>
          <w:p w14:paraId="46D01E1F" w14:textId="014E5103" w:rsidR="00A8376F" w:rsidRDefault="0044546F" w:rsidP="00D12567">
            <w:pPr>
              <w:spacing w:after="0" w:line="240" w:lineRule="auto"/>
              <w:ind w:right="118"/>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376F" w14:paraId="77798332" w14:textId="77777777" w:rsidTr="004730D4">
        <w:tblPrEx>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PrEx>
        <w:tc>
          <w:tcPr>
            <w:tcW w:w="4820" w:type="dxa"/>
            <w:shd w:val="clear" w:color="auto" w:fill="auto"/>
            <w:tcMar>
              <w:top w:w="0" w:type="dxa"/>
              <w:left w:w="108" w:type="dxa"/>
              <w:bottom w:w="0" w:type="dxa"/>
              <w:right w:w="108" w:type="dxa"/>
            </w:tcMar>
          </w:tcPr>
          <w:p w14:paraId="24702D06" w14:textId="77777777" w:rsidR="00FF2ADD" w:rsidRPr="00FF2ADD" w:rsidRDefault="00FF2ADD" w:rsidP="005724FC">
            <w:pPr>
              <w:spacing w:after="0" w:line="240" w:lineRule="auto"/>
              <w:ind w:right="118"/>
              <w:jc w:val="both"/>
              <w:rPr>
                <w:bCs/>
              </w:rPr>
            </w:pPr>
            <w:r w:rsidRPr="00FF2ADD">
              <w:rPr>
                <w:bCs/>
              </w:rPr>
              <w:t>All pharmacy staff receive training on how to approach people to discuss difficult or sensitive public health issues.</w:t>
            </w:r>
          </w:p>
          <w:p w14:paraId="5021482A" w14:textId="77777777" w:rsidR="00A8376F" w:rsidRDefault="00A8376F" w:rsidP="005724FC">
            <w:pPr>
              <w:spacing w:after="0" w:line="240" w:lineRule="auto"/>
              <w:ind w:right="118"/>
              <w:jc w:val="both"/>
              <w:rPr>
                <w:bCs/>
              </w:rPr>
            </w:pPr>
          </w:p>
          <w:p w14:paraId="4AA612FD" w14:textId="77777777" w:rsidR="00FF2ADD" w:rsidRDefault="00FF2ADD" w:rsidP="005724FC">
            <w:pPr>
              <w:spacing w:after="0" w:line="240" w:lineRule="auto"/>
              <w:ind w:right="118"/>
              <w:jc w:val="both"/>
              <w:rPr>
                <w:bCs/>
              </w:rPr>
            </w:pPr>
          </w:p>
          <w:p w14:paraId="27A5C2AD" w14:textId="27F705CB" w:rsidR="00FF2ADD" w:rsidRPr="0033555D" w:rsidRDefault="00FF2ADD" w:rsidP="005724FC">
            <w:pPr>
              <w:spacing w:after="0" w:line="240" w:lineRule="auto"/>
              <w:ind w:right="118"/>
              <w:jc w:val="both"/>
              <w:rPr>
                <w:bCs/>
              </w:rPr>
            </w:pPr>
          </w:p>
        </w:tc>
        <w:tc>
          <w:tcPr>
            <w:tcW w:w="5528" w:type="dxa"/>
            <w:shd w:val="clear" w:color="auto" w:fill="auto"/>
            <w:tcMar>
              <w:top w:w="0" w:type="dxa"/>
              <w:left w:w="108" w:type="dxa"/>
              <w:bottom w:w="0" w:type="dxa"/>
              <w:right w:w="108" w:type="dxa"/>
            </w:tcMar>
          </w:tcPr>
          <w:p w14:paraId="1D2A3680" w14:textId="533C2B02" w:rsidR="00A8376F" w:rsidRDefault="0044546F" w:rsidP="00D12567">
            <w:pPr>
              <w:spacing w:after="0" w:line="240" w:lineRule="auto"/>
              <w:ind w:right="118"/>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6C0B" w14:paraId="6AE8AE48" w14:textId="77777777" w:rsidTr="004730D4">
        <w:tblPrEx>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PrEx>
        <w:tc>
          <w:tcPr>
            <w:tcW w:w="4820" w:type="dxa"/>
            <w:shd w:val="clear" w:color="auto" w:fill="auto"/>
            <w:tcMar>
              <w:top w:w="0" w:type="dxa"/>
              <w:left w:w="108" w:type="dxa"/>
              <w:bottom w:w="0" w:type="dxa"/>
              <w:right w:w="108" w:type="dxa"/>
            </w:tcMar>
          </w:tcPr>
          <w:p w14:paraId="6672BB4B" w14:textId="77777777" w:rsidR="005C371F" w:rsidRPr="005C371F" w:rsidRDefault="005C371F" w:rsidP="005724FC">
            <w:pPr>
              <w:spacing w:after="0" w:line="240" w:lineRule="auto"/>
              <w:ind w:right="118"/>
              <w:jc w:val="both"/>
              <w:rPr>
                <w:bCs/>
              </w:rPr>
            </w:pPr>
            <w:r w:rsidRPr="005C371F">
              <w:rPr>
                <w:bCs/>
              </w:rPr>
              <w:t xml:space="preserve">All pharmacy staff </w:t>
            </w:r>
            <w:proofErr w:type="gramStart"/>
            <w:r w:rsidRPr="005C371F">
              <w:rPr>
                <w:bCs/>
              </w:rPr>
              <w:t>are able to</w:t>
            </w:r>
            <w:proofErr w:type="gramEnd"/>
            <w:r w:rsidRPr="005C371F">
              <w:rPr>
                <w:bCs/>
              </w:rPr>
              <w:t xml:space="preserve"> provide brief health and wellbeing advice (2-3 minutes) and have an awareness that the person may need additional support for behavioural change.</w:t>
            </w:r>
          </w:p>
          <w:p w14:paraId="2BBB533E" w14:textId="77777777" w:rsidR="00086C0B" w:rsidRDefault="00086C0B" w:rsidP="005724FC">
            <w:pPr>
              <w:spacing w:after="0" w:line="240" w:lineRule="auto"/>
              <w:ind w:right="118"/>
              <w:jc w:val="both"/>
              <w:rPr>
                <w:bCs/>
              </w:rPr>
            </w:pPr>
          </w:p>
          <w:p w14:paraId="2DCFD2DF" w14:textId="4C7546DE" w:rsidR="005C371F" w:rsidRPr="0033555D" w:rsidRDefault="005C371F" w:rsidP="005724FC">
            <w:pPr>
              <w:spacing w:after="0" w:line="240" w:lineRule="auto"/>
              <w:ind w:right="118"/>
              <w:jc w:val="both"/>
              <w:rPr>
                <w:bCs/>
              </w:rPr>
            </w:pPr>
          </w:p>
        </w:tc>
        <w:tc>
          <w:tcPr>
            <w:tcW w:w="5528" w:type="dxa"/>
            <w:shd w:val="clear" w:color="auto" w:fill="auto"/>
            <w:tcMar>
              <w:top w:w="0" w:type="dxa"/>
              <w:left w:w="108" w:type="dxa"/>
              <w:bottom w:w="0" w:type="dxa"/>
              <w:right w:w="108" w:type="dxa"/>
            </w:tcMar>
          </w:tcPr>
          <w:p w14:paraId="18D97EF8" w14:textId="464ADFE7" w:rsidR="00086C0B" w:rsidRDefault="0044546F" w:rsidP="00D12567">
            <w:pPr>
              <w:spacing w:after="0" w:line="240" w:lineRule="auto"/>
              <w:ind w:right="118"/>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452" w14:paraId="54CAC5FA" w14:textId="77777777" w:rsidTr="004730D4">
        <w:tc>
          <w:tcPr>
            <w:tcW w:w="10348" w:type="dxa"/>
            <w:gridSpan w:val="2"/>
            <w:tcBorders>
              <w:top w:val="single" w:sz="4" w:space="0" w:color="519680"/>
              <w:left w:val="single" w:sz="4" w:space="0" w:color="519680"/>
              <w:bottom w:val="single" w:sz="4" w:space="0" w:color="519680"/>
              <w:right w:val="single" w:sz="4" w:space="0" w:color="519680"/>
            </w:tcBorders>
            <w:shd w:val="clear" w:color="auto" w:fill="C3DFD6"/>
            <w:tcMar>
              <w:top w:w="0" w:type="dxa"/>
              <w:left w:w="108" w:type="dxa"/>
              <w:bottom w:w="0" w:type="dxa"/>
              <w:right w:w="108" w:type="dxa"/>
            </w:tcMar>
          </w:tcPr>
          <w:p w14:paraId="22849EBF" w14:textId="4B1198C8" w:rsidR="000B3452" w:rsidRPr="00520AF7" w:rsidRDefault="000B3452" w:rsidP="00D12567">
            <w:pPr>
              <w:spacing w:after="0" w:line="240" w:lineRule="auto"/>
              <w:ind w:right="118"/>
              <w:jc w:val="both"/>
              <w:rPr>
                <w:b/>
                <w:color w:val="519680"/>
              </w:rPr>
            </w:pPr>
            <w:r w:rsidRPr="00A8376F">
              <w:rPr>
                <w:b/>
                <w:color w:val="519680"/>
                <w:sz w:val="28"/>
                <w:szCs w:val="28"/>
              </w:rPr>
              <w:t>Engagement</w:t>
            </w:r>
          </w:p>
        </w:tc>
      </w:tr>
      <w:tr w:rsidR="00B01BCC" w14:paraId="1DDE2A0B" w14:textId="77777777" w:rsidTr="0044546F">
        <w:tc>
          <w:tcPr>
            <w:tcW w:w="4820" w:type="dxa"/>
            <w:tcBorders>
              <w:top w:val="single" w:sz="4" w:space="0" w:color="519680"/>
              <w:left w:val="single" w:sz="4" w:space="0" w:color="519680"/>
              <w:bottom w:val="single" w:sz="4" w:space="0" w:color="519680"/>
              <w:right w:val="single" w:sz="4" w:space="0" w:color="519680"/>
            </w:tcBorders>
            <w:shd w:val="clear" w:color="auto" w:fill="BCDAD1"/>
            <w:tcMar>
              <w:top w:w="0" w:type="dxa"/>
              <w:left w:w="108" w:type="dxa"/>
              <w:bottom w:w="0" w:type="dxa"/>
              <w:right w:w="108" w:type="dxa"/>
            </w:tcMar>
          </w:tcPr>
          <w:p w14:paraId="3FB0D3BF" w14:textId="77112974" w:rsidR="00B01BCC" w:rsidRDefault="0044546F" w:rsidP="005724FC">
            <w:pPr>
              <w:spacing w:after="0" w:line="240" w:lineRule="auto"/>
              <w:ind w:right="118"/>
              <w:jc w:val="both"/>
            </w:pPr>
            <w:r w:rsidRPr="0044546F">
              <w:rPr>
                <w:b/>
              </w:rPr>
              <w:t>Community engagement</w:t>
            </w:r>
          </w:p>
        </w:tc>
        <w:tc>
          <w:tcPr>
            <w:tcW w:w="5528" w:type="dxa"/>
            <w:tcBorders>
              <w:top w:val="single" w:sz="4" w:space="0" w:color="519680"/>
              <w:left w:val="single" w:sz="4" w:space="0" w:color="519680"/>
              <w:bottom w:val="single" w:sz="4" w:space="0" w:color="519680"/>
              <w:right w:val="single" w:sz="4" w:space="0" w:color="519680"/>
            </w:tcBorders>
            <w:shd w:val="clear" w:color="auto" w:fill="BCDAD1"/>
            <w:tcMar>
              <w:top w:w="0" w:type="dxa"/>
              <w:left w:w="108" w:type="dxa"/>
              <w:bottom w:w="0" w:type="dxa"/>
              <w:right w:w="108" w:type="dxa"/>
            </w:tcMar>
          </w:tcPr>
          <w:p w14:paraId="7DB82E89" w14:textId="77777777" w:rsidR="00B01BCC" w:rsidRDefault="00B01BCC" w:rsidP="00D12567">
            <w:pPr>
              <w:spacing w:after="0" w:line="240" w:lineRule="auto"/>
              <w:ind w:right="118"/>
              <w:jc w:val="both"/>
            </w:pPr>
          </w:p>
        </w:tc>
      </w:tr>
      <w:tr w:rsidR="000B3452" w14:paraId="3C72E5D8" w14:textId="77777777" w:rsidTr="004730D4">
        <w:tc>
          <w:tcPr>
            <w:tcW w:w="4820"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4E1EB56" w14:textId="77777777" w:rsidR="00F874F3" w:rsidRPr="00F874F3" w:rsidRDefault="00F874F3" w:rsidP="005724FC">
            <w:pPr>
              <w:spacing w:after="0" w:line="240" w:lineRule="auto"/>
              <w:ind w:right="118"/>
              <w:jc w:val="both"/>
            </w:pPr>
            <w:r w:rsidRPr="00F874F3">
              <w:t>It is clear to the public that free, confidential advice on their health and wellbeing can be accessed.</w:t>
            </w:r>
          </w:p>
          <w:p w14:paraId="585F3BB1" w14:textId="77777777" w:rsidR="000B3452" w:rsidRDefault="000B3452" w:rsidP="005724FC">
            <w:pPr>
              <w:spacing w:after="0" w:line="240" w:lineRule="auto"/>
              <w:ind w:right="118"/>
              <w:jc w:val="both"/>
            </w:pPr>
          </w:p>
          <w:p w14:paraId="0A8F203D" w14:textId="77777777" w:rsidR="00F874F3" w:rsidRDefault="00F874F3" w:rsidP="005724FC">
            <w:pPr>
              <w:spacing w:after="0" w:line="240" w:lineRule="auto"/>
              <w:ind w:right="118"/>
              <w:jc w:val="both"/>
            </w:pPr>
          </w:p>
          <w:p w14:paraId="791B418D" w14:textId="5881E731" w:rsidR="00F874F3" w:rsidRDefault="00F874F3" w:rsidP="005724FC">
            <w:pPr>
              <w:spacing w:after="0" w:line="240" w:lineRule="auto"/>
              <w:ind w:right="118"/>
              <w:jc w:val="both"/>
            </w:pPr>
          </w:p>
        </w:tc>
        <w:tc>
          <w:tcPr>
            <w:tcW w:w="552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25AEC2C6" w14:textId="51286A8A" w:rsidR="000B3452" w:rsidRDefault="000B3452" w:rsidP="00D12567">
            <w:pPr>
              <w:spacing w:after="0" w:line="240" w:lineRule="auto"/>
              <w:ind w:right="118"/>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535D" w14:paraId="3AB9A350" w14:textId="77777777" w:rsidTr="00B20F63">
        <w:tblPrEx>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PrEx>
        <w:tc>
          <w:tcPr>
            <w:tcW w:w="4820" w:type="dxa"/>
            <w:tcMar>
              <w:top w:w="0" w:type="dxa"/>
              <w:left w:w="108" w:type="dxa"/>
              <w:bottom w:w="0" w:type="dxa"/>
              <w:right w:w="108" w:type="dxa"/>
            </w:tcMar>
          </w:tcPr>
          <w:p w14:paraId="0CF391E9" w14:textId="031CF37C" w:rsidR="00F0535D" w:rsidRPr="00F46E35" w:rsidRDefault="00F0535D" w:rsidP="005724FC">
            <w:pPr>
              <w:spacing w:after="0" w:line="240" w:lineRule="auto"/>
              <w:ind w:right="118"/>
              <w:jc w:val="both"/>
              <w:rPr>
                <w:rFonts w:cs="Arial"/>
              </w:rPr>
            </w:pPr>
            <w:bookmarkStart w:id="1" w:name="_Hlk56615167"/>
            <w:r>
              <w:rPr>
                <w:b/>
                <w:color w:val="519680"/>
              </w:rPr>
              <w:lastRenderedPageBreak/>
              <w:t>Requirement</w:t>
            </w:r>
          </w:p>
        </w:tc>
        <w:tc>
          <w:tcPr>
            <w:tcW w:w="5528" w:type="dxa"/>
            <w:shd w:val="clear" w:color="auto" w:fill="auto"/>
            <w:tcMar>
              <w:top w:w="0" w:type="dxa"/>
              <w:left w:w="108" w:type="dxa"/>
              <w:bottom w:w="0" w:type="dxa"/>
              <w:right w:w="108" w:type="dxa"/>
            </w:tcMar>
          </w:tcPr>
          <w:p w14:paraId="773155E8" w14:textId="08B593A6" w:rsidR="00F0535D" w:rsidRDefault="00F0535D" w:rsidP="00D12567">
            <w:pPr>
              <w:spacing w:after="0" w:line="240" w:lineRule="auto"/>
              <w:ind w:right="118"/>
              <w:jc w:val="both"/>
            </w:pPr>
            <w:r>
              <w:rPr>
                <w:b/>
                <w:color w:val="519680"/>
              </w:rPr>
              <w:t>Brief description of evidence (Evidence can include photos, copies of leaflets and posters, policies and other documents, electronic data records, etc.)</w:t>
            </w:r>
          </w:p>
        </w:tc>
      </w:tr>
      <w:bookmarkEnd w:id="1"/>
      <w:tr w:rsidR="00F0535D" w14:paraId="4D8E286B" w14:textId="77777777" w:rsidTr="00B20F63">
        <w:tblPrEx>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PrEx>
        <w:tc>
          <w:tcPr>
            <w:tcW w:w="4820" w:type="dxa"/>
            <w:tcMar>
              <w:top w:w="0" w:type="dxa"/>
              <w:left w:w="108" w:type="dxa"/>
              <w:bottom w:w="0" w:type="dxa"/>
              <w:right w:w="108" w:type="dxa"/>
            </w:tcMar>
          </w:tcPr>
          <w:p w14:paraId="39940D72" w14:textId="77777777" w:rsidR="00BF5580" w:rsidRPr="00BF5580" w:rsidRDefault="00BF5580" w:rsidP="005724FC">
            <w:pPr>
              <w:spacing w:after="0" w:line="240" w:lineRule="auto"/>
              <w:ind w:right="118"/>
              <w:jc w:val="both"/>
              <w:rPr>
                <w:rFonts w:cs="Arial"/>
              </w:rPr>
            </w:pPr>
            <w:r w:rsidRPr="00BF5580">
              <w:rPr>
                <w:rFonts w:cs="Arial"/>
                <w:b/>
                <w:bCs/>
              </w:rPr>
              <w:t>For pharmacies which are visited by patients and the public</w:t>
            </w:r>
            <w:r w:rsidRPr="00BF5580">
              <w:rPr>
                <w:rFonts w:cs="Arial"/>
              </w:rPr>
              <w:t xml:space="preserve">, the pharmacy has a dedicated Health Promotion Zone, that: </w:t>
            </w:r>
          </w:p>
          <w:p w14:paraId="7FD4ABB2" w14:textId="77777777" w:rsidR="00BF5580" w:rsidRPr="00BF5580" w:rsidRDefault="00BF5580" w:rsidP="005724FC">
            <w:pPr>
              <w:numPr>
                <w:ilvl w:val="0"/>
                <w:numId w:val="3"/>
              </w:numPr>
              <w:spacing w:after="0" w:line="240" w:lineRule="auto"/>
              <w:ind w:right="118"/>
              <w:jc w:val="both"/>
              <w:rPr>
                <w:rFonts w:cs="Arial"/>
              </w:rPr>
            </w:pPr>
            <w:r w:rsidRPr="00BF5580">
              <w:rPr>
                <w:rFonts w:cs="Arial"/>
              </w:rPr>
              <w:t xml:space="preserve">Is clearly marked and accessible; </w:t>
            </w:r>
          </w:p>
          <w:p w14:paraId="1CCBD157" w14:textId="77777777" w:rsidR="00BF5580" w:rsidRPr="00BF5580" w:rsidRDefault="00BF5580" w:rsidP="005724FC">
            <w:pPr>
              <w:numPr>
                <w:ilvl w:val="0"/>
                <w:numId w:val="3"/>
              </w:numPr>
              <w:spacing w:after="0" w:line="240" w:lineRule="auto"/>
              <w:ind w:right="118"/>
              <w:jc w:val="both"/>
              <w:rPr>
                <w:rFonts w:cs="Arial"/>
              </w:rPr>
            </w:pPr>
            <w:r w:rsidRPr="00BF5580">
              <w:rPr>
                <w:rFonts w:cs="Arial"/>
              </w:rPr>
              <w:t xml:space="preserve">Has a professional appearance; and </w:t>
            </w:r>
          </w:p>
          <w:p w14:paraId="522AABE1" w14:textId="77777777" w:rsidR="00BF5580" w:rsidRPr="00BF5580" w:rsidRDefault="00BF5580" w:rsidP="005724FC">
            <w:pPr>
              <w:numPr>
                <w:ilvl w:val="0"/>
                <w:numId w:val="3"/>
              </w:numPr>
              <w:spacing w:after="0" w:line="240" w:lineRule="auto"/>
              <w:ind w:right="118"/>
              <w:jc w:val="both"/>
              <w:rPr>
                <w:rFonts w:cs="Arial"/>
              </w:rPr>
            </w:pPr>
            <w:r w:rsidRPr="00BF5580">
              <w:rPr>
                <w:rFonts w:cs="Arial"/>
              </w:rPr>
              <w:t xml:space="preserve">Is appropriately equipped with up-to-date professional health and wellbeing information that meets the local public health needs as suggested in the </w:t>
            </w:r>
            <w:proofErr w:type="spellStart"/>
            <w:r w:rsidRPr="00BF5580">
              <w:rPr>
                <w:rFonts w:cs="Arial"/>
              </w:rPr>
              <w:t>JSNA</w:t>
            </w:r>
            <w:proofErr w:type="spellEnd"/>
            <w:r w:rsidRPr="00BF5580">
              <w:rPr>
                <w:rFonts w:cs="Arial"/>
              </w:rPr>
              <w:t>/</w:t>
            </w:r>
            <w:proofErr w:type="spellStart"/>
            <w:r w:rsidRPr="00BF5580">
              <w:rPr>
                <w:rFonts w:cs="Arial"/>
              </w:rPr>
              <w:t>PNA</w:t>
            </w:r>
            <w:proofErr w:type="spellEnd"/>
            <w:r w:rsidRPr="00BF5580">
              <w:rPr>
                <w:rFonts w:cs="Arial"/>
              </w:rPr>
              <w:t>, Annual Report of the Director of Public Health or after discussion with commissioners/public health professionals.</w:t>
            </w:r>
          </w:p>
          <w:p w14:paraId="2162788B" w14:textId="77777777" w:rsidR="00F0535D" w:rsidRDefault="00F0535D" w:rsidP="005724FC">
            <w:pPr>
              <w:spacing w:after="0" w:line="240" w:lineRule="auto"/>
              <w:ind w:right="118"/>
              <w:jc w:val="both"/>
            </w:pPr>
          </w:p>
          <w:p w14:paraId="64EFFB7C" w14:textId="77777777" w:rsidR="00F0535D" w:rsidRDefault="00F0535D" w:rsidP="005724FC">
            <w:pPr>
              <w:spacing w:after="0" w:line="240" w:lineRule="auto"/>
              <w:ind w:right="118"/>
              <w:jc w:val="both"/>
            </w:pPr>
          </w:p>
          <w:p w14:paraId="56669179" w14:textId="59B73819" w:rsidR="00F0535D" w:rsidRDefault="00F0535D" w:rsidP="005724FC">
            <w:pPr>
              <w:spacing w:after="0" w:line="240" w:lineRule="auto"/>
              <w:ind w:right="118"/>
              <w:jc w:val="both"/>
            </w:pPr>
          </w:p>
        </w:tc>
        <w:tc>
          <w:tcPr>
            <w:tcW w:w="5528" w:type="dxa"/>
            <w:shd w:val="clear" w:color="auto" w:fill="auto"/>
            <w:tcMar>
              <w:top w:w="0" w:type="dxa"/>
              <w:left w:w="108" w:type="dxa"/>
              <w:bottom w:w="0" w:type="dxa"/>
              <w:right w:w="108" w:type="dxa"/>
            </w:tcMar>
          </w:tcPr>
          <w:p w14:paraId="37E7AABF" w14:textId="168C0D1F" w:rsidR="00F0535D" w:rsidRDefault="00F0535D" w:rsidP="00D12567">
            <w:pPr>
              <w:spacing w:after="0" w:line="240" w:lineRule="auto"/>
              <w:ind w:right="118"/>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535D" w14:paraId="772C7C03" w14:textId="77777777" w:rsidTr="004730D4">
        <w:tblPrEx>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PrEx>
        <w:tc>
          <w:tcPr>
            <w:tcW w:w="4820" w:type="dxa"/>
            <w:shd w:val="clear" w:color="auto" w:fill="auto"/>
            <w:tcMar>
              <w:top w:w="0" w:type="dxa"/>
              <w:left w:w="108" w:type="dxa"/>
              <w:bottom w:w="0" w:type="dxa"/>
              <w:right w:w="108" w:type="dxa"/>
            </w:tcMar>
          </w:tcPr>
          <w:p w14:paraId="66B26C0F" w14:textId="77777777" w:rsidR="005724FC" w:rsidRPr="005724FC" w:rsidRDefault="005724FC" w:rsidP="005724FC">
            <w:pPr>
              <w:spacing w:after="0" w:line="240" w:lineRule="auto"/>
              <w:ind w:right="118"/>
              <w:jc w:val="both"/>
              <w:rPr>
                <w:b/>
                <w:bCs/>
              </w:rPr>
            </w:pPr>
            <w:r w:rsidRPr="005724FC">
              <w:rPr>
                <w:b/>
                <w:bCs/>
              </w:rPr>
              <w:t xml:space="preserve">For DSPs only </w:t>
            </w:r>
            <w:r w:rsidRPr="005724FC">
              <w:t xml:space="preserve">- DSPs must have a website for use by patients and the public accessing their services, which has an interactive page on their website clearly promoted to any user of the website when they first access it, which provides public access to a reasonable range of up to date materials that promote healthy lifestyles, by addressing a reasonable range of health issues. </w:t>
            </w:r>
            <w:r w:rsidRPr="005724FC">
              <w:rPr>
                <w:b/>
                <w:bCs/>
              </w:rPr>
              <w:t>DSPs must be compliant with this requirement from 1st April 2021</w:t>
            </w:r>
          </w:p>
          <w:p w14:paraId="453510D7" w14:textId="77777777" w:rsidR="00F0535D" w:rsidRDefault="00F0535D" w:rsidP="005724FC">
            <w:pPr>
              <w:spacing w:after="0" w:line="240" w:lineRule="auto"/>
              <w:ind w:right="118"/>
              <w:jc w:val="both"/>
            </w:pPr>
          </w:p>
          <w:p w14:paraId="1CB2A80E" w14:textId="77777777" w:rsidR="00F0535D" w:rsidRDefault="00F0535D" w:rsidP="005724FC">
            <w:pPr>
              <w:spacing w:after="0" w:line="240" w:lineRule="auto"/>
              <w:ind w:right="118"/>
              <w:jc w:val="both"/>
            </w:pPr>
          </w:p>
          <w:p w14:paraId="0CE5F409" w14:textId="77777777" w:rsidR="00F0535D" w:rsidRDefault="00F0535D" w:rsidP="005724FC">
            <w:pPr>
              <w:spacing w:after="0" w:line="240" w:lineRule="auto"/>
              <w:ind w:right="118"/>
              <w:jc w:val="both"/>
            </w:pPr>
          </w:p>
        </w:tc>
        <w:tc>
          <w:tcPr>
            <w:tcW w:w="5528" w:type="dxa"/>
            <w:shd w:val="clear" w:color="auto" w:fill="auto"/>
            <w:tcMar>
              <w:top w:w="0" w:type="dxa"/>
              <w:left w:w="108" w:type="dxa"/>
              <w:bottom w:w="0" w:type="dxa"/>
              <w:right w:w="108" w:type="dxa"/>
            </w:tcMar>
          </w:tcPr>
          <w:p w14:paraId="6CCFB3AA" w14:textId="15E021B3" w:rsidR="00F0535D" w:rsidRDefault="00F0535D" w:rsidP="00D12567">
            <w:pPr>
              <w:spacing w:after="0" w:line="240" w:lineRule="auto"/>
              <w:ind w:right="118"/>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535D" w14:paraId="725523FF" w14:textId="77777777" w:rsidTr="004730D4">
        <w:tblPrEx>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PrEx>
        <w:tc>
          <w:tcPr>
            <w:tcW w:w="4820" w:type="dxa"/>
            <w:shd w:val="clear" w:color="auto" w:fill="auto"/>
            <w:tcMar>
              <w:top w:w="0" w:type="dxa"/>
              <w:left w:w="108" w:type="dxa"/>
              <w:bottom w:w="0" w:type="dxa"/>
              <w:right w:w="108" w:type="dxa"/>
            </w:tcMar>
          </w:tcPr>
          <w:p w14:paraId="1BA4F944" w14:textId="77777777" w:rsidR="00F0535D" w:rsidRPr="00F0535D" w:rsidRDefault="00F0535D" w:rsidP="005724FC">
            <w:pPr>
              <w:spacing w:after="0" w:line="240" w:lineRule="auto"/>
              <w:ind w:right="118"/>
              <w:jc w:val="both"/>
            </w:pPr>
            <w:r w:rsidRPr="00F0535D">
              <w:t>The pharmacy team actively work in collaboration with other organisations to deliver pharmacy outreach and any locally commissioned services.</w:t>
            </w:r>
          </w:p>
          <w:p w14:paraId="513A52B8" w14:textId="77777777" w:rsidR="00F0535D" w:rsidRDefault="00F0535D" w:rsidP="005724FC">
            <w:pPr>
              <w:spacing w:after="0" w:line="240" w:lineRule="auto"/>
              <w:ind w:right="118"/>
              <w:jc w:val="both"/>
            </w:pPr>
          </w:p>
          <w:p w14:paraId="7DAB384D" w14:textId="77777777" w:rsidR="00F0535D" w:rsidRDefault="00F0535D" w:rsidP="005724FC">
            <w:pPr>
              <w:spacing w:after="0" w:line="240" w:lineRule="auto"/>
              <w:ind w:right="118"/>
              <w:jc w:val="both"/>
            </w:pPr>
          </w:p>
          <w:p w14:paraId="793CE23B" w14:textId="45844080" w:rsidR="00F0535D" w:rsidRDefault="00F0535D" w:rsidP="005724FC">
            <w:pPr>
              <w:spacing w:after="0" w:line="240" w:lineRule="auto"/>
              <w:ind w:right="118"/>
              <w:jc w:val="both"/>
            </w:pPr>
          </w:p>
        </w:tc>
        <w:tc>
          <w:tcPr>
            <w:tcW w:w="5528" w:type="dxa"/>
            <w:shd w:val="clear" w:color="auto" w:fill="auto"/>
            <w:tcMar>
              <w:top w:w="0" w:type="dxa"/>
              <w:left w:w="108" w:type="dxa"/>
              <w:bottom w:w="0" w:type="dxa"/>
              <w:right w:w="108" w:type="dxa"/>
            </w:tcMar>
          </w:tcPr>
          <w:p w14:paraId="121F7AFE" w14:textId="77777777" w:rsidR="00F0535D" w:rsidRDefault="00F0535D" w:rsidP="00D12567">
            <w:pPr>
              <w:spacing w:after="0" w:line="240" w:lineRule="auto"/>
              <w:ind w:right="118"/>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3D8B6C" w14:textId="77777777" w:rsidR="00F0535D" w:rsidRDefault="00F0535D" w:rsidP="00D12567">
            <w:pPr>
              <w:spacing w:after="0" w:line="240" w:lineRule="auto"/>
              <w:ind w:right="118"/>
              <w:jc w:val="both"/>
            </w:pPr>
          </w:p>
          <w:p w14:paraId="2FBFF635" w14:textId="5CBE2FD3" w:rsidR="00F0535D" w:rsidRDefault="00F0535D" w:rsidP="00D12567">
            <w:pPr>
              <w:spacing w:after="0" w:line="240" w:lineRule="auto"/>
              <w:ind w:right="118"/>
              <w:jc w:val="both"/>
            </w:pPr>
          </w:p>
        </w:tc>
      </w:tr>
      <w:tr w:rsidR="008740E3" w14:paraId="5A24DE6E" w14:textId="77777777" w:rsidTr="004730D4">
        <w:tblPrEx>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PrEx>
        <w:tc>
          <w:tcPr>
            <w:tcW w:w="4820" w:type="dxa"/>
            <w:shd w:val="clear" w:color="auto" w:fill="auto"/>
            <w:tcMar>
              <w:top w:w="0" w:type="dxa"/>
              <w:left w:w="108" w:type="dxa"/>
              <w:bottom w:w="0" w:type="dxa"/>
              <w:right w:w="108" w:type="dxa"/>
            </w:tcMar>
          </w:tcPr>
          <w:p w14:paraId="5D10D919" w14:textId="77777777" w:rsidR="00342A38" w:rsidRPr="00342A38" w:rsidRDefault="00342A38" w:rsidP="005724FC">
            <w:pPr>
              <w:spacing w:after="0" w:line="240" w:lineRule="auto"/>
              <w:ind w:right="118"/>
              <w:jc w:val="both"/>
            </w:pPr>
            <w:r w:rsidRPr="00342A38">
              <w:t>The pharmacy team take prevention and health promotion services beyond the pharmacy premises. Pharmacy outreach may be face to face and take services to people where they live or spend time or may be virtual events.</w:t>
            </w:r>
          </w:p>
          <w:p w14:paraId="3D75EDCF" w14:textId="77777777" w:rsidR="008740E3" w:rsidRDefault="008740E3" w:rsidP="005724FC">
            <w:pPr>
              <w:spacing w:after="0" w:line="240" w:lineRule="auto"/>
              <w:ind w:right="118"/>
              <w:jc w:val="both"/>
            </w:pPr>
          </w:p>
          <w:p w14:paraId="0B10924B" w14:textId="19C53459" w:rsidR="00342A38" w:rsidRPr="00F0535D" w:rsidRDefault="00342A38" w:rsidP="005724FC">
            <w:pPr>
              <w:spacing w:after="0" w:line="240" w:lineRule="auto"/>
              <w:ind w:right="118"/>
              <w:jc w:val="both"/>
            </w:pPr>
          </w:p>
        </w:tc>
        <w:tc>
          <w:tcPr>
            <w:tcW w:w="5528" w:type="dxa"/>
            <w:shd w:val="clear" w:color="auto" w:fill="auto"/>
            <w:tcMar>
              <w:top w:w="0" w:type="dxa"/>
              <w:left w:w="108" w:type="dxa"/>
              <w:bottom w:w="0" w:type="dxa"/>
              <w:right w:w="108" w:type="dxa"/>
            </w:tcMar>
          </w:tcPr>
          <w:p w14:paraId="206F1767" w14:textId="77777777" w:rsidR="00342A38" w:rsidRDefault="00342A38" w:rsidP="00D12567">
            <w:pPr>
              <w:spacing w:after="0" w:line="240" w:lineRule="auto"/>
              <w:ind w:right="118"/>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C8F9D3" w14:textId="77777777" w:rsidR="008740E3" w:rsidRDefault="008740E3" w:rsidP="00D12567">
            <w:pPr>
              <w:spacing w:after="0" w:line="240" w:lineRule="auto"/>
              <w:ind w:right="118"/>
              <w:jc w:val="both"/>
            </w:pPr>
          </w:p>
        </w:tc>
      </w:tr>
      <w:tr w:rsidR="00F0535D" w14:paraId="562A8CC9" w14:textId="77777777" w:rsidTr="004730D4">
        <w:tblPrEx>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PrEx>
        <w:trPr>
          <w:trHeight w:val="370"/>
        </w:trPr>
        <w:tc>
          <w:tcPr>
            <w:tcW w:w="10348" w:type="dxa"/>
            <w:gridSpan w:val="2"/>
            <w:shd w:val="clear" w:color="auto" w:fill="C3DFD6"/>
            <w:tcMar>
              <w:top w:w="0" w:type="dxa"/>
              <w:left w:w="108" w:type="dxa"/>
              <w:bottom w:w="0" w:type="dxa"/>
              <w:right w:w="108" w:type="dxa"/>
            </w:tcMar>
          </w:tcPr>
          <w:p w14:paraId="5A60FF2F" w14:textId="47AF84E9" w:rsidR="00F0535D" w:rsidRPr="00987F41" w:rsidRDefault="00987F41" w:rsidP="00D12567">
            <w:pPr>
              <w:spacing w:after="0" w:line="240" w:lineRule="auto"/>
              <w:ind w:right="118"/>
              <w:jc w:val="both"/>
              <w:rPr>
                <w:b/>
                <w:bCs/>
                <w:color w:val="519680"/>
                <w:sz w:val="28"/>
                <w:szCs w:val="28"/>
                <w:lang w:val="en-US"/>
              </w:rPr>
            </w:pPr>
            <w:r w:rsidRPr="00987F41">
              <w:rPr>
                <w:b/>
                <w:bCs/>
                <w:color w:val="519680"/>
                <w:sz w:val="28"/>
                <w:szCs w:val="28"/>
                <w:lang w:val="en-US"/>
              </w:rPr>
              <w:t xml:space="preserve">Premises Requirements </w:t>
            </w:r>
          </w:p>
        </w:tc>
      </w:tr>
      <w:tr w:rsidR="00342A38" w14:paraId="7E258B87" w14:textId="77777777" w:rsidTr="004730D4">
        <w:tblPrEx>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PrEx>
        <w:trPr>
          <w:trHeight w:val="370"/>
        </w:trPr>
        <w:tc>
          <w:tcPr>
            <w:tcW w:w="10348" w:type="dxa"/>
            <w:gridSpan w:val="2"/>
            <w:shd w:val="clear" w:color="auto" w:fill="C3DFD6"/>
            <w:tcMar>
              <w:top w:w="0" w:type="dxa"/>
              <w:left w:w="108" w:type="dxa"/>
              <w:bottom w:w="0" w:type="dxa"/>
              <w:right w:w="108" w:type="dxa"/>
            </w:tcMar>
          </w:tcPr>
          <w:p w14:paraId="49AC9D90" w14:textId="256641D6" w:rsidR="00342A38" w:rsidRDefault="00903183" w:rsidP="00D12567">
            <w:pPr>
              <w:spacing w:after="0" w:line="240" w:lineRule="auto"/>
              <w:ind w:right="118"/>
              <w:jc w:val="both"/>
            </w:pPr>
            <w:r w:rsidRPr="00903183">
              <w:rPr>
                <w:b/>
              </w:rPr>
              <w:t>Health promoting environment</w:t>
            </w:r>
          </w:p>
        </w:tc>
      </w:tr>
      <w:tr w:rsidR="00F0535D" w14:paraId="168B3392" w14:textId="77777777" w:rsidTr="004730D4">
        <w:tblPrEx>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PrEx>
        <w:tc>
          <w:tcPr>
            <w:tcW w:w="4820" w:type="dxa"/>
            <w:shd w:val="clear" w:color="auto" w:fill="auto"/>
            <w:tcMar>
              <w:top w:w="0" w:type="dxa"/>
              <w:left w:w="108" w:type="dxa"/>
              <w:bottom w:w="0" w:type="dxa"/>
              <w:right w:w="108" w:type="dxa"/>
            </w:tcMar>
          </w:tcPr>
          <w:p w14:paraId="605561D2" w14:textId="445DF9B0" w:rsidR="00F0535D" w:rsidRDefault="00F0535D" w:rsidP="005724FC">
            <w:pPr>
              <w:spacing w:after="0" w:line="240" w:lineRule="auto"/>
              <w:ind w:right="118"/>
              <w:jc w:val="both"/>
              <w:rPr>
                <w:b/>
                <w:bCs/>
              </w:rPr>
            </w:pPr>
            <w:r w:rsidRPr="00FD5F43">
              <w:rPr>
                <w:b/>
                <w:bCs/>
              </w:rPr>
              <w:t>For pharmacies which are visited by patients and the public</w:t>
            </w:r>
            <w:r>
              <w:rPr>
                <w:b/>
                <w:bCs/>
              </w:rPr>
              <w:t xml:space="preserve"> </w:t>
            </w:r>
          </w:p>
          <w:p w14:paraId="25EC527A" w14:textId="1A3428B2" w:rsidR="00F0535D" w:rsidRDefault="00F0535D" w:rsidP="005724FC">
            <w:pPr>
              <w:spacing w:after="0" w:line="240" w:lineRule="auto"/>
              <w:ind w:right="118"/>
              <w:jc w:val="both"/>
            </w:pPr>
            <w:r>
              <w:t>The pharmacy has a dedicated health promotion zone clearly marked and accessible to the public, which contains relevant and up to date resources, which are used by staff when discussing relevant health promoting interventions.</w:t>
            </w:r>
          </w:p>
          <w:p w14:paraId="01AF5517" w14:textId="77777777" w:rsidR="00F0535D" w:rsidRDefault="00F0535D" w:rsidP="005724FC">
            <w:pPr>
              <w:spacing w:after="0" w:line="240" w:lineRule="auto"/>
              <w:ind w:right="118"/>
              <w:jc w:val="both"/>
            </w:pPr>
          </w:p>
        </w:tc>
        <w:tc>
          <w:tcPr>
            <w:tcW w:w="5528" w:type="dxa"/>
            <w:shd w:val="clear" w:color="auto" w:fill="auto"/>
            <w:tcMar>
              <w:top w:w="0" w:type="dxa"/>
              <w:left w:w="108" w:type="dxa"/>
              <w:bottom w:w="0" w:type="dxa"/>
              <w:right w:w="108" w:type="dxa"/>
            </w:tcMar>
          </w:tcPr>
          <w:p w14:paraId="0706B322" w14:textId="527995C9" w:rsidR="00F0535D" w:rsidRDefault="00F0535D" w:rsidP="00D12567">
            <w:pPr>
              <w:spacing w:after="0" w:line="240" w:lineRule="auto"/>
              <w:ind w:right="118"/>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12C7E4" w14:textId="77777777" w:rsidR="00F0535D" w:rsidRDefault="00F0535D" w:rsidP="00D12567">
            <w:pPr>
              <w:spacing w:after="0" w:line="240" w:lineRule="auto"/>
              <w:ind w:right="118"/>
              <w:jc w:val="both"/>
            </w:pPr>
          </w:p>
        </w:tc>
      </w:tr>
      <w:tr w:rsidR="004167D5" w14:paraId="4FE94DBB" w14:textId="77777777" w:rsidTr="00F365B3">
        <w:tblPrEx>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PrEx>
        <w:tc>
          <w:tcPr>
            <w:tcW w:w="4820" w:type="dxa"/>
            <w:tcMar>
              <w:top w:w="0" w:type="dxa"/>
              <w:left w:w="108" w:type="dxa"/>
              <w:bottom w:w="0" w:type="dxa"/>
              <w:right w:w="108" w:type="dxa"/>
            </w:tcMar>
          </w:tcPr>
          <w:p w14:paraId="13C79409" w14:textId="52F815C8" w:rsidR="004167D5" w:rsidRPr="00881FEC" w:rsidRDefault="004167D5" w:rsidP="004167D5">
            <w:pPr>
              <w:suppressAutoHyphens w:val="0"/>
              <w:autoSpaceDN/>
              <w:spacing w:after="0" w:line="240" w:lineRule="auto"/>
              <w:ind w:right="118"/>
              <w:jc w:val="both"/>
              <w:textAlignment w:val="auto"/>
              <w:rPr>
                <w:rFonts w:asciiTheme="minorHAnsi" w:eastAsiaTheme="minorHAnsi" w:hAnsiTheme="minorHAnsi" w:cstheme="minorHAnsi"/>
                <w:b/>
                <w:bCs/>
              </w:rPr>
            </w:pPr>
            <w:r>
              <w:rPr>
                <w:b/>
                <w:color w:val="519680"/>
              </w:rPr>
              <w:lastRenderedPageBreak/>
              <w:t>Requirement</w:t>
            </w:r>
          </w:p>
        </w:tc>
        <w:tc>
          <w:tcPr>
            <w:tcW w:w="5528" w:type="dxa"/>
            <w:shd w:val="clear" w:color="auto" w:fill="auto"/>
            <w:tcMar>
              <w:top w:w="0" w:type="dxa"/>
              <w:left w:w="108" w:type="dxa"/>
              <w:bottom w:w="0" w:type="dxa"/>
              <w:right w:w="108" w:type="dxa"/>
            </w:tcMar>
          </w:tcPr>
          <w:p w14:paraId="6A86C966" w14:textId="12687825" w:rsidR="004167D5" w:rsidRDefault="004167D5" w:rsidP="00D12567">
            <w:pPr>
              <w:spacing w:after="0" w:line="240" w:lineRule="auto"/>
              <w:ind w:right="118"/>
              <w:jc w:val="both"/>
            </w:pPr>
            <w:r>
              <w:rPr>
                <w:b/>
                <w:color w:val="519680"/>
              </w:rPr>
              <w:t>Brief description of evidence (Evidence can include photos, copies of leaflets and posters, policies and other documents, electronic data records, etc.)</w:t>
            </w:r>
          </w:p>
        </w:tc>
      </w:tr>
      <w:tr w:rsidR="004167D5" w14:paraId="195984AE" w14:textId="77777777" w:rsidTr="004730D4">
        <w:tblPrEx>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PrEx>
        <w:tc>
          <w:tcPr>
            <w:tcW w:w="4820" w:type="dxa"/>
            <w:shd w:val="clear" w:color="auto" w:fill="auto"/>
            <w:tcMar>
              <w:top w:w="0" w:type="dxa"/>
              <w:left w:w="108" w:type="dxa"/>
              <w:bottom w:w="0" w:type="dxa"/>
              <w:right w:w="108" w:type="dxa"/>
            </w:tcMar>
          </w:tcPr>
          <w:p w14:paraId="4384AFBB" w14:textId="77777777" w:rsidR="004167D5" w:rsidRDefault="004167D5" w:rsidP="004167D5">
            <w:pPr>
              <w:suppressAutoHyphens w:val="0"/>
              <w:autoSpaceDN/>
              <w:spacing w:after="0" w:line="240" w:lineRule="auto"/>
              <w:ind w:right="118"/>
              <w:jc w:val="both"/>
              <w:textAlignment w:val="auto"/>
              <w:rPr>
                <w:rFonts w:asciiTheme="minorHAnsi" w:eastAsiaTheme="minorHAnsi" w:hAnsiTheme="minorHAnsi" w:cstheme="minorHAnsi"/>
                <w:b/>
                <w:bCs/>
              </w:rPr>
            </w:pPr>
            <w:r w:rsidRPr="00881FEC">
              <w:rPr>
                <w:rFonts w:asciiTheme="minorHAnsi" w:eastAsiaTheme="minorHAnsi" w:hAnsiTheme="minorHAnsi" w:cstheme="minorHAnsi"/>
                <w:b/>
                <w:bCs/>
              </w:rPr>
              <w:t>For DSPs only</w:t>
            </w:r>
          </w:p>
          <w:p w14:paraId="764AE60D" w14:textId="46DE9A06" w:rsidR="004167D5" w:rsidRPr="007257FE" w:rsidRDefault="004167D5" w:rsidP="004167D5">
            <w:pPr>
              <w:suppressAutoHyphens w:val="0"/>
              <w:autoSpaceDN/>
              <w:spacing w:after="200" w:line="240" w:lineRule="auto"/>
              <w:ind w:right="118"/>
              <w:jc w:val="both"/>
              <w:textAlignment w:val="auto"/>
              <w:rPr>
                <w:rFonts w:asciiTheme="minorHAnsi" w:eastAsiaTheme="minorHAnsi" w:hAnsiTheme="minorHAnsi" w:cstheme="minorHAnsi"/>
              </w:rPr>
            </w:pPr>
            <w:r>
              <w:rPr>
                <w:rFonts w:asciiTheme="minorHAnsi" w:eastAsiaTheme="minorHAnsi" w:hAnsiTheme="minorHAnsi" w:cstheme="minorHAnsi"/>
              </w:rPr>
              <w:t xml:space="preserve">The pharmacy </w:t>
            </w:r>
            <w:r w:rsidRPr="00881FEC">
              <w:rPr>
                <w:rFonts w:asciiTheme="minorHAnsi" w:eastAsiaTheme="minorHAnsi" w:hAnsiTheme="minorHAnsi" w:cstheme="minorHAnsi"/>
              </w:rPr>
              <w:t>must have a website for use by</w:t>
            </w:r>
            <w:r>
              <w:rPr>
                <w:rFonts w:asciiTheme="minorHAnsi" w:eastAsiaTheme="minorHAnsi" w:hAnsiTheme="minorHAnsi" w:cstheme="minorHAnsi"/>
              </w:rPr>
              <w:t xml:space="preserve"> </w:t>
            </w:r>
            <w:r w:rsidRPr="00881FEC">
              <w:rPr>
                <w:rFonts w:asciiTheme="minorHAnsi" w:eastAsiaTheme="minorHAnsi" w:hAnsiTheme="minorHAnsi" w:cstheme="minorHAnsi"/>
              </w:rPr>
              <w:t xml:space="preserve"> patients and the public accessing their services, which has an interactive page on their website clearly promoted to any user of the website when they first access it, which provides public access to a reasonable range of up to date </w:t>
            </w:r>
            <w:r>
              <w:rPr>
                <w:rFonts w:asciiTheme="minorHAnsi" w:eastAsiaTheme="minorHAnsi" w:hAnsiTheme="minorHAnsi" w:cstheme="minorHAnsi"/>
              </w:rPr>
              <w:t xml:space="preserve">       </w:t>
            </w:r>
            <w:r w:rsidRPr="00881FEC">
              <w:rPr>
                <w:rFonts w:asciiTheme="minorHAnsi" w:eastAsiaTheme="minorHAnsi" w:hAnsiTheme="minorHAnsi" w:cstheme="minorHAnsi"/>
              </w:rPr>
              <w:t xml:space="preserve">materials that promote healthy lifestyles, by </w:t>
            </w:r>
            <w:r>
              <w:rPr>
                <w:rFonts w:asciiTheme="minorHAnsi" w:eastAsiaTheme="minorHAnsi" w:hAnsiTheme="minorHAnsi" w:cstheme="minorHAnsi"/>
              </w:rPr>
              <w:t xml:space="preserve">  </w:t>
            </w:r>
            <w:r w:rsidRPr="00881FEC">
              <w:rPr>
                <w:rFonts w:asciiTheme="minorHAnsi" w:eastAsiaTheme="minorHAnsi" w:hAnsiTheme="minorHAnsi" w:cstheme="minorHAnsi"/>
              </w:rPr>
              <w:t xml:space="preserve">addressing a reasonable range of health issues. </w:t>
            </w:r>
          </w:p>
        </w:tc>
        <w:tc>
          <w:tcPr>
            <w:tcW w:w="5528" w:type="dxa"/>
            <w:shd w:val="clear" w:color="auto" w:fill="auto"/>
            <w:tcMar>
              <w:top w:w="0" w:type="dxa"/>
              <w:left w:w="108" w:type="dxa"/>
              <w:bottom w:w="0" w:type="dxa"/>
              <w:right w:w="108" w:type="dxa"/>
            </w:tcMar>
          </w:tcPr>
          <w:p w14:paraId="32686AAC" w14:textId="1D741DFB" w:rsidR="004167D5" w:rsidRDefault="004167D5" w:rsidP="00D12567">
            <w:pPr>
              <w:spacing w:after="0" w:line="240" w:lineRule="auto"/>
              <w:ind w:right="118"/>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D11C54" w14:textId="77777777" w:rsidR="004167D5" w:rsidRDefault="004167D5" w:rsidP="00D12567">
            <w:pPr>
              <w:spacing w:after="0" w:line="240" w:lineRule="auto"/>
              <w:ind w:right="118"/>
              <w:jc w:val="both"/>
            </w:pPr>
          </w:p>
          <w:p w14:paraId="7338A62B" w14:textId="77777777" w:rsidR="004167D5" w:rsidRDefault="004167D5" w:rsidP="00D12567">
            <w:pPr>
              <w:spacing w:after="0" w:line="240" w:lineRule="auto"/>
              <w:ind w:right="118"/>
              <w:jc w:val="both"/>
            </w:pPr>
          </w:p>
          <w:p w14:paraId="5F4BAFF0" w14:textId="77777777" w:rsidR="004167D5" w:rsidRDefault="004167D5" w:rsidP="00D12567">
            <w:pPr>
              <w:spacing w:after="0" w:line="240" w:lineRule="auto"/>
              <w:ind w:right="118"/>
              <w:jc w:val="both"/>
            </w:pPr>
          </w:p>
          <w:p w14:paraId="75A96ED0" w14:textId="77777777" w:rsidR="004167D5" w:rsidRDefault="004167D5" w:rsidP="00D12567">
            <w:pPr>
              <w:spacing w:after="0" w:line="240" w:lineRule="auto"/>
              <w:ind w:right="118"/>
              <w:jc w:val="both"/>
            </w:pPr>
          </w:p>
          <w:p w14:paraId="000D1F99" w14:textId="77777777" w:rsidR="004167D5" w:rsidRDefault="004167D5" w:rsidP="00D12567">
            <w:pPr>
              <w:spacing w:after="0" w:line="240" w:lineRule="auto"/>
              <w:ind w:right="118"/>
              <w:jc w:val="both"/>
            </w:pPr>
          </w:p>
          <w:p w14:paraId="1281D1C7" w14:textId="77777777" w:rsidR="004167D5" w:rsidRDefault="004167D5" w:rsidP="00D12567">
            <w:pPr>
              <w:spacing w:after="0" w:line="240" w:lineRule="auto"/>
              <w:ind w:right="118"/>
              <w:jc w:val="both"/>
            </w:pPr>
          </w:p>
        </w:tc>
      </w:tr>
      <w:tr w:rsidR="004167D5" w14:paraId="16BAF668" w14:textId="77777777" w:rsidTr="004730D4">
        <w:tblPrEx>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PrEx>
        <w:tc>
          <w:tcPr>
            <w:tcW w:w="4820" w:type="dxa"/>
            <w:shd w:val="clear" w:color="auto" w:fill="auto"/>
            <w:tcMar>
              <w:top w:w="0" w:type="dxa"/>
              <w:left w:w="108" w:type="dxa"/>
              <w:bottom w:w="0" w:type="dxa"/>
              <w:right w:w="108" w:type="dxa"/>
            </w:tcMar>
          </w:tcPr>
          <w:p w14:paraId="50CBB8DD" w14:textId="56A6E701" w:rsidR="004167D5" w:rsidRPr="00BB4993" w:rsidRDefault="004167D5" w:rsidP="004167D5">
            <w:pPr>
              <w:spacing w:after="0" w:line="240" w:lineRule="auto"/>
              <w:ind w:right="118"/>
              <w:jc w:val="both"/>
            </w:pPr>
            <w:r w:rsidRPr="00BB4993">
              <w:t>The pharmacy has a consultation room which meets the minimum NHSE&amp;I’s approved particulars for premises or will have fitted a consultation room (if they do not currently have one) by 1st January 2021.</w:t>
            </w:r>
          </w:p>
          <w:p w14:paraId="0AE54315" w14:textId="0F192991" w:rsidR="004167D5" w:rsidRPr="00FD5F43" w:rsidRDefault="004167D5" w:rsidP="004167D5">
            <w:pPr>
              <w:spacing w:after="0" w:line="240" w:lineRule="auto"/>
              <w:ind w:right="118"/>
              <w:jc w:val="both"/>
              <w:rPr>
                <w:b/>
                <w:bCs/>
              </w:rPr>
            </w:pPr>
          </w:p>
        </w:tc>
        <w:tc>
          <w:tcPr>
            <w:tcW w:w="5528" w:type="dxa"/>
            <w:shd w:val="clear" w:color="auto" w:fill="auto"/>
            <w:tcMar>
              <w:top w:w="0" w:type="dxa"/>
              <w:left w:w="108" w:type="dxa"/>
              <w:bottom w:w="0" w:type="dxa"/>
              <w:right w:w="108" w:type="dxa"/>
            </w:tcMar>
          </w:tcPr>
          <w:p w14:paraId="42FF6205" w14:textId="77777777" w:rsidR="004167D5" w:rsidRDefault="004167D5" w:rsidP="00D12567">
            <w:pPr>
              <w:spacing w:after="0" w:line="240" w:lineRule="auto"/>
              <w:ind w:right="118"/>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4B2AF0" w14:textId="5ED43C46" w:rsidR="004167D5" w:rsidRDefault="004167D5" w:rsidP="00D12567">
            <w:pPr>
              <w:spacing w:after="0" w:line="240" w:lineRule="auto"/>
              <w:ind w:right="118"/>
              <w:jc w:val="both"/>
            </w:pPr>
          </w:p>
        </w:tc>
      </w:tr>
      <w:tr w:rsidR="004167D5" w14:paraId="77AFE039" w14:textId="77777777" w:rsidTr="004730D4">
        <w:tblPrEx>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PrEx>
        <w:tc>
          <w:tcPr>
            <w:tcW w:w="4820" w:type="dxa"/>
            <w:shd w:val="clear" w:color="auto" w:fill="auto"/>
            <w:tcMar>
              <w:top w:w="0" w:type="dxa"/>
              <w:left w:w="108" w:type="dxa"/>
              <w:bottom w:w="0" w:type="dxa"/>
              <w:right w:w="108" w:type="dxa"/>
            </w:tcMar>
          </w:tcPr>
          <w:p w14:paraId="49386876" w14:textId="77777777" w:rsidR="004167D5" w:rsidRPr="00A463D3" w:rsidRDefault="004167D5" w:rsidP="004167D5">
            <w:pPr>
              <w:spacing w:after="0" w:line="240" w:lineRule="auto"/>
              <w:ind w:right="118"/>
              <w:jc w:val="both"/>
            </w:pPr>
            <w:r w:rsidRPr="00A463D3">
              <w:rPr>
                <w:b/>
                <w:bCs/>
              </w:rPr>
              <w:t>For DSPs or some small sized pharmacies</w:t>
            </w:r>
          </w:p>
          <w:p w14:paraId="140C5368" w14:textId="77777777" w:rsidR="004167D5" w:rsidRPr="00A463D3" w:rsidRDefault="004167D5" w:rsidP="004167D5">
            <w:pPr>
              <w:spacing w:after="0" w:line="240" w:lineRule="auto"/>
              <w:ind w:right="118"/>
              <w:jc w:val="both"/>
            </w:pPr>
            <w:r w:rsidRPr="00A463D3">
              <w:t>There are arrangements in place at their premises which enable a person performing pharmaceutical services to communicate confidentially with a person accessing pharmaceutical services:</w:t>
            </w:r>
          </w:p>
          <w:p w14:paraId="37E87CC5" w14:textId="77777777" w:rsidR="004167D5" w:rsidRPr="00A463D3" w:rsidRDefault="004167D5" w:rsidP="004167D5">
            <w:pPr>
              <w:numPr>
                <w:ilvl w:val="0"/>
                <w:numId w:val="2"/>
              </w:numPr>
              <w:spacing w:after="0" w:line="240" w:lineRule="auto"/>
              <w:ind w:right="118"/>
              <w:jc w:val="both"/>
            </w:pPr>
            <w:r w:rsidRPr="00A463D3">
              <w:t>by telephone or another live audio link; and</w:t>
            </w:r>
          </w:p>
          <w:p w14:paraId="6D07700C" w14:textId="77777777" w:rsidR="004167D5" w:rsidRPr="00A463D3" w:rsidRDefault="004167D5" w:rsidP="004167D5">
            <w:pPr>
              <w:numPr>
                <w:ilvl w:val="0"/>
                <w:numId w:val="2"/>
              </w:numPr>
              <w:spacing w:after="0" w:line="240" w:lineRule="auto"/>
              <w:ind w:right="118"/>
              <w:jc w:val="both"/>
            </w:pPr>
            <w:r w:rsidRPr="00A463D3">
              <w:t>via a live video link.</w:t>
            </w:r>
          </w:p>
          <w:p w14:paraId="05976549" w14:textId="77777777" w:rsidR="004167D5" w:rsidRPr="00FD5F43" w:rsidRDefault="004167D5" w:rsidP="004167D5">
            <w:pPr>
              <w:spacing w:after="0" w:line="240" w:lineRule="auto"/>
              <w:ind w:right="118"/>
              <w:jc w:val="both"/>
              <w:rPr>
                <w:b/>
                <w:bCs/>
              </w:rPr>
            </w:pPr>
          </w:p>
        </w:tc>
        <w:tc>
          <w:tcPr>
            <w:tcW w:w="5528" w:type="dxa"/>
            <w:shd w:val="clear" w:color="auto" w:fill="auto"/>
            <w:tcMar>
              <w:top w:w="0" w:type="dxa"/>
              <w:left w:w="108" w:type="dxa"/>
              <w:bottom w:w="0" w:type="dxa"/>
              <w:right w:w="108" w:type="dxa"/>
            </w:tcMar>
          </w:tcPr>
          <w:p w14:paraId="5776D58C" w14:textId="77777777" w:rsidR="004167D5" w:rsidRDefault="004167D5" w:rsidP="00D12567">
            <w:pPr>
              <w:spacing w:after="0" w:line="240" w:lineRule="auto"/>
              <w:ind w:right="118"/>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154975" w14:textId="77777777" w:rsidR="004167D5" w:rsidRDefault="004167D5" w:rsidP="00D12567">
            <w:pPr>
              <w:spacing w:after="0" w:line="240" w:lineRule="auto"/>
              <w:ind w:right="118"/>
              <w:jc w:val="both"/>
            </w:pPr>
          </w:p>
        </w:tc>
      </w:tr>
      <w:tr w:rsidR="004167D5" w14:paraId="14433D91" w14:textId="77777777" w:rsidTr="0049573D">
        <w:tblPrEx>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PrEx>
        <w:tc>
          <w:tcPr>
            <w:tcW w:w="4820" w:type="dxa"/>
            <w:tcMar>
              <w:top w:w="0" w:type="dxa"/>
              <w:left w:w="108" w:type="dxa"/>
              <w:bottom w:w="0" w:type="dxa"/>
              <w:right w:w="108" w:type="dxa"/>
            </w:tcMar>
          </w:tcPr>
          <w:p w14:paraId="075FC9B8" w14:textId="77777777" w:rsidR="004167D5" w:rsidRDefault="004167D5" w:rsidP="004167D5">
            <w:pPr>
              <w:spacing w:after="0" w:line="240" w:lineRule="auto"/>
              <w:jc w:val="both"/>
              <w:rPr>
                <w:rFonts w:eastAsia="Times New Roman" w:cs="Calibri"/>
                <w:b/>
                <w:bCs/>
                <w:lang w:eastAsia="en-GB"/>
              </w:rPr>
            </w:pPr>
            <w:r w:rsidRPr="00F46E35">
              <w:rPr>
                <w:rFonts w:eastAsia="Times New Roman" w:cs="Calibri"/>
                <w:b/>
                <w:bCs/>
                <w:lang w:eastAsia="en-GB"/>
              </w:rPr>
              <w:t>For pharmacies that do not provide Advanced Services</w:t>
            </w:r>
          </w:p>
          <w:p w14:paraId="00CA4568" w14:textId="77777777" w:rsidR="004167D5" w:rsidRPr="00F46E35" w:rsidRDefault="004167D5" w:rsidP="004167D5">
            <w:pPr>
              <w:spacing w:after="0" w:line="240" w:lineRule="auto"/>
              <w:jc w:val="both"/>
              <w:rPr>
                <w:rFonts w:eastAsia="Times New Roman" w:cs="Calibri"/>
                <w:lang w:eastAsia="en-GB"/>
              </w:rPr>
            </w:pPr>
            <w:r w:rsidRPr="00F46E35">
              <w:rPr>
                <w:rFonts w:eastAsia="Times New Roman" w:cs="Calibri"/>
                <w:lang w:eastAsia="en-GB"/>
              </w:rPr>
              <w:t xml:space="preserve">Where a pharmacy has not provided any </w:t>
            </w:r>
            <w:r>
              <w:rPr>
                <w:rFonts w:eastAsia="Times New Roman" w:cs="Calibri"/>
                <w:lang w:eastAsia="en-GB"/>
              </w:rPr>
              <w:t>A</w:t>
            </w:r>
            <w:r w:rsidRPr="00F46E35">
              <w:rPr>
                <w:rFonts w:eastAsia="Times New Roman" w:cs="Calibri"/>
                <w:lang w:eastAsia="en-GB"/>
              </w:rPr>
              <w:t xml:space="preserve">dvanced services at or from the premises during </w:t>
            </w:r>
            <w:r>
              <w:rPr>
                <w:rFonts w:eastAsia="Times New Roman" w:cs="Calibri"/>
                <w:lang w:eastAsia="en-GB"/>
              </w:rPr>
              <w:t>2020</w:t>
            </w:r>
            <w:r w:rsidRPr="00F46E35">
              <w:rPr>
                <w:rFonts w:eastAsia="Times New Roman" w:cs="Calibri"/>
                <w:lang w:eastAsia="en-GB"/>
              </w:rPr>
              <w:t>, they will be exempt from the requirement to have a consultation room on the premises until 1st April 2023</w:t>
            </w:r>
            <w:r>
              <w:rPr>
                <w:rFonts w:eastAsia="Times New Roman" w:cs="Calibri"/>
                <w:lang w:eastAsia="en-GB"/>
              </w:rPr>
              <w:t>,</w:t>
            </w:r>
            <w:r w:rsidRPr="00F46E35">
              <w:rPr>
                <w:rFonts w:eastAsia="Times New Roman" w:cs="Calibri"/>
                <w:lang w:eastAsia="en-GB"/>
              </w:rPr>
              <w:t xml:space="preserve"> after which they will also be required to have one in place.</w:t>
            </w:r>
          </w:p>
          <w:p w14:paraId="004BC31B" w14:textId="77777777" w:rsidR="004167D5" w:rsidRDefault="004167D5" w:rsidP="004167D5">
            <w:pPr>
              <w:spacing w:after="0" w:line="240" w:lineRule="auto"/>
              <w:ind w:right="118"/>
              <w:jc w:val="both"/>
              <w:rPr>
                <w:rFonts w:cs="Calibri"/>
                <w:sz w:val="16"/>
                <w:szCs w:val="16"/>
              </w:rPr>
            </w:pPr>
            <w:r w:rsidRPr="003D08DC">
              <w:rPr>
                <w:rFonts w:cs="Calibri"/>
                <w:sz w:val="16"/>
                <w:szCs w:val="16"/>
              </w:rPr>
              <w:t xml:space="preserve"> </w:t>
            </w:r>
          </w:p>
          <w:p w14:paraId="164785AF" w14:textId="77777777" w:rsidR="004167D5" w:rsidRDefault="004167D5" w:rsidP="004167D5">
            <w:pPr>
              <w:spacing w:after="0" w:line="240" w:lineRule="auto"/>
              <w:ind w:right="118"/>
              <w:jc w:val="both"/>
              <w:rPr>
                <w:rFonts w:cs="Calibri"/>
                <w:sz w:val="16"/>
                <w:szCs w:val="16"/>
              </w:rPr>
            </w:pPr>
          </w:p>
          <w:p w14:paraId="2D929CEE" w14:textId="7588A5A4" w:rsidR="004167D5" w:rsidRPr="00FD5F43" w:rsidRDefault="004167D5" w:rsidP="004167D5">
            <w:pPr>
              <w:spacing w:after="0" w:line="240" w:lineRule="auto"/>
              <w:ind w:right="118"/>
              <w:jc w:val="both"/>
              <w:rPr>
                <w:b/>
                <w:bCs/>
              </w:rPr>
            </w:pPr>
          </w:p>
        </w:tc>
        <w:tc>
          <w:tcPr>
            <w:tcW w:w="5528" w:type="dxa"/>
            <w:shd w:val="clear" w:color="auto" w:fill="auto"/>
            <w:tcMar>
              <w:top w:w="0" w:type="dxa"/>
              <w:left w:w="108" w:type="dxa"/>
              <w:bottom w:w="0" w:type="dxa"/>
              <w:right w:w="108" w:type="dxa"/>
            </w:tcMar>
          </w:tcPr>
          <w:p w14:paraId="04EB3973" w14:textId="77777777" w:rsidR="004167D5" w:rsidRDefault="004167D5" w:rsidP="00D12567">
            <w:pPr>
              <w:spacing w:after="0" w:line="240" w:lineRule="auto"/>
              <w:ind w:right="118"/>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9B1360" w14:textId="77777777" w:rsidR="004167D5" w:rsidRDefault="004167D5" w:rsidP="00D12567">
            <w:pPr>
              <w:spacing w:after="0" w:line="240" w:lineRule="auto"/>
              <w:ind w:right="118"/>
              <w:jc w:val="both"/>
            </w:pPr>
          </w:p>
        </w:tc>
      </w:tr>
      <w:tr w:rsidR="004167D5" w14:paraId="76107366" w14:textId="77777777" w:rsidTr="004730D4">
        <w:tblPrEx>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PrEx>
        <w:tc>
          <w:tcPr>
            <w:tcW w:w="10348" w:type="dxa"/>
            <w:gridSpan w:val="2"/>
            <w:shd w:val="clear" w:color="auto" w:fill="C3DFD6"/>
            <w:tcMar>
              <w:top w:w="0" w:type="dxa"/>
              <w:left w:w="108" w:type="dxa"/>
              <w:bottom w:w="0" w:type="dxa"/>
              <w:right w:w="108" w:type="dxa"/>
            </w:tcMar>
          </w:tcPr>
          <w:p w14:paraId="538A273F" w14:textId="15C504E5" w:rsidR="004167D5" w:rsidRDefault="004167D5" w:rsidP="00D12567">
            <w:pPr>
              <w:spacing w:after="0" w:line="240" w:lineRule="auto"/>
              <w:ind w:right="118"/>
              <w:jc w:val="both"/>
            </w:pPr>
            <w:r w:rsidRPr="00064408">
              <w:rPr>
                <w:b/>
                <w:sz w:val="24"/>
              </w:rPr>
              <w:t>Sustainability</w:t>
            </w:r>
          </w:p>
        </w:tc>
      </w:tr>
      <w:tr w:rsidR="004167D5" w14:paraId="2CAA2A32" w14:textId="77777777" w:rsidTr="004730D4">
        <w:tblPrEx>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PrEx>
        <w:tc>
          <w:tcPr>
            <w:tcW w:w="4820" w:type="dxa"/>
            <w:shd w:val="clear" w:color="auto" w:fill="auto"/>
            <w:tcMar>
              <w:top w:w="0" w:type="dxa"/>
              <w:left w:w="108" w:type="dxa"/>
              <w:bottom w:w="0" w:type="dxa"/>
              <w:right w:w="108" w:type="dxa"/>
            </w:tcMar>
          </w:tcPr>
          <w:p w14:paraId="635DB53E" w14:textId="77777777" w:rsidR="004167D5" w:rsidRPr="004167D5" w:rsidRDefault="004167D5" w:rsidP="004167D5">
            <w:pPr>
              <w:suppressAutoHyphens w:val="0"/>
              <w:autoSpaceDN/>
              <w:spacing w:after="200" w:line="276" w:lineRule="auto"/>
              <w:ind w:right="118"/>
              <w:jc w:val="both"/>
              <w:textAlignment w:val="auto"/>
              <w:rPr>
                <w:rFonts w:asciiTheme="minorHAnsi" w:eastAsiaTheme="minorHAnsi" w:hAnsiTheme="minorHAnsi" w:cstheme="minorBidi"/>
              </w:rPr>
            </w:pPr>
            <w:r w:rsidRPr="004167D5">
              <w:rPr>
                <w:rFonts w:asciiTheme="minorHAnsi" w:eastAsiaTheme="minorHAnsi" w:hAnsiTheme="minorHAnsi" w:cstheme="minorBidi"/>
              </w:rPr>
              <w:t>The pharmacy contributes to a sustainable environment and this is reflected in the way they operate their business (e.g. using recyclable materials).</w:t>
            </w:r>
          </w:p>
          <w:p w14:paraId="2F214430" w14:textId="77777777" w:rsidR="004167D5" w:rsidRDefault="004167D5" w:rsidP="004167D5">
            <w:pPr>
              <w:spacing w:after="0" w:line="240" w:lineRule="auto"/>
              <w:ind w:right="118"/>
              <w:jc w:val="both"/>
              <w:rPr>
                <w:b/>
                <w:bCs/>
              </w:rPr>
            </w:pPr>
          </w:p>
          <w:p w14:paraId="327FD013" w14:textId="77777777" w:rsidR="004167D5" w:rsidRDefault="004167D5" w:rsidP="004167D5">
            <w:pPr>
              <w:spacing w:after="0" w:line="240" w:lineRule="auto"/>
              <w:ind w:right="118"/>
              <w:jc w:val="both"/>
              <w:rPr>
                <w:b/>
                <w:bCs/>
              </w:rPr>
            </w:pPr>
          </w:p>
          <w:p w14:paraId="5A8C01E4" w14:textId="2A419F0F" w:rsidR="004167D5" w:rsidRPr="00FD5F43" w:rsidRDefault="004167D5" w:rsidP="004167D5">
            <w:pPr>
              <w:spacing w:after="0" w:line="240" w:lineRule="auto"/>
              <w:ind w:right="118"/>
              <w:jc w:val="both"/>
              <w:rPr>
                <w:b/>
                <w:bCs/>
              </w:rPr>
            </w:pPr>
          </w:p>
        </w:tc>
        <w:tc>
          <w:tcPr>
            <w:tcW w:w="5528" w:type="dxa"/>
            <w:shd w:val="clear" w:color="auto" w:fill="auto"/>
            <w:tcMar>
              <w:top w:w="0" w:type="dxa"/>
              <w:left w:w="108" w:type="dxa"/>
              <w:bottom w:w="0" w:type="dxa"/>
              <w:right w:w="108" w:type="dxa"/>
            </w:tcMar>
          </w:tcPr>
          <w:p w14:paraId="5C807D6B" w14:textId="77777777" w:rsidR="004167D5" w:rsidRDefault="004167D5" w:rsidP="00D12567">
            <w:pPr>
              <w:spacing w:after="0" w:line="240" w:lineRule="auto"/>
              <w:ind w:right="118"/>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3176DF" w14:textId="77777777" w:rsidR="004167D5" w:rsidRDefault="004167D5" w:rsidP="00D12567">
            <w:pPr>
              <w:spacing w:after="0" w:line="240" w:lineRule="auto"/>
              <w:ind w:right="118"/>
              <w:jc w:val="both"/>
            </w:pPr>
          </w:p>
        </w:tc>
      </w:tr>
    </w:tbl>
    <w:p w14:paraId="1A43CFFD" w14:textId="77777777" w:rsidR="002854DA" w:rsidRDefault="002854DA" w:rsidP="004730D4">
      <w:pPr>
        <w:ind w:right="118"/>
        <w:rPr>
          <w:b/>
          <w:color w:val="519680"/>
          <w:sz w:val="28"/>
        </w:rPr>
      </w:pPr>
    </w:p>
    <w:p w14:paraId="368ED6D9" w14:textId="77777777" w:rsidR="002854DA" w:rsidRDefault="002854DA">
      <w:pPr>
        <w:pageBreakBefore/>
        <w:rPr>
          <w:b/>
          <w:color w:val="519680"/>
          <w:sz w:val="28"/>
        </w:rPr>
      </w:pPr>
    </w:p>
    <w:p w14:paraId="20D5247C" w14:textId="566D6194" w:rsidR="002854DA" w:rsidRDefault="00FC67FA" w:rsidP="0072352E">
      <w:pPr>
        <w:spacing w:after="0"/>
        <w:rPr>
          <w:b/>
          <w:color w:val="519680"/>
          <w:sz w:val="28"/>
        </w:rPr>
      </w:pPr>
      <w:r>
        <w:rPr>
          <w:b/>
          <w:color w:val="519680"/>
          <w:sz w:val="28"/>
        </w:rPr>
        <w:t xml:space="preserve">Part </w:t>
      </w:r>
      <w:r w:rsidR="005C3643">
        <w:rPr>
          <w:b/>
          <w:color w:val="519680"/>
          <w:sz w:val="28"/>
        </w:rPr>
        <w:t>2</w:t>
      </w:r>
      <w:r>
        <w:rPr>
          <w:b/>
          <w:color w:val="519680"/>
          <w:sz w:val="28"/>
        </w:rPr>
        <w:t xml:space="preserve"> </w:t>
      </w:r>
      <w:r w:rsidR="00844F89">
        <w:rPr>
          <w:b/>
          <w:color w:val="519680"/>
          <w:sz w:val="28"/>
        </w:rPr>
        <w:t>– Declaration of compliance</w:t>
      </w:r>
    </w:p>
    <w:p w14:paraId="544F63B9" w14:textId="77777777" w:rsidR="0072352E" w:rsidRDefault="0072352E" w:rsidP="0072352E">
      <w:pPr>
        <w:spacing w:after="0"/>
        <w:rPr>
          <w:b/>
          <w:color w:val="519680"/>
          <w:sz w:val="28"/>
        </w:rPr>
      </w:pPr>
    </w:p>
    <w:tbl>
      <w:tblPr>
        <w:tblW w:w="10348" w:type="dxa"/>
        <w:tblInd w:w="-5" w:type="dxa"/>
        <w:tblCellMar>
          <w:left w:w="10" w:type="dxa"/>
          <w:right w:w="10" w:type="dxa"/>
        </w:tblCellMar>
        <w:tblLook w:val="0000" w:firstRow="0" w:lastRow="0" w:firstColumn="0" w:lastColumn="0" w:noHBand="0" w:noVBand="0"/>
      </w:tblPr>
      <w:tblGrid>
        <w:gridCol w:w="4111"/>
        <w:gridCol w:w="6237"/>
      </w:tblGrid>
      <w:tr w:rsidR="002854DA" w14:paraId="4A64446B" w14:textId="77777777" w:rsidTr="004730D4">
        <w:tc>
          <w:tcPr>
            <w:tcW w:w="4111"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1BD2F30F" w14:textId="5F415B64" w:rsidR="002854DA" w:rsidRDefault="00FC67FA">
            <w:pPr>
              <w:spacing w:after="0" w:line="240" w:lineRule="auto"/>
            </w:pPr>
            <w:r>
              <w:t xml:space="preserve">Pharmacist </w:t>
            </w:r>
            <w:r w:rsidR="00A70F24">
              <w:t>n</w:t>
            </w:r>
            <w:r>
              <w:t>ame:</w:t>
            </w:r>
          </w:p>
          <w:p w14:paraId="06C339A1" w14:textId="77777777" w:rsidR="002854DA" w:rsidRDefault="002854DA">
            <w:pPr>
              <w:spacing w:after="0" w:line="240" w:lineRule="auto"/>
            </w:pPr>
          </w:p>
          <w:p w14:paraId="0A868B4A" w14:textId="77777777" w:rsidR="002854DA" w:rsidRDefault="002854DA">
            <w:pPr>
              <w:spacing w:after="0" w:line="240" w:lineRule="auto"/>
            </w:pPr>
          </w:p>
        </w:tc>
        <w:tc>
          <w:tcPr>
            <w:tcW w:w="6237"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669A5964" w14:textId="0AAEF77C"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5CA39348" w14:textId="77777777" w:rsidTr="004730D4">
        <w:tc>
          <w:tcPr>
            <w:tcW w:w="4111"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3A196B7" w14:textId="695BFD38" w:rsidR="002854DA" w:rsidRDefault="00FC67FA">
            <w:pPr>
              <w:spacing w:after="0" w:line="240" w:lineRule="auto"/>
            </w:pPr>
            <w:r>
              <w:t xml:space="preserve">Pharmacist GPhC number: </w:t>
            </w:r>
          </w:p>
          <w:p w14:paraId="691F95C9" w14:textId="77777777" w:rsidR="002854DA" w:rsidRDefault="002854DA">
            <w:pPr>
              <w:spacing w:after="0" w:line="240" w:lineRule="auto"/>
            </w:pPr>
          </w:p>
          <w:p w14:paraId="7BC23FC5" w14:textId="77777777" w:rsidR="002854DA" w:rsidRDefault="002854DA">
            <w:pPr>
              <w:spacing w:after="0" w:line="240" w:lineRule="auto"/>
            </w:pPr>
          </w:p>
        </w:tc>
        <w:tc>
          <w:tcPr>
            <w:tcW w:w="6237"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66155D27" w14:textId="75590697"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04B3B457" w14:textId="77777777" w:rsidTr="004730D4">
        <w:tc>
          <w:tcPr>
            <w:tcW w:w="10348" w:type="dxa"/>
            <w:gridSpan w:val="2"/>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A562380" w14:textId="77777777" w:rsidR="002854DA" w:rsidRDefault="00FC67FA">
            <w:pPr>
              <w:spacing w:after="0" w:line="240" w:lineRule="auto"/>
              <w:rPr>
                <w:b/>
                <w:color w:val="519680"/>
              </w:rPr>
            </w:pPr>
            <w:r>
              <w:rPr>
                <w:b/>
                <w:color w:val="519680"/>
              </w:rPr>
              <w:t xml:space="preserve">I declare that </w:t>
            </w:r>
          </w:p>
          <w:p w14:paraId="259CA005" w14:textId="77777777" w:rsidR="002854DA" w:rsidRDefault="002854DA">
            <w:pPr>
              <w:spacing w:after="0" w:line="240" w:lineRule="auto"/>
              <w:rPr>
                <w:b/>
                <w:color w:val="519680"/>
              </w:rPr>
            </w:pPr>
          </w:p>
        </w:tc>
      </w:tr>
      <w:tr w:rsidR="002854DA" w14:paraId="54795AD4" w14:textId="77777777" w:rsidTr="004730D4">
        <w:tc>
          <w:tcPr>
            <w:tcW w:w="4111"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7D1A1CE2" w14:textId="7F8C0189" w:rsidR="002854DA" w:rsidRDefault="00FC67FA">
            <w:pPr>
              <w:spacing w:after="0" w:line="240" w:lineRule="auto"/>
            </w:pPr>
            <w:r>
              <w:t xml:space="preserve">Pharmacy </w:t>
            </w:r>
            <w:r w:rsidR="00A70F24">
              <w:t>n</w:t>
            </w:r>
            <w:r>
              <w:t>ame:</w:t>
            </w:r>
          </w:p>
          <w:p w14:paraId="6DD2FB8A" w14:textId="77777777" w:rsidR="002854DA" w:rsidRDefault="002854DA">
            <w:pPr>
              <w:spacing w:after="0" w:line="240" w:lineRule="auto"/>
            </w:pPr>
          </w:p>
          <w:p w14:paraId="5208DDA2" w14:textId="77777777" w:rsidR="002854DA" w:rsidRDefault="002854DA">
            <w:pPr>
              <w:spacing w:after="0" w:line="240" w:lineRule="auto"/>
            </w:pPr>
          </w:p>
        </w:tc>
        <w:tc>
          <w:tcPr>
            <w:tcW w:w="6237"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92B7D79" w14:textId="735ED80C"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1217E59D" w14:textId="77777777" w:rsidTr="004730D4">
        <w:tc>
          <w:tcPr>
            <w:tcW w:w="4111"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E9E68FB" w14:textId="301CC154" w:rsidR="002854DA" w:rsidRDefault="00FC67FA">
            <w:pPr>
              <w:spacing w:after="0" w:line="240" w:lineRule="auto"/>
            </w:pPr>
            <w:r>
              <w:t xml:space="preserve">Pharmacy </w:t>
            </w:r>
            <w:r w:rsidR="00A70F24">
              <w:t>a</w:t>
            </w:r>
            <w:r>
              <w:t>ddress:</w:t>
            </w:r>
          </w:p>
          <w:p w14:paraId="2E2E4997" w14:textId="77777777" w:rsidR="002854DA" w:rsidRDefault="002854DA">
            <w:pPr>
              <w:spacing w:after="0" w:line="240" w:lineRule="auto"/>
            </w:pPr>
          </w:p>
          <w:p w14:paraId="40C9E89E" w14:textId="77777777" w:rsidR="002854DA" w:rsidRDefault="002854DA">
            <w:pPr>
              <w:spacing w:after="0" w:line="240" w:lineRule="auto"/>
            </w:pPr>
          </w:p>
          <w:p w14:paraId="1CEDC92C" w14:textId="77777777" w:rsidR="002854DA" w:rsidRDefault="002854DA">
            <w:pPr>
              <w:spacing w:after="0" w:line="240" w:lineRule="auto"/>
            </w:pPr>
          </w:p>
          <w:p w14:paraId="694B534E" w14:textId="77777777" w:rsidR="002854DA" w:rsidRDefault="002854DA">
            <w:pPr>
              <w:spacing w:after="0" w:line="240" w:lineRule="auto"/>
            </w:pPr>
          </w:p>
          <w:p w14:paraId="09C7CBA1" w14:textId="77777777" w:rsidR="002854DA" w:rsidRDefault="002854DA">
            <w:pPr>
              <w:spacing w:after="0" w:line="240" w:lineRule="auto"/>
            </w:pPr>
          </w:p>
        </w:tc>
        <w:tc>
          <w:tcPr>
            <w:tcW w:w="6237"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036E0FE" w14:textId="77777777"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DDABE7" w14:textId="77777777" w:rsidR="00D7605C"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F5A986" w14:textId="77777777" w:rsidR="00D7605C"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86A181" w14:textId="77777777" w:rsidR="00D7605C"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42FD52" w14:textId="77777777" w:rsidR="00D7605C"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DB8F5E" w14:textId="61FD24C1" w:rsidR="00D7605C"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131C0AF5" w14:textId="77777777" w:rsidTr="004730D4">
        <w:tc>
          <w:tcPr>
            <w:tcW w:w="4111"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9D0710E" w14:textId="77777777" w:rsidR="002854DA" w:rsidRDefault="00FC67FA">
            <w:pPr>
              <w:spacing w:after="0" w:line="240" w:lineRule="auto"/>
            </w:pPr>
            <w:r>
              <w:t xml:space="preserve">Pharmacy GPhC number: </w:t>
            </w:r>
          </w:p>
          <w:p w14:paraId="0C8E08B2" w14:textId="77777777" w:rsidR="002854DA" w:rsidRDefault="002854DA">
            <w:pPr>
              <w:spacing w:after="0" w:line="240" w:lineRule="auto"/>
            </w:pPr>
          </w:p>
          <w:p w14:paraId="3FF049A4" w14:textId="77777777" w:rsidR="002854DA" w:rsidRDefault="002854DA">
            <w:pPr>
              <w:spacing w:after="0" w:line="240" w:lineRule="auto"/>
            </w:pPr>
          </w:p>
        </w:tc>
        <w:tc>
          <w:tcPr>
            <w:tcW w:w="6237"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045DC2B" w14:textId="4777E484"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5A6597AE" w14:textId="77777777" w:rsidTr="004730D4">
        <w:tc>
          <w:tcPr>
            <w:tcW w:w="10348" w:type="dxa"/>
            <w:gridSpan w:val="2"/>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5DD085C" w14:textId="77777777" w:rsidR="002854DA" w:rsidRDefault="00FC67FA">
            <w:pPr>
              <w:spacing w:after="0" w:line="240" w:lineRule="auto"/>
              <w:rPr>
                <w:b/>
                <w:color w:val="519680"/>
              </w:rPr>
            </w:pPr>
            <w:r>
              <w:rPr>
                <w:b/>
                <w:color w:val="519680"/>
              </w:rPr>
              <w:t xml:space="preserve">Complies with the requirements set out in this document for attaining HLP level 1 status and possesses the evidence and items declared above. I understand that a false declaration may affect my GPhC registration. </w:t>
            </w:r>
          </w:p>
          <w:p w14:paraId="7B9691D5" w14:textId="77777777" w:rsidR="002854DA" w:rsidRDefault="002854DA">
            <w:pPr>
              <w:spacing w:after="0" w:line="240" w:lineRule="auto"/>
              <w:rPr>
                <w:b/>
                <w:color w:val="519680"/>
              </w:rPr>
            </w:pPr>
          </w:p>
        </w:tc>
      </w:tr>
      <w:tr w:rsidR="002854DA" w14:paraId="568C0B1E" w14:textId="77777777" w:rsidTr="004730D4">
        <w:tc>
          <w:tcPr>
            <w:tcW w:w="4111"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678DF6E" w14:textId="74A66373" w:rsidR="002854DA" w:rsidRDefault="00FC67FA">
            <w:pPr>
              <w:spacing w:after="0" w:line="240" w:lineRule="auto"/>
            </w:pPr>
            <w:r>
              <w:t xml:space="preserve">Pharmacist </w:t>
            </w:r>
            <w:r w:rsidR="00A70F24">
              <w:t>s</w:t>
            </w:r>
            <w:r>
              <w:t>ignature:</w:t>
            </w:r>
          </w:p>
          <w:p w14:paraId="6620440B" w14:textId="77777777" w:rsidR="002854DA" w:rsidRDefault="002854DA">
            <w:pPr>
              <w:spacing w:after="0" w:line="240" w:lineRule="auto"/>
            </w:pPr>
          </w:p>
        </w:tc>
        <w:tc>
          <w:tcPr>
            <w:tcW w:w="6237"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7EDF45F7" w14:textId="77777777" w:rsidR="002854DA" w:rsidRDefault="002854DA">
            <w:pPr>
              <w:spacing w:after="0" w:line="240" w:lineRule="auto"/>
              <w:rPr>
                <w:b/>
                <w:color w:val="519680"/>
              </w:rPr>
            </w:pPr>
          </w:p>
        </w:tc>
      </w:tr>
      <w:tr w:rsidR="002854DA" w14:paraId="39889D86" w14:textId="77777777" w:rsidTr="004730D4">
        <w:tc>
          <w:tcPr>
            <w:tcW w:w="4111"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55935770" w14:textId="77777777" w:rsidR="002854DA" w:rsidRDefault="00FC67FA">
            <w:pPr>
              <w:spacing w:after="0" w:line="240" w:lineRule="auto"/>
            </w:pPr>
            <w:r>
              <w:t>Date:</w:t>
            </w:r>
          </w:p>
          <w:p w14:paraId="108E3FDA" w14:textId="77777777" w:rsidR="002854DA" w:rsidRDefault="002854DA">
            <w:pPr>
              <w:spacing w:after="0" w:line="240" w:lineRule="auto"/>
            </w:pPr>
          </w:p>
          <w:p w14:paraId="3C3451B5" w14:textId="77777777" w:rsidR="002854DA" w:rsidRDefault="002854DA">
            <w:pPr>
              <w:spacing w:after="0" w:line="240" w:lineRule="auto"/>
            </w:pPr>
          </w:p>
        </w:tc>
        <w:tc>
          <w:tcPr>
            <w:tcW w:w="6237"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E2F597B" w14:textId="5D868513" w:rsidR="002854DA" w:rsidRDefault="00D7605C">
            <w:pPr>
              <w:spacing w:after="0" w:line="240" w:lineRule="auto"/>
              <w:rPr>
                <w:b/>
                <w:color w:val="51968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0FEF5A" w14:textId="77777777" w:rsidR="002854DA" w:rsidRDefault="002854DA"/>
    <w:p w14:paraId="035E2917" w14:textId="77777777" w:rsidR="002854DA" w:rsidRDefault="00FC67FA">
      <w:r>
        <w:t>This declaration, once signed, must be retained securely in the pharmacy and should be available for inspection by:</w:t>
      </w:r>
    </w:p>
    <w:p w14:paraId="4E5AFF37" w14:textId="77777777" w:rsidR="002854DA" w:rsidRDefault="00FC67FA">
      <w:pPr>
        <w:pStyle w:val="ListParagraph"/>
        <w:numPr>
          <w:ilvl w:val="0"/>
          <w:numId w:val="1"/>
        </w:numPr>
      </w:pPr>
      <w:r>
        <w:t xml:space="preserve">The Pharmacy Owner </w:t>
      </w:r>
    </w:p>
    <w:p w14:paraId="13FDD319" w14:textId="77777777" w:rsidR="002854DA" w:rsidRDefault="00FC67FA">
      <w:pPr>
        <w:pStyle w:val="ListParagraph"/>
        <w:numPr>
          <w:ilvl w:val="0"/>
          <w:numId w:val="1"/>
        </w:numPr>
      </w:pPr>
      <w:r>
        <w:t xml:space="preserve">GPhC inspectors </w:t>
      </w:r>
    </w:p>
    <w:p w14:paraId="0B983210" w14:textId="29986205" w:rsidR="002854DA" w:rsidRDefault="00FC67FA">
      <w:pPr>
        <w:pStyle w:val="ListParagraph"/>
        <w:numPr>
          <w:ilvl w:val="0"/>
          <w:numId w:val="1"/>
        </w:numPr>
      </w:pPr>
      <w:r>
        <w:t xml:space="preserve">NHS England </w:t>
      </w:r>
      <w:r w:rsidR="00312DB5">
        <w:t>and NHS Improvement</w:t>
      </w:r>
    </w:p>
    <w:p w14:paraId="2B4F3E7C" w14:textId="77777777" w:rsidR="00914A03" w:rsidRDefault="00914A03" w:rsidP="0017664F">
      <w:pPr>
        <w:rPr>
          <w:rFonts w:asciiTheme="minorHAnsi" w:hAnsiTheme="minorHAnsi" w:cstheme="minorHAnsi"/>
        </w:rPr>
      </w:pPr>
    </w:p>
    <w:p w14:paraId="1C55D400" w14:textId="0B67E1D4" w:rsidR="0017664F" w:rsidRPr="0017664F" w:rsidRDefault="0017664F" w:rsidP="0017664F">
      <w:pPr>
        <w:rPr>
          <w:rFonts w:asciiTheme="minorHAnsi" w:hAnsiTheme="minorHAnsi" w:cstheme="minorHAnsi"/>
        </w:rPr>
      </w:pPr>
      <w:r w:rsidRPr="0017664F">
        <w:rPr>
          <w:rFonts w:asciiTheme="minorHAnsi" w:hAnsiTheme="minorHAnsi" w:cstheme="minorHAnsi"/>
        </w:rPr>
        <w:t>It is recommended that compliance against these requirements is reviewed by the contractor at least every 3 years.</w:t>
      </w:r>
    </w:p>
    <w:p w14:paraId="17C5C1FD" w14:textId="3A335008" w:rsidR="00A70F24" w:rsidRDefault="00A70F24" w:rsidP="00A70F24">
      <w:pPr>
        <w:spacing w:after="0"/>
      </w:pPr>
    </w:p>
    <w:sectPr w:rsidR="00A70F24">
      <w:headerReference w:type="default" r:id="rId8"/>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8E56D" w14:textId="77777777" w:rsidR="00582AEB" w:rsidRDefault="00582AEB">
      <w:pPr>
        <w:spacing w:after="0" w:line="240" w:lineRule="auto"/>
      </w:pPr>
      <w:r>
        <w:separator/>
      </w:r>
    </w:p>
  </w:endnote>
  <w:endnote w:type="continuationSeparator" w:id="0">
    <w:p w14:paraId="59CFF9E6" w14:textId="77777777" w:rsidR="00582AEB" w:rsidRDefault="0058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D7C19" w14:textId="77777777" w:rsidR="00582AEB" w:rsidRDefault="00582AEB">
      <w:pPr>
        <w:spacing w:after="0" w:line="240" w:lineRule="auto"/>
      </w:pPr>
      <w:r>
        <w:rPr>
          <w:color w:val="000000"/>
        </w:rPr>
        <w:separator/>
      </w:r>
    </w:p>
  </w:footnote>
  <w:footnote w:type="continuationSeparator" w:id="0">
    <w:p w14:paraId="02718B5F" w14:textId="77777777" w:rsidR="00582AEB" w:rsidRDefault="00582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D3FC8" w14:textId="240E60F8" w:rsidR="004E4A0E" w:rsidRDefault="008346D6" w:rsidP="008346D6">
    <w:pPr>
      <w:pStyle w:val="Header"/>
    </w:pPr>
    <w:r w:rsidRPr="0059599E">
      <w:rPr>
        <w:noProof/>
        <w:lang w:eastAsia="en-GB"/>
      </w:rPr>
      <w:drawing>
        <wp:anchor distT="0" distB="0" distL="114300" distR="114300" simplePos="0" relativeHeight="251661312" behindDoc="0" locked="0" layoutInCell="1" allowOverlap="1" wp14:anchorId="56AACB0E" wp14:editId="113DDEE1">
          <wp:simplePos x="0" y="0"/>
          <wp:positionH relativeFrom="column">
            <wp:posOffset>671195</wp:posOffset>
          </wp:positionH>
          <wp:positionV relativeFrom="paragraph">
            <wp:posOffset>-257810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E4A0E" w:rsidRPr="0059599E">
      <w:rPr>
        <w:noProof/>
        <w:lang w:eastAsia="en-GB"/>
      </w:rPr>
      <w:drawing>
        <wp:anchor distT="0" distB="0" distL="114300" distR="114300" simplePos="0" relativeHeight="251659264" behindDoc="0" locked="0" layoutInCell="1" allowOverlap="1" wp14:anchorId="036417C1" wp14:editId="24362FF0">
          <wp:simplePos x="0" y="0"/>
          <wp:positionH relativeFrom="margin">
            <wp:align>left</wp:align>
          </wp:positionH>
          <wp:positionV relativeFrom="paragraph">
            <wp:posOffset>-276225</wp:posOffset>
          </wp:positionV>
          <wp:extent cx="601980" cy="433705"/>
          <wp:effectExtent l="0" t="0" r="762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404E"/>
    <w:multiLevelType w:val="hybridMultilevel"/>
    <w:tmpl w:val="4DDEB2BC"/>
    <w:lvl w:ilvl="0" w:tplc="06BC9C8A">
      <w:start w:val="1"/>
      <w:numFmt w:val="bullet"/>
      <w:lvlText w:val=""/>
      <w:lvlJc w:val="left"/>
      <w:pPr>
        <w:ind w:left="394" w:hanging="360"/>
      </w:pPr>
      <w:rPr>
        <w:rFonts w:ascii="Symbol" w:hAnsi="Symbol" w:hint="default"/>
        <w:color w:val="519680"/>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1" w15:restartNumberingAfterBreak="0">
    <w:nsid w:val="2AD56322"/>
    <w:multiLevelType w:val="hybridMultilevel"/>
    <w:tmpl w:val="A992B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587587"/>
    <w:multiLevelType w:val="multilevel"/>
    <w:tmpl w:val="F60E310E"/>
    <w:lvl w:ilvl="0">
      <w:numFmt w:val="bullet"/>
      <w:lvlText w:val=""/>
      <w:lvlJc w:val="left"/>
      <w:pPr>
        <w:ind w:left="720" w:hanging="360"/>
      </w:pPr>
      <w:rPr>
        <w:rFonts w:ascii="Symbol" w:hAnsi="Symbol"/>
        <w:color w:val="51968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DA"/>
    <w:rsid w:val="0006427E"/>
    <w:rsid w:val="00064C8C"/>
    <w:rsid w:val="0006532B"/>
    <w:rsid w:val="0007116D"/>
    <w:rsid w:val="00086C0B"/>
    <w:rsid w:val="000B3452"/>
    <w:rsid w:val="000C0E2D"/>
    <w:rsid w:val="000C3CEC"/>
    <w:rsid w:val="0011557C"/>
    <w:rsid w:val="00116830"/>
    <w:rsid w:val="001267FD"/>
    <w:rsid w:val="001424E0"/>
    <w:rsid w:val="0014396D"/>
    <w:rsid w:val="0015189D"/>
    <w:rsid w:val="00152990"/>
    <w:rsid w:val="0017664F"/>
    <w:rsid w:val="001D68BD"/>
    <w:rsid w:val="001E05FC"/>
    <w:rsid w:val="00206EDE"/>
    <w:rsid w:val="00210EB1"/>
    <w:rsid w:val="002854DA"/>
    <w:rsid w:val="002C1B08"/>
    <w:rsid w:val="002E0D15"/>
    <w:rsid w:val="00312DB5"/>
    <w:rsid w:val="00313B10"/>
    <w:rsid w:val="00315690"/>
    <w:rsid w:val="0033555D"/>
    <w:rsid w:val="00342A38"/>
    <w:rsid w:val="00397518"/>
    <w:rsid w:val="003C0284"/>
    <w:rsid w:val="003C10AB"/>
    <w:rsid w:val="003D738E"/>
    <w:rsid w:val="003E0E90"/>
    <w:rsid w:val="004167D5"/>
    <w:rsid w:val="0044546F"/>
    <w:rsid w:val="00466B04"/>
    <w:rsid w:val="004730D4"/>
    <w:rsid w:val="004D6D24"/>
    <w:rsid w:val="004E4A0E"/>
    <w:rsid w:val="00506C16"/>
    <w:rsid w:val="00520AF7"/>
    <w:rsid w:val="00523336"/>
    <w:rsid w:val="005724FC"/>
    <w:rsid w:val="005771F2"/>
    <w:rsid w:val="00582AEB"/>
    <w:rsid w:val="005A3369"/>
    <w:rsid w:val="005B5709"/>
    <w:rsid w:val="005C3643"/>
    <w:rsid w:val="005C371F"/>
    <w:rsid w:val="005E5C45"/>
    <w:rsid w:val="005E7318"/>
    <w:rsid w:val="006362DD"/>
    <w:rsid w:val="00645E1C"/>
    <w:rsid w:val="00660F7A"/>
    <w:rsid w:val="006811C0"/>
    <w:rsid w:val="006D1033"/>
    <w:rsid w:val="006D7183"/>
    <w:rsid w:val="007131C4"/>
    <w:rsid w:val="0072352E"/>
    <w:rsid w:val="00724FDC"/>
    <w:rsid w:val="007257FE"/>
    <w:rsid w:val="00732B71"/>
    <w:rsid w:val="0077005A"/>
    <w:rsid w:val="0079776E"/>
    <w:rsid w:val="007B6D0A"/>
    <w:rsid w:val="007C5578"/>
    <w:rsid w:val="007D308A"/>
    <w:rsid w:val="007E19C8"/>
    <w:rsid w:val="007F3F8B"/>
    <w:rsid w:val="00817330"/>
    <w:rsid w:val="00833D06"/>
    <w:rsid w:val="008346D6"/>
    <w:rsid w:val="00844F89"/>
    <w:rsid w:val="00860725"/>
    <w:rsid w:val="00861726"/>
    <w:rsid w:val="008740E3"/>
    <w:rsid w:val="00881E4C"/>
    <w:rsid w:val="00881FEC"/>
    <w:rsid w:val="008C1F98"/>
    <w:rsid w:val="008C4737"/>
    <w:rsid w:val="008C55A4"/>
    <w:rsid w:val="00903183"/>
    <w:rsid w:val="00914A03"/>
    <w:rsid w:val="00927418"/>
    <w:rsid w:val="00974484"/>
    <w:rsid w:val="009756DA"/>
    <w:rsid w:val="00987F41"/>
    <w:rsid w:val="009B124F"/>
    <w:rsid w:val="009B3AE1"/>
    <w:rsid w:val="009D3FC6"/>
    <w:rsid w:val="009D51EA"/>
    <w:rsid w:val="00A463D3"/>
    <w:rsid w:val="00A569A5"/>
    <w:rsid w:val="00A70F24"/>
    <w:rsid w:val="00A8376F"/>
    <w:rsid w:val="00AA68E0"/>
    <w:rsid w:val="00AB4700"/>
    <w:rsid w:val="00AB7162"/>
    <w:rsid w:val="00AD640C"/>
    <w:rsid w:val="00AE7B83"/>
    <w:rsid w:val="00B01BCC"/>
    <w:rsid w:val="00B03710"/>
    <w:rsid w:val="00B374DC"/>
    <w:rsid w:val="00BB4993"/>
    <w:rsid w:val="00BF5580"/>
    <w:rsid w:val="00C53CF6"/>
    <w:rsid w:val="00CC7638"/>
    <w:rsid w:val="00D119D8"/>
    <w:rsid w:val="00D12567"/>
    <w:rsid w:val="00D20D0F"/>
    <w:rsid w:val="00D70150"/>
    <w:rsid w:val="00D7605C"/>
    <w:rsid w:val="00D86F01"/>
    <w:rsid w:val="00DB64C1"/>
    <w:rsid w:val="00DB68AB"/>
    <w:rsid w:val="00DC714A"/>
    <w:rsid w:val="00DC7C8C"/>
    <w:rsid w:val="00DD178C"/>
    <w:rsid w:val="00E160EA"/>
    <w:rsid w:val="00E16815"/>
    <w:rsid w:val="00E47823"/>
    <w:rsid w:val="00E57087"/>
    <w:rsid w:val="00E72930"/>
    <w:rsid w:val="00E82187"/>
    <w:rsid w:val="00E859D9"/>
    <w:rsid w:val="00EC1AD5"/>
    <w:rsid w:val="00ED7354"/>
    <w:rsid w:val="00F0535D"/>
    <w:rsid w:val="00F6080E"/>
    <w:rsid w:val="00F874F3"/>
    <w:rsid w:val="00FC2CCC"/>
    <w:rsid w:val="00FC67FA"/>
    <w:rsid w:val="00FD326A"/>
    <w:rsid w:val="00FD3CC8"/>
    <w:rsid w:val="00FD5F43"/>
    <w:rsid w:val="00FE4EA2"/>
    <w:rsid w:val="00FF2A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F4BF"/>
  <w15:docId w15:val="{FAD16A6F-DAA3-448B-B7BE-2D498133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PlaceholderText">
    <w:name w:val="Placeholder Text"/>
    <w:basedOn w:val="DefaultParagraphFont"/>
    <w:uiPriority w:val="99"/>
    <w:semiHidden/>
    <w:rsid w:val="00D7605C"/>
    <w:rPr>
      <w:color w:val="808080"/>
    </w:rPr>
  </w:style>
  <w:style w:type="paragraph" w:styleId="Header">
    <w:name w:val="header"/>
    <w:basedOn w:val="Normal"/>
    <w:link w:val="HeaderChar"/>
    <w:uiPriority w:val="99"/>
    <w:unhideWhenUsed/>
    <w:rsid w:val="004E4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A0E"/>
  </w:style>
  <w:style w:type="paragraph" w:styleId="Footer">
    <w:name w:val="footer"/>
    <w:basedOn w:val="Normal"/>
    <w:link w:val="FooterChar"/>
    <w:uiPriority w:val="99"/>
    <w:unhideWhenUsed/>
    <w:rsid w:val="004E4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A0E"/>
  </w:style>
  <w:style w:type="character" w:styleId="UnresolvedMention">
    <w:name w:val="Unresolved Mention"/>
    <w:basedOn w:val="DefaultParagraphFont"/>
    <w:uiPriority w:val="99"/>
    <w:semiHidden/>
    <w:unhideWhenUsed/>
    <w:rsid w:val="00FD3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C14C2-F833-4FCB-9467-187DA130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Taylor</dc:creator>
  <cp:lastModifiedBy>David Onuoha</cp:lastModifiedBy>
  <cp:revision>2</cp:revision>
  <cp:lastPrinted>2020-11-18T18:07:00Z</cp:lastPrinted>
  <dcterms:created xsi:type="dcterms:W3CDTF">2020-11-18T18:35:00Z</dcterms:created>
  <dcterms:modified xsi:type="dcterms:W3CDTF">2020-11-18T18:35:00Z</dcterms:modified>
</cp:coreProperties>
</file>