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DC68" w14:textId="7ABBCB75" w:rsidR="003A07C2" w:rsidRDefault="003A07C2" w:rsidP="000B670F">
      <w:pPr>
        <w:spacing w:after="5" w:line="259" w:lineRule="auto"/>
        <w:jc w:val="both"/>
        <w:rPr>
          <w:b/>
          <w:bCs/>
          <w:color w:val="5B518E"/>
          <w:sz w:val="28"/>
          <w:szCs w:val="28"/>
        </w:rPr>
      </w:pPr>
      <w:bookmarkStart w:id="0" w:name="_Hlk83893105"/>
      <w:bookmarkEnd w:id="0"/>
      <w:r w:rsidRPr="00352FB8">
        <w:rPr>
          <w:b/>
          <w:bCs/>
          <w:color w:val="5B518E"/>
          <w:sz w:val="28"/>
          <w:szCs w:val="28"/>
        </w:rPr>
        <w:t xml:space="preserve">Community Pharmacies: An </w:t>
      </w:r>
      <w:r>
        <w:rPr>
          <w:b/>
          <w:bCs/>
          <w:color w:val="5B518E"/>
          <w:sz w:val="28"/>
          <w:szCs w:val="28"/>
        </w:rPr>
        <w:t>u</w:t>
      </w:r>
      <w:r w:rsidRPr="00352FB8">
        <w:rPr>
          <w:b/>
          <w:bCs/>
          <w:color w:val="5B518E"/>
          <w:sz w:val="28"/>
          <w:szCs w:val="28"/>
        </w:rPr>
        <w:t>pdate on the five-</w:t>
      </w:r>
      <w:r w:rsidRPr="009F3D1D">
        <w:rPr>
          <w:b/>
          <w:bCs/>
          <w:color w:val="5B518E"/>
          <w:sz w:val="28"/>
          <w:szCs w:val="28"/>
        </w:rPr>
        <w:t>year deal and CPCF</w:t>
      </w:r>
      <w:r>
        <w:rPr>
          <w:b/>
          <w:bCs/>
          <w:color w:val="5B518E"/>
          <w:sz w:val="28"/>
          <w:szCs w:val="28"/>
        </w:rPr>
        <w:t xml:space="preserve"> </w:t>
      </w:r>
      <w:r w:rsidRPr="00352FB8">
        <w:rPr>
          <w:b/>
          <w:bCs/>
          <w:color w:val="5B518E"/>
          <w:sz w:val="28"/>
          <w:szCs w:val="28"/>
        </w:rPr>
        <w:t xml:space="preserve">arrangements </w:t>
      </w:r>
    </w:p>
    <w:p w14:paraId="11792FA8" w14:textId="16AF4D01" w:rsidR="00C85936" w:rsidRPr="00C85936" w:rsidRDefault="00C85936" w:rsidP="000B670F">
      <w:pPr>
        <w:spacing w:after="5" w:line="259" w:lineRule="auto"/>
        <w:jc w:val="both"/>
        <w:rPr>
          <w:b/>
          <w:bCs/>
          <w:sz w:val="6"/>
          <w:szCs w:val="6"/>
        </w:rPr>
      </w:pPr>
    </w:p>
    <w:bookmarkStart w:id="1" w:name="_Hlk83759342"/>
    <w:bookmarkEnd w:id="1"/>
    <w:p w14:paraId="2298F84F" w14:textId="5E29E113" w:rsidR="00C85936" w:rsidRPr="007C4C32" w:rsidRDefault="007C4C32" w:rsidP="007C4C32">
      <w:pPr>
        <w:autoSpaceDE w:val="0"/>
        <w:autoSpaceDN w:val="0"/>
        <w:adjustRightInd w:val="0"/>
        <w:spacing w:after="0" w:line="240" w:lineRule="auto"/>
        <w:ind w:right="-307"/>
        <w:jc w:val="both"/>
        <w:rPr>
          <w:rFonts w:cstheme="minorHAnsi"/>
          <w:color w:val="5B518E"/>
          <w:sz w:val="10"/>
          <w:szCs w:val="10"/>
          <w:u w:val="single"/>
        </w:rPr>
      </w:pPr>
      <w:r>
        <w:rPr>
          <w:b/>
          <w:bCs/>
          <w:noProof/>
          <w:sz w:val="6"/>
          <w:szCs w:val="6"/>
        </w:rPr>
        <mc:AlternateContent>
          <mc:Choice Requires="wps">
            <w:drawing>
              <wp:anchor distT="0" distB="0" distL="114300" distR="114300" simplePos="0" relativeHeight="251705350" behindDoc="0" locked="0" layoutInCell="1" allowOverlap="1" wp14:anchorId="409AE20F" wp14:editId="73959C05">
                <wp:simplePos x="0" y="0"/>
                <wp:positionH relativeFrom="column">
                  <wp:posOffset>0</wp:posOffset>
                </wp:positionH>
                <wp:positionV relativeFrom="paragraph">
                  <wp:posOffset>27795</wp:posOffset>
                </wp:positionV>
                <wp:extent cx="662713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27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w:pict>
              <v:line id="Straight Connector 7" style="position:absolute;z-index:251705350;visibility:visible;mso-wrap-style:square;mso-wrap-distance-left:9pt;mso-wrap-distance-top:0;mso-wrap-distance-right:9pt;mso-wrap-distance-bottom:0;mso-position-horizontal:absolute;mso-position-horizontal-relative:text;mso-position-vertical:absolute;mso-position-vertical-relative:text" o:spid="_x0000_s1026" strokecolor="#4e3487 [3204]" strokeweight=".5pt" from="0,2.2pt" to="521.8pt,2.2pt" w14:anchorId="0DB34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">
                <v:stroke joinstyle="miter"/>
              </v:line>
            </w:pict>
          </mc:Fallback>
        </mc:AlternateContent>
      </w:r>
    </w:p>
    <w:p w14:paraId="7EFF69E8" w14:textId="77777777" w:rsidR="007C4C32" w:rsidRPr="007C4C32" w:rsidRDefault="007C4C32" w:rsidP="000B670F">
      <w:pPr>
        <w:autoSpaceDE w:val="0"/>
        <w:autoSpaceDN w:val="0"/>
        <w:adjustRightInd w:val="0"/>
        <w:spacing w:after="0" w:line="240" w:lineRule="auto"/>
        <w:jc w:val="both"/>
        <w:rPr>
          <w:rFonts w:cstheme="minorHAnsi"/>
          <w:b/>
          <w:bCs/>
          <w:color w:val="5B518E"/>
          <w:sz w:val="8"/>
          <w:szCs w:val="8"/>
        </w:rPr>
      </w:pPr>
    </w:p>
    <w:p w14:paraId="1A2F1435" w14:textId="07AC7B36" w:rsidR="004D3ED0" w:rsidRPr="003E266B" w:rsidRDefault="003A07C2" w:rsidP="000B670F">
      <w:pPr>
        <w:autoSpaceDE w:val="0"/>
        <w:autoSpaceDN w:val="0"/>
        <w:adjustRightInd w:val="0"/>
        <w:spacing w:after="0" w:line="240" w:lineRule="auto"/>
        <w:jc w:val="both"/>
        <w:rPr>
          <w:rFonts w:cstheme="minorHAnsi"/>
          <w:b/>
          <w:bCs/>
          <w:color w:val="5B518E"/>
          <w:sz w:val="24"/>
          <w:szCs w:val="24"/>
        </w:rPr>
      </w:pPr>
      <w:r>
        <w:rPr>
          <w:rFonts w:cstheme="minorHAnsi"/>
          <w:b/>
          <w:bCs/>
          <w:color w:val="5B518E"/>
          <w:sz w:val="24"/>
          <w:szCs w:val="24"/>
        </w:rPr>
        <w:t>Introduction</w:t>
      </w:r>
    </w:p>
    <w:p w14:paraId="19C23139" w14:textId="0F6446B6" w:rsidR="008454CB" w:rsidRDefault="00C85936" w:rsidP="000B670F">
      <w:pPr>
        <w:jc w:val="both"/>
        <w:rPr>
          <w:rFonts w:eastAsiaTheme="minorEastAsia"/>
        </w:rPr>
      </w:pPr>
      <w:r>
        <w:rPr>
          <w:rFonts w:eastAsiaTheme="minorEastAsia"/>
          <w:noProof/>
        </w:rPr>
        <w:drawing>
          <wp:anchor distT="0" distB="0" distL="114300" distR="114300" simplePos="0" relativeHeight="251694086" behindDoc="1" locked="0" layoutInCell="1" allowOverlap="1" wp14:anchorId="3FACF19C" wp14:editId="00713FFD">
            <wp:simplePos x="0" y="0"/>
            <wp:positionH relativeFrom="column">
              <wp:posOffset>5884545</wp:posOffset>
            </wp:positionH>
            <wp:positionV relativeFrom="paragraph">
              <wp:posOffset>5080</wp:posOffset>
            </wp:positionV>
            <wp:extent cx="811530" cy="811530"/>
            <wp:effectExtent l="0" t="0" r="0" b="0"/>
            <wp:wrapTight wrapText="bothSides">
              <wp:wrapPolygon edited="0">
                <wp:start x="2535" y="507"/>
                <wp:lineTo x="2535" y="20789"/>
                <wp:lineTo x="18761" y="20789"/>
                <wp:lineTo x="18761" y="507"/>
                <wp:lineTo x="2535" y="507"/>
              </wp:wrapPolygon>
            </wp:wrapTight>
            <wp:docPr id="9" name="Graphic 9" descr="Contrac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ontrac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11530" cy="811530"/>
                    </a:xfrm>
                    <a:prstGeom prst="rect">
                      <a:avLst/>
                    </a:prstGeom>
                  </pic:spPr>
                </pic:pic>
              </a:graphicData>
            </a:graphic>
            <wp14:sizeRelH relativeFrom="page">
              <wp14:pctWidth>0</wp14:pctWidth>
            </wp14:sizeRelH>
            <wp14:sizeRelV relativeFrom="page">
              <wp14:pctHeight>0</wp14:pctHeight>
            </wp14:sizeRelV>
          </wp:anchor>
        </w:drawing>
      </w:r>
      <w:r w:rsidR="003A07C2" w:rsidRPr="00C40D25">
        <w:rPr>
          <w:rFonts w:eastAsiaTheme="minorEastAsia"/>
        </w:rPr>
        <w:t xml:space="preserve">PSNC negotiates with the Department of Health and Social Care (DHSC) and NHS England and NHS Improvement (NHSE&amp;I) on behalf of </w:t>
      </w:r>
      <w:r w:rsidR="003A07C2">
        <w:rPr>
          <w:rFonts w:eastAsiaTheme="minorEastAsia"/>
        </w:rPr>
        <w:t xml:space="preserve">all NHS </w:t>
      </w:r>
      <w:r w:rsidR="003A07C2" w:rsidRPr="00C40D25">
        <w:rPr>
          <w:rFonts w:eastAsiaTheme="minorEastAsia"/>
        </w:rPr>
        <w:t>community pharmacies in England. Back in 201</w:t>
      </w:r>
      <w:r w:rsidR="003A07C2">
        <w:rPr>
          <w:rFonts w:eastAsiaTheme="minorEastAsia"/>
        </w:rPr>
        <w:t>9</w:t>
      </w:r>
      <w:r w:rsidR="003A07C2" w:rsidRPr="00C40D25">
        <w:rPr>
          <w:rFonts w:eastAsiaTheme="minorEastAsia"/>
        </w:rPr>
        <w:t>, a 5-year funding and services plan for pharmacies was agreed, subject to joint annual reviews to be conducted by all partners. The agreed arrangements for pharmacies are known as the Community Pharmacy Contractual Framework (</w:t>
      </w:r>
      <w:hyperlink r:id="rId13" w:history="1">
        <w:r w:rsidR="003A07C2" w:rsidRPr="00E91A79">
          <w:rPr>
            <w:rStyle w:val="Hyperlink"/>
            <w:rFonts w:eastAsiaTheme="minorEastAsia"/>
            <w:color w:val="5B518E"/>
          </w:rPr>
          <w:t>CPCF</w:t>
        </w:r>
      </w:hyperlink>
      <w:r w:rsidR="003A07C2" w:rsidRPr="00C40D25">
        <w:rPr>
          <w:rFonts w:eastAsiaTheme="minorEastAsia"/>
        </w:rPr>
        <w:t xml:space="preserve">). </w:t>
      </w:r>
    </w:p>
    <w:p w14:paraId="20C9FEBD" w14:textId="0FB75A56" w:rsidR="003A07C2" w:rsidRPr="003A07C2" w:rsidRDefault="003A07C2" w:rsidP="000B670F">
      <w:pPr>
        <w:jc w:val="both"/>
        <w:rPr>
          <w:rFonts w:eastAsiaTheme="minorEastAsia"/>
        </w:rPr>
      </w:pPr>
      <w:r w:rsidRPr="00C40D25">
        <w:rPr>
          <w:rFonts w:eastAsiaTheme="minorEastAsia"/>
        </w:rPr>
        <w:t>Each year, negotiations are held about the details of the CPCF for the upcoming year. PSNC, DHSC &amp;</w:t>
      </w:r>
      <w:r w:rsidR="0068413B">
        <w:rPr>
          <w:rFonts w:eastAsiaTheme="minorEastAsia"/>
        </w:rPr>
        <w:t xml:space="preserve"> </w:t>
      </w:r>
      <w:r w:rsidRPr="00C40D25">
        <w:rPr>
          <w:rFonts w:eastAsiaTheme="minorEastAsia"/>
        </w:rPr>
        <w:t>NHSE&amp;I recently completed this process for 2021/22 (or Year 3 of the 5-year deal), and that agreement</w:t>
      </w:r>
      <w:r>
        <w:rPr>
          <w:rFonts w:eastAsiaTheme="minorEastAsia"/>
        </w:rPr>
        <w:t>, along with some more general updates on the sector,</w:t>
      </w:r>
      <w:r w:rsidRPr="00C40D25">
        <w:rPr>
          <w:rFonts w:eastAsiaTheme="minorEastAsia"/>
        </w:rPr>
        <w:t xml:space="preserve"> is the focus of this briefing. </w:t>
      </w:r>
    </w:p>
    <w:p w14:paraId="4209F918" w14:textId="0E7AC568" w:rsidR="003A07C2" w:rsidRPr="00450B27" w:rsidRDefault="003A07C2" w:rsidP="002254A3">
      <w:pPr>
        <w:spacing w:after="0" w:line="240" w:lineRule="auto"/>
        <w:jc w:val="both"/>
        <w:rPr>
          <w:rFonts w:cstheme="minorHAnsi"/>
          <w:b/>
          <w:bCs/>
          <w:color w:val="5B518E"/>
          <w:sz w:val="24"/>
          <w:szCs w:val="24"/>
        </w:rPr>
      </w:pPr>
      <w:r w:rsidRPr="00450B27">
        <w:rPr>
          <w:rFonts w:cstheme="minorHAnsi"/>
          <w:b/>
          <w:bCs/>
          <w:color w:val="5B518E"/>
          <w:sz w:val="24"/>
          <w:szCs w:val="24"/>
        </w:rPr>
        <w:t>Background information on pharmacies</w:t>
      </w:r>
    </w:p>
    <w:p w14:paraId="7F556E02" w14:textId="54286B4B" w:rsidR="003B5FF3" w:rsidRDefault="003B5FF3" w:rsidP="003B5FF3">
      <w:pPr>
        <w:spacing w:after="0" w:line="240" w:lineRule="auto"/>
        <w:jc w:val="both"/>
        <w:rPr>
          <w:rFonts w:cstheme="minorHAnsi"/>
        </w:rPr>
      </w:pPr>
      <w:r>
        <w:rPr>
          <w:noProof/>
        </w:rPr>
        <w:drawing>
          <wp:anchor distT="0" distB="0" distL="114300" distR="114300" simplePos="0" relativeHeight="251713542" behindDoc="1" locked="0" layoutInCell="1" allowOverlap="1" wp14:anchorId="01DF3E82" wp14:editId="461FB108">
            <wp:simplePos x="0" y="0"/>
            <wp:positionH relativeFrom="column">
              <wp:posOffset>5210175</wp:posOffset>
            </wp:positionH>
            <wp:positionV relativeFrom="paragraph">
              <wp:posOffset>274955</wp:posOffset>
            </wp:positionV>
            <wp:extent cx="1214120" cy="1214120"/>
            <wp:effectExtent l="0" t="0" r="0" b="0"/>
            <wp:wrapTight wrapText="bothSides">
              <wp:wrapPolygon edited="0">
                <wp:start x="5197" y="1356"/>
                <wp:lineTo x="4293" y="5423"/>
                <wp:lineTo x="4067" y="17623"/>
                <wp:lineTo x="7682" y="19657"/>
                <wp:lineTo x="9941" y="20109"/>
                <wp:lineTo x="16494" y="20109"/>
                <wp:lineTo x="17172" y="18753"/>
                <wp:lineTo x="17172" y="16946"/>
                <wp:lineTo x="16720" y="14234"/>
                <wp:lineTo x="14008" y="12653"/>
                <wp:lineTo x="15138" y="12201"/>
                <wp:lineTo x="14460" y="5423"/>
                <wp:lineTo x="13556" y="1356"/>
                <wp:lineTo x="5197" y="1356"/>
              </wp:wrapPolygon>
            </wp:wrapTight>
            <wp:docPr id="10" name="Graphic 10"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14120" cy="1214120"/>
                    </a:xfrm>
                    <a:prstGeom prst="rect">
                      <a:avLst/>
                    </a:prstGeom>
                  </pic:spPr>
                </pic:pic>
              </a:graphicData>
            </a:graphic>
            <wp14:sizeRelH relativeFrom="page">
              <wp14:pctWidth>0</wp14:pctWidth>
            </wp14:sizeRelH>
            <wp14:sizeRelV relativeFrom="page">
              <wp14:pctHeight>0</wp14:pctHeight>
            </wp14:sizeRelV>
          </wp:anchor>
        </w:drawing>
      </w:r>
      <w:r w:rsidR="003A07C2" w:rsidRPr="004D64DE">
        <w:rPr>
          <w:rFonts w:cstheme="minorHAnsi"/>
        </w:rPr>
        <w:t xml:space="preserve">The 11,400 community pharmacies in England provide a range of core services for patients </w:t>
      </w:r>
      <w:r w:rsidR="003A07C2">
        <w:rPr>
          <w:rFonts w:cstheme="minorHAnsi"/>
        </w:rPr>
        <w:t xml:space="preserve">and local communities </w:t>
      </w:r>
      <w:r w:rsidR="003A07C2" w:rsidRPr="004D64DE">
        <w:rPr>
          <w:rFonts w:cstheme="minorHAnsi"/>
        </w:rPr>
        <w:t>including:</w:t>
      </w:r>
    </w:p>
    <w:p w14:paraId="3D4E234C" w14:textId="7E7E73AB" w:rsidR="003A07C2" w:rsidRPr="004D64DE" w:rsidRDefault="003A07C2" w:rsidP="6CAEDF5B">
      <w:pPr>
        <w:spacing w:after="0" w:line="240" w:lineRule="auto"/>
        <w:ind w:left="211"/>
        <w:jc w:val="both"/>
      </w:pPr>
      <w:r w:rsidRPr="6CAEDF5B">
        <w:t xml:space="preserve"> </w:t>
      </w:r>
    </w:p>
    <w:p w14:paraId="6010A40F" w14:textId="487E40AD" w:rsidR="003B5FF3" w:rsidRPr="004D64DE" w:rsidRDefault="003B5FF3" w:rsidP="6CAEDF5B">
      <w:pPr>
        <w:pStyle w:val="ListParagraph"/>
        <w:numPr>
          <w:ilvl w:val="0"/>
          <w:numId w:val="40"/>
        </w:numPr>
        <w:spacing w:after="0" w:line="240" w:lineRule="auto"/>
        <w:jc w:val="both"/>
      </w:pPr>
      <w:r w:rsidRPr="6CAEDF5B">
        <w:t>Dispensing of prescriptions and appliances</w:t>
      </w:r>
      <w:r>
        <w:t>.</w:t>
      </w:r>
    </w:p>
    <w:p w14:paraId="5BF2A3C4" w14:textId="03F8C7F5" w:rsidR="003B5FF3" w:rsidRDefault="003B5FF3" w:rsidP="003B5FF3">
      <w:pPr>
        <w:pStyle w:val="ListParagraph"/>
        <w:numPr>
          <w:ilvl w:val="0"/>
          <w:numId w:val="40"/>
        </w:numPr>
        <w:spacing w:after="0" w:line="240" w:lineRule="auto"/>
        <w:jc w:val="both"/>
      </w:pPr>
      <w:r w:rsidRPr="6CAEDF5B">
        <w:t>Signposting patients to other sources of care and support</w:t>
      </w:r>
      <w:r>
        <w:t>.</w:t>
      </w:r>
    </w:p>
    <w:p w14:paraId="794AA70B" w14:textId="29AE19FA" w:rsidR="003A07C2" w:rsidRPr="004D64DE" w:rsidRDefault="003A07C2" w:rsidP="6CAEDF5B">
      <w:pPr>
        <w:pStyle w:val="ListParagraph"/>
        <w:numPr>
          <w:ilvl w:val="0"/>
          <w:numId w:val="40"/>
        </w:numPr>
        <w:spacing w:after="0" w:line="240" w:lineRule="auto"/>
        <w:jc w:val="both"/>
      </w:pPr>
      <w:r w:rsidRPr="6CAEDF5B">
        <w:t>Participation in public health campaigns (</w:t>
      </w:r>
      <w:proofErr w:type="gramStart"/>
      <w:r w:rsidRPr="6CAEDF5B">
        <w:t>e.g.</w:t>
      </w:r>
      <w:proofErr w:type="gramEnd"/>
      <w:r w:rsidRPr="6CAEDF5B">
        <w:t xml:space="preserve"> COVID-19 vaccination promotion)</w:t>
      </w:r>
      <w:r w:rsidR="006A3ADB" w:rsidRPr="6CAEDF5B">
        <w:t>.</w:t>
      </w:r>
      <w:r w:rsidR="003B5FF3" w:rsidRPr="003B5FF3">
        <w:rPr>
          <w:noProof/>
        </w:rPr>
        <w:t xml:space="preserve"> </w:t>
      </w:r>
    </w:p>
    <w:p w14:paraId="3FF74E80" w14:textId="3653C857" w:rsidR="003A07C2" w:rsidRDefault="003A07C2" w:rsidP="6CAEDF5B">
      <w:pPr>
        <w:pStyle w:val="ListParagraph"/>
        <w:numPr>
          <w:ilvl w:val="0"/>
          <w:numId w:val="40"/>
        </w:numPr>
        <w:spacing w:after="0" w:line="240" w:lineRule="auto"/>
        <w:jc w:val="both"/>
      </w:pPr>
      <w:r w:rsidRPr="6CAEDF5B">
        <w:t>Disposal of unwanted medicines</w:t>
      </w:r>
      <w:r w:rsidR="006A3ADB" w:rsidRPr="6CAEDF5B">
        <w:t>.</w:t>
      </w:r>
    </w:p>
    <w:p w14:paraId="381EF0B9" w14:textId="52661A01" w:rsidR="003A07C2" w:rsidRDefault="003A07C2" w:rsidP="6CAEDF5B">
      <w:pPr>
        <w:pStyle w:val="ListParagraph"/>
        <w:numPr>
          <w:ilvl w:val="0"/>
          <w:numId w:val="40"/>
        </w:numPr>
        <w:spacing w:after="0" w:line="240" w:lineRule="auto"/>
        <w:jc w:val="both"/>
      </w:pPr>
      <w:r w:rsidRPr="6CAEDF5B">
        <w:t>Support for self-care</w:t>
      </w:r>
      <w:r w:rsidR="006A3ADB" w:rsidRPr="6CAEDF5B">
        <w:t>.</w:t>
      </w:r>
      <w:r w:rsidRPr="6CAEDF5B">
        <w:t xml:space="preserve"> </w:t>
      </w:r>
    </w:p>
    <w:p w14:paraId="43181BB2" w14:textId="77777777" w:rsidR="00201D13" w:rsidRPr="00201D13" w:rsidRDefault="00201D13" w:rsidP="002254A3">
      <w:pPr>
        <w:pStyle w:val="ListParagraph"/>
        <w:spacing w:after="0" w:line="240" w:lineRule="auto"/>
        <w:ind w:left="931"/>
        <w:jc w:val="both"/>
        <w:rPr>
          <w:rFonts w:cstheme="minorHAnsi"/>
        </w:rPr>
      </w:pPr>
    </w:p>
    <w:p w14:paraId="77772540" w14:textId="38DD05F3" w:rsidR="003A07C2" w:rsidRDefault="003A07C2" w:rsidP="002254A3">
      <w:pPr>
        <w:spacing w:after="0" w:line="240" w:lineRule="auto"/>
        <w:jc w:val="both"/>
        <w:rPr>
          <w:rFonts w:cstheme="minorHAnsi"/>
        </w:rPr>
      </w:pPr>
      <w:r w:rsidRPr="004D64DE">
        <w:rPr>
          <w:rFonts w:cstheme="minorHAnsi"/>
        </w:rPr>
        <w:t>In additio</w:t>
      </w:r>
      <w:r>
        <w:rPr>
          <w:rFonts w:cstheme="minorHAnsi"/>
        </w:rPr>
        <w:t>n</w:t>
      </w:r>
      <w:r w:rsidRPr="004D64DE">
        <w:rPr>
          <w:rFonts w:cstheme="minorHAnsi"/>
        </w:rPr>
        <w:t>, community pharmacies also provide a range of nationally commissioned services such as</w:t>
      </w:r>
      <w:r>
        <w:rPr>
          <w:rFonts w:cstheme="minorHAnsi"/>
        </w:rPr>
        <w:t xml:space="preserve"> </w:t>
      </w:r>
      <w:r w:rsidRPr="00450B27">
        <w:rPr>
          <w:rFonts w:cstheme="minorHAnsi"/>
          <w:b/>
          <w:bCs/>
          <w:color w:val="5B518E"/>
        </w:rPr>
        <w:t xml:space="preserve">flu vaccinations </w:t>
      </w:r>
      <w:r>
        <w:rPr>
          <w:rFonts w:cstheme="minorHAnsi"/>
        </w:rPr>
        <w:t xml:space="preserve">and the </w:t>
      </w:r>
      <w:r w:rsidRPr="00450B27">
        <w:rPr>
          <w:rFonts w:cstheme="minorHAnsi"/>
          <w:b/>
          <w:bCs/>
          <w:color w:val="5B518E"/>
        </w:rPr>
        <w:t>New Medicine Service (NMS).</w:t>
      </w:r>
      <w:r w:rsidRPr="00450B27">
        <w:rPr>
          <w:rFonts w:cstheme="minorHAnsi"/>
          <w:color w:val="5B518E"/>
        </w:rPr>
        <w:t xml:space="preserve"> </w:t>
      </w:r>
      <w:r>
        <w:rPr>
          <w:rFonts w:cstheme="minorHAnsi"/>
        </w:rPr>
        <w:t xml:space="preserve">Flu vaccinations were particularly successful last year with </w:t>
      </w:r>
      <w:r w:rsidRPr="00C40D25">
        <w:rPr>
          <w:rFonts w:eastAsiaTheme="minorEastAsia"/>
        </w:rPr>
        <w:t xml:space="preserve">pharmacies </w:t>
      </w:r>
      <w:r>
        <w:rPr>
          <w:rFonts w:eastAsiaTheme="minorEastAsia"/>
        </w:rPr>
        <w:t xml:space="preserve">having </w:t>
      </w:r>
      <w:r w:rsidRPr="00C40D25">
        <w:rPr>
          <w:rFonts w:eastAsiaTheme="minorEastAsia"/>
        </w:rPr>
        <w:t>administer</w:t>
      </w:r>
      <w:r>
        <w:rPr>
          <w:rFonts w:eastAsiaTheme="minorEastAsia"/>
        </w:rPr>
        <w:t>ed</w:t>
      </w:r>
      <w:r w:rsidRPr="00C40D25">
        <w:rPr>
          <w:rFonts w:eastAsiaTheme="minorEastAsia"/>
        </w:rPr>
        <w:t xml:space="preserve"> more than 2</w:t>
      </w:r>
      <w:r>
        <w:rPr>
          <w:rFonts w:eastAsiaTheme="minorEastAsia"/>
        </w:rPr>
        <w:t xml:space="preserve">.76 </w:t>
      </w:r>
      <w:r w:rsidRPr="00C40D25">
        <w:rPr>
          <w:rFonts w:eastAsiaTheme="minorEastAsia"/>
        </w:rPr>
        <w:t>million vaccinations in 2020/21</w:t>
      </w:r>
      <w:r>
        <w:rPr>
          <w:rFonts w:eastAsiaTheme="minorEastAsia"/>
        </w:rPr>
        <w:t>, which was over a million more than in the previous season.</w:t>
      </w:r>
    </w:p>
    <w:p w14:paraId="73FE72C7" w14:textId="300A6EE9" w:rsidR="002254A3" w:rsidRDefault="003B5FF3" w:rsidP="002254A3">
      <w:pPr>
        <w:spacing w:after="0" w:line="240" w:lineRule="auto"/>
        <w:jc w:val="both"/>
        <w:rPr>
          <w:rFonts w:cstheme="minorHAnsi"/>
        </w:rPr>
      </w:pPr>
      <w:r>
        <w:rPr>
          <w:rFonts w:cstheme="minorHAnsi"/>
          <w:b/>
          <w:bCs/>
          <w:noProof/>
          <w:color w:val="5B518E"/>
        </w:rPr>
        <w:drawing>
          <wp:anchor distT="0" distB="0" distL="114300" distR="114300" simplePos="0" relativeHeight="251714566" behindDoc="0" locked="0" layoutInCell="1" allowOverlap="1" wp14:anchorId="57062136" wp14:editId="19EFF2AC">
            <wp:simplePos x="0" y="0"/>
            <wp:positionH relativeFrom="column">
              <wp:posOffset>-3829</wp:posOffset>
            </wp:positionH>
            <wp:positionV relativeFrom="paragraph">
              <wp:posOffset>158149</wp:posOffset>
            </wp:positionV>
            <wp:extent cx="738505" cy="738505"/>
            <wp:effectExtent l="0" t="0" r="0" b="0"/>
            <wp:wrapSquare wrapText="bothSides"/>
            <wp:docPr id="5" name="Graphic 5" descr="Tru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ruck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14:paraId="01D38EEF" w14:textId="02268DC9" w:rsidR="002254A3" w:rsidRDefault="003A07C2" w:rsidP="003B5FF3">
      <w:pPr>
        <w:spacing w:after="0" w:line="240" w:lineRule="auto"/>
        <w:jc w:val="both"/>
        <w:rPr>
          <w:rFonts w:cstheme="minorHAnsi"/>
        </w:rPr>
      </w:pPr>
      <w:r>
        <w:rPr>
          <w:rFonts w:cstheme="minorHAnsi"/>
        </w:rPr>
        <w:t xml:space="preserve">During the COVID-19 pandemic several additional services were added to this list including the </w:t>
      </w:r>
      <w:r w:rsidRPr="00450B27">
        <w:rPr>
          <w:rFonts w:cstheme="minorHAnsi"/>
          <w:b/>
          <w:bCs/>
          <w:color w:val="5B518E"/>
        </w:rPr>
        <w:t xml:space="preserve">COVID-19 Lateral Flow Device Distribution Service </w:t>
      </w:r>
      <w:r>
        <w:rPr>
          <w:rFonts w:cstheme="minorHAnsi"/>
        </w:rPr>
        <w:t xml:space="preserve">(giving people easy access to COVID-19 tests), the </w:t>
      </w:r>
      <w:r w:rsidRPr="00450B27">
        <w:rPr>
          <w:rFonts w:cstheme="minorHAnsi"/>
          <w:b/>
          <w:bCs/>
          <w:color w:val="5B518E"/>
        </w:rPr>
        <w:t>Pandemic Delivery Service</w:t>
      </w:r>
      <w:r w:rsidRPr="00450B27">
        <w:rPr>
          <w:rFonts w:cstheme="minorHAnsi"/>
          <w:color w:val="5B518E"/>
        </w:rPr>
        <w:t xml:space="preserve"> (</w:t>
      </w:r>
      <w:r>
        <w:rPr>
          <w:rFonts w:cstheme="minorHAnsi"/>
        </w:rPr>
        <w:t xml:space="preserve">which ensured vulnerable people could have their medicines delivered to them while they </w:t>
      </w:r>
      <w:proofErr w:type="gramStart"/>
      <w:r>
        <w:rPr>
          <w:rFonts w:cstheme="minorHAnsi"/>
        </w:rPr>
        <w:t>shielded</w:t>
      </w:r>
      <w:proofErr w:type="gramEnd"/>
      <w:r w:rsidR="003B5FF3">
        <w:rPr>
          <w:rFonts w:cstheme="minorHAnsi"/>
        </w:rPr>
        <w:t xml:space="preserve"> </w:t>
      </w:r>
      <w:r w:rsidR="00E07059">
        <w:rPr>
          <w:rFonts w:cstheme="minorHAnsi"/>
        </w:rPr>
        <w:t>and deliveries could also be made to people told to self-isolate by NHS Test and Trace</w:t>
      </w:r>
      <w:r>
        <w:rPr>
          <w:rFonts w:cstheme="minorHAnsi"/>
        </w:rPr>
        <w:t xml:space="preserve">) and </w:t>
      </w:r>
      <w:r w:rsidRPr="00450B27">
        <w:rPr>
          <w:rFonts w:cstheme="minorHAnsi"/>
          <w:b/>
          <w:bCs/>
          <w:color w:val="5B518E"/>
        </w:rPr>
        <w:t>COVID-19 vaccinations</w:t>
      </w:r>
      <w:r w:rsidRPr="00450B27">
        <w:rPr>
          <w:rFonts w:cstheme="minorHAnsi"/>
          <w:color w:val="5B518E"/>
        </w:rPr>
        <w:t xml:space="preserve"> </w:t>
      </w:r>
      <w:r>
        <w:rPr>
          <w:rFonts w:cstheme="minorHAnsi"/>
        </w:rPr>
        <w:t xml:space="preserve">(with </w:t>
      </w:r>
      <w:r w:rsidR="00E07059">
        <w:rPr>
          <w:rFonts w:cstheme="minorHAnsi"/>
        </w:rPr>
        <w:t>over</w:t>
      </w:r>
      <w:r>
        <w:rPr>
          <w:rFonts w:cstheme="minorHAnsi"/>
        </w:rPr>
        <w:t xml:space="preserve"> 700 pharmacy vaccination sites now live).  </w:t>
      </w:r>
    </w:p>
    <w:p w14:paraId="20BF178D" w14:textId="77777777" w:rsidR="003B5FF3" w:rsidRPr="003B5FF3" w:rsidRDefault="003B5FF3" w:rsidP="003B5FF3">
      <w:pPr>
        <w:spacing w:after="0" w:line="240" w:lineRule="auto"/>
        <w:jc w:val="both"/>
        <w:rPr>
          <w:rFonts w:cstheme="minorHAnsi"/>
        </w:rPr>
      </w:pPr>
    </w:p>
    <w:p w14:paraId="60AEC69F" w14:textId="53446495" w:rsidR="008454CB" w:rsidRPr="00450B27" w:rsidRDefault="008454CB" w:rsidP="000B670F">
      <w:pPr>
        <w:spacing w:after="0" w:line="259" w:lineRule="auto"/>
        <w:jc w:val="both"/>
        <w:rPr>
          <w:b/>
          <w:bCs/>
          <w:color w:val="5B518E"/>
          <w:sz w:val="24"/>
          <w:szCs w:val="24"/>
        </w:rPr>
      </w:pPr>
      <w:r w:rsidRPr="00450B27">
        <w:rPr>
          <w:b/>
          <w:bCs/>
          <w:color w:val="5B518E"/>
          <w:sz w:val="24"/>
          <w:szCs w:val="24"/>
        </w:rPr>
        <w:t>Impact of COVID-19 on pharmacies</w:t>
      </w:r>
    </w:p>
    <w:p w14:paraId="2C06B095" w14:textId="77777777" w:rsidR="008454CB" w:rsidRPr="00450B27" w:rsidRDefault="008454CB" w:rsidP="000B670F">
      <w:pPr>
        <w:spacing w:after="0" w:line="259" w:lineRule="auto"/>
        <w:jc w:val="both"/>
        <w:rPr>
          <w:b/>
          <w:bCs/>
        </w:rPr>
      </w:pPr>
      <w:r w:rsidRPr="00450B27">
        <w:t>Like all parts of the health service, community pharmacies have been under significant pressure during the COVID-19 pandemic. At times they were the only primary care centres open to give face-to-face advice to local communities. PSNC’s</w:t>
      </w:r>
      <w:r w:rsidRPr="00450B27">
        <w:rPr>
          <w:color w:val="5B518E"/>
        </w:rPr>
        <w:t xml:space="preserve"> </w:t>
      </w:r>
      <w:hyperlink r:id="rId18" w:history="1">
        <w:r w:rsidRPr="004F4381">
          <w:rPr>
            <w:b/>
            <w:bCs/>
            <w:color w:val="5B518E"/>
            <w:u w:val="single"/>
          </w:rPr>
          <w:t>audit</w:t>
        </w:r>
      </w:hyperlink>
      <w:r w:rsidRPr="00450B27">
        <w:t xml:space="preserve"> in January</w:t>
      </w:r>
      <w:r>
        <w:t xml:space="preserve"> 2021</w:t>
      </w:r>
      <w:r w:rsidRPr="00450B27">
        <w:t xml:space="preserve"> found that of the 58 million people seeking informal healthcare advice from pharmacies every year, a</w:t>
      </w:r>
      <w:r>
        <w:t>lmost</w:t>
      </w:r>
      <w:r w:rsidRPr="00450B27">
        <w:t xml:space="preserve"> half would have tried to visit their GP if attending their local pharmacy had not been an option. </w:t>
      </w:r>
    </w:p>
    <w:p w14:paraId="17B11069" w14:textId="21B37244" w:rsidR="008454CB" w:rsidRDefault="008454CB" w:rsidP="000B670F">
      <w:pPr>
        <w:spacing w:after="0" w:line="259" w:lineRule="auto"/>
        <w:jc w:val="both"/>
      </w:pPr>
    </w:p>
    <w:p w14:paraId="2C3A5610" w14:textId="7C335392" w:rsidR="008454CB" w:rsidRDefault="00E07059" w:rsidP="000B670F">
      <w:pPr>
        <w:spacing w:after="0" w:line="259" w:lineRule="auto"/>
        <w:jc w:val="both"/>
      </w:pPr>
      <w:r>
        <w:rPr>
          <w:noProof/>
        </w:rPr>
        <w:drawing>
          <wp:anchor distT="0" distB="0" distL="114300" distR="114300" simplePos="0" relativeHeight="251702278" behindDoc="0" locked="0" layoutInCell="1" allowOverlap="1" wp14:anchorId="41EBFF87" wp14:editId="579B15B2">
            <wp:simplePos x="0" y="0"/>
            <wp:positionH relativeFrom="column">
              <wp:posOffset>39878</wp:posOffset>
            </wp:positionH>
            <wp:positionV relativeFrom="paragraph">
              <wp:posOffset>53874</wp:posOffset>
            </wp:positionV>
            <wp:extent cx="694690" cy="694690"/>
            <wp:effectExtent l="0" t="0" r="0" b="0"/>
            <wp:wrapSquare wrapText="bothSides"/>
            <wp:docPr id="4" name="Graphic 4" descr="Face with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Face with mask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94690" cy="694690"/>
                    </a:xfrm>
                    <a:prstGeom prst="rect">
                      <a:avLst/>
                    </a:prstGeom>
                  </pic:spPr>
                </pic:pic>
              </a:graphicData>
            </a:graphic>
            <wp14:sizeRelH relativeFrom="margin">
              <wp14:pctWidth>0</wp14:pctWidth>
            </wp14:sizeRelH>
            <wp14:sizeRelV relativeFrom="margin">
              <wp14:pctHeight>0</wp14:pctHeight>
            </wp14:sizeRelV>
          </wp:anchor>
        </w:drawing>
      </w:r>
      <w:r w:rsidR="008454CB" w:rsidRPr="00450B27">
        <w:t>Like many businesses, pharmacies also had to put in place new policies and working arrangements to become C</w:t>
      </w:r>
      <w:r w:rsidR="008454CB">
        <w:t>OVID</w:t>
      </w:r>
      <w:r w:rsidR="008454CB" w:rsidRPr="00450B27">
        <w:t>-secure. Our</w:t>
      </w:r>
      <w:r w:rsidR="008454CB" w:rsidRPr="00450B27">
        <w:rPr>
          <w:color w:val="5B518E"/>
        </w:rPr>
        <w:t xml:space="preserve"> </w:t>
      </w:r>
      <w:hyperlink r:id="rId21" w:history="1">
        <w:r w:rsidR="008454CB" w:rsidRPr="004F4381">
          <w:rPr>
            <w:b/>
            <w:bCs/>
            <w:color w:val="5B518E"/>
            <w:u w:val="single"/>
          </w:rPr>
          <w:t>audit</w:t>
        </w:r>
      </w:hyperlink>
      <w:r w:rsidR="008454CB" w:rsidRPr="00450B27">
        <w:rPr>
          <w:color w:val="5B518E"/>
        </w:rPr>
        <w:t xml:space="preserve"> </w:t>
      </w:r>
      <w:r w:rsidR="008454CB" w:rsidRPr="00450B27">
        <w:t xml:space="preserve">showed that during the second peak of the pandemic the equivalent of 14 million patients per year were seeking advice </w:t>
      </w:r>
      <w:r w:rsidR="008454CB">
        <w:t xml:space="preserve">on COVID-19 </w:t>
      </w:r>
      <w:r w:rsidR="008454CB" w:rsidRPr="00450B27">
        <w:t xml:space="preserve">from their pharmacy, resulting in </w:t>
      </w:r>
      <w:r w:rsidR="008454CB">
        <w:t xml:space="preserve">a </w:t>
      </w:r>
      <w:r w:rsidR="008454CB" w:rsidRPr="00450B27">
        <w:t xml:space="preserve">significant extra time burden for pharmacy teams. </w:t>
      </w:r>
    </w:p>
    <w:p w14:paraId="1D97DA95" w14:textId="77777777" w:rsidR="000B670F" w:rsidRDefault="000B670F" w:rsidP="000B670F">
      <w:pPr>
        <w:spacing w:after="0" w:line="259" w:lineRule="auto"/>
        <w:jc w:val="both"/>
      </w:pPr>
    </w:p>
    <w:p w14:paraId="0D0BBCCC" w14:textId="137209C7" w:rsidR="008454CB" w:rsidRDefault="008454CB" w:rsidP="000B670F">
      <w:pPr>
        <w:spacing w:after="0" w:line="259" w:lineRule="auto"/>
        <w:jc w:val="both"/>
      </w:pPr>
      <w:r w:rsidRPr="00450B27">
        <w:t xml:space="preserve">Pharmacies received emergency loans in 2020 to help with cashflow at the start of the COVID-19 pandemic, but Government refused all requests to write those off given the ongoing financial pressures on the sector. Instead, </w:t>
      </w:r>
      <w:r w:rsidRPr="00450B27">
        <w:lastRenderedPageBreak/>
        <w:t>following successful lobbying by many MPs, pharmacy owners were able to claim for the COVID</w:t>
      </w:r>
      <w:r>
        <w:t>-19</w:t>
      </w:r>
      <w:r w:rsidRPr="00450B27">
        <w:t xml:space="preserve"> costs over the summer: the vast majority of claims are now being paid, but some businesses will still struggle with cashflow as they start to pay back the 2020 loans.  </w:t>
      </w:r>
    </w:p>
    <w:p w14:paraId="18EDD2A4" w14:textId="76B68BA8" w:rsidR="008454CB" w:rsidRDefault="008454CB" w:rsidP="000B670F">
      <w:pPr>
        <w:spacing w:after="0" w:line="259" w:lineRule="auto"/>
        <w:jc w:val="both"/>
      </w:pPr>
    </w:p>
    <w:p w14:paraId="4FE7FEE3" w14:textId="77777777" w:rsidR="008454CB" w:rsidRPr="00C40D25" w:rsidRDefault="008454CB" w:rsidP="002254A3">
      <w:pPr>
        <w:spacing w:after="0"/>
        <w:jc w:val="both"/>
        <w:rPr>
          <w:rFonts w:eastAsiaTheme="minorEastAsia"/>
          <w:b/>
          <w:bCs/>
          <w:sz w:val="24"/>
          <w:szCs w:val="24"/>
        </w:rPr>
      </w:pPr>
      <w:r w:rsidRPr="00450B27">
        <w:rPr>
          <w:rFonts w:eastAsiaTheme="minorEastAsia"/>
          <w:b/>
          <w:bCs/>
          <w:color w:val="5B518E"/>
          <w:sz w:val="24"/>
          <w:szCs w:val="24"/>
        </w:rPr>
        <w:t>New p</w:t>
      </w:r>
      <w:r w:rsidRPr="00C40D25">
        <w:rPr>
          <w:rFonts w:eastAsiaTheme="minorEastAsia"/>
          <w:b/>
          <w:bCs/>
          <w:color w:val="5B518E"/>
          <w:sz w:val="24"/>
          <w:szCs w:val="24"/>
        </w:rPr>
        <w:t xml:space="preserve">harmacy services </w:t>
      </w:r>
    </w:p>
    <w:p w14:paraId="77CD9E57" w14:textId="297FD70D" w:rsidR="008454CB" w:rsidRDefault="008454CB" w:rsidP="002254A3">
      <w:pPr>
        <w:spacing w:after="0"/>
        <w:jc w:val="both"/>
        <w:rPr>
          <w:rFonts w:eastAsiaTheme="minorEastAsia"/>
        </w:rPr>
      </w:pPr>
      <w:r w:rsidRPr="00C40D25">
        <w:rPr>
          <w:rFonts w:eastAsiaTheme="minorEastAsia"/>
        </w:rPr>
        <w:t>Alongside coping with the pandemic</w:t>
      </w:r>
      <w:r>
        <w:rPr>
          <w:rFonts w:eastAsiaTheme="minorEastAsia"/>
        </w:rPr>
        <w:t xml:space="preserve"> and delivering on all the above services</w:t>
      </w:r>
      <w:r w:rsidRPr="00C40D25">
        <w:rPr>
          <w:rFonts w:eastAsiaTheme="minorEastAsia"/>
        </w:rPr>
        <w:t>, pharmacies have been offering a range of important</w:t>
      </w:r>
      <w:r>
        <w:rPr>
          <w:rFonts w:eastAsiaTheme="minorEastAsia"/>
        </w:rPr>
        <w:t xml:space="preserve"> and relatively new</w:t>
      </w:r>
      <w:r w:rsidRPr="00C40D25">
        <w:rPr>
          <w:rFonts w:eastAsiaTheme="minorEastAsia"/>
        </w:rPr>
        <w:t xml:space="preserve"> services over the past two years, including:</w:t>
      </w:r>
    </w:p>
    <w:p w14:paraId="2869D67B" w14:textId="77777777" w:rsidR="002254A3" w:rsidRPr="00C40D25" w:rsidRDefault="002254A3" w:rsidP="002254A3">
      <w:pPr>
        <w:spacing w:after="0"/>
        <w:jc w:val="both"/>
        <w:rPr>
          <w:rFonts w:eastAsiaTheme="minorEastAsia"/>
        </w:rPr>
      </w:pPr>
    </w:p>
    <w:p w14:paraId="2640561C" w14:textId="168FCEF8" w:rsidR="008454CB" w:rsidRPr="00352FB8" w:rsidRDefault="008454CB" w:rsidP="6CAEDF5B">
      <w:pPr>
        <w:pStyle w:val="ListParagraph"/>
        <w:numPr>
          <w:ilvl w:val="0"/>
          <w:numId w:val="41"/>
        </w:numPr>
        <w:spacing w:after="0" w:line="249" w:lineRule="auto"/>
        <w:ind w:right="660"/>
        <w:jc w:val="both"/>
        <w:rPr>
          <w:rFonts w:eastAsiaTheme="minorEastAsia"/>
        </w:rPr>
      </w:pPr>
      <w:r w:rsidRPr="6CAEDF5B">
        <w:rPr>
          <w:rFonts w:eastAsiaTheme="minorEastAsia"/>
          <w:b/>
          <w:bCs/>
          <w:color w:val="5B518E"/>
        </w:rPr>
        <w:t>Community Pharmacist Consultation Service (CPCS):</w:t>
      </w:r>
      <w:r w:rsidRPr="6CAEDF5B">
        <w:rPr>
          <w:rFonts w:eastAsiaTheme="minorEastAsia"/>
          <w:color w:val="5B518E"/>
        </w:rPr>
        <w:t xml:space="preserve"> </w:t>
      </w:r>
      <w:r w:rsidRPr="6CAEDF5B">
        <w:rPr>
          <w:rFonts w:eastAsiaTheme="minorEastAsia"/>
        </w:rPr>
        <w:t>pharmacies make emergency supplies of medicines or give advice to people on minor conditions, following NHS</w:t>
      </w:r>
      <w:r w:rsidR="00E07059" w:rsidRPr="6CAEDF5B">
        <w:rPr>
          <w:rFonts w:eastAsiaTheme="minorEastAsia"/>
        </w:rPr>
        <w:t xml:space="preserve"> </w:t>
      </w:r>
      <w:r w:rsidRPr="6CAEDF5B">
        <w:rPr>
          <w:rFonts w:eastAsiaTheme="minorEastAsia"/>
        </w:rPr>
        <w:t xml:space="preserve">111 or GP referral. </w:t>
      </w:r>
    </w:p>
    <w:p w14:paraId="0D34363C" w14:textId="77777777" w:rsidR="008454CB" w:rsidRPr="00C40D25" w:rsidRDefault="008454CB" w:rsidP="6CAEDF5B">
      <w:pPr>
        <w:numPr>
          <w:ilvl w:val="0"/>
          <w:numId w:val="41"/>
        </w:numPr>
        <w:spacing w:after="0" w:line="249" w:lineRule="auto"/>
        <w:ind w:right="660"/>
        <w:jc w:val="both"/>
        <w:rPr>
          <w:rFonts w:eastAsiaTheme="minorEastAsia"/>
        </w:rPr>
      </w:pPr>
      <w:r w:rsidRPr="6CAEDF5B">
        <w:rPr>
          <w:rFonts w:eastAsiaTheme="minorEastAsia"/>
          <w:b/>
          <w:bCs/>
          <w:color w:val="5B518E"/>
        </w:rPr>
        <w:t xml:space="preserve">Discharge Medicines Service (DMS): </w:t>
      </w:r>
      <w:r w:rsidRPr="6CAEDF5B">
        <w:rPr>
          <w:rFonts w:eastAsiaTheme="minorEastAsia"/>
          <w:u w:val="single"/>
        </w:rPr>
        <w:t>all</w:t>
      </w:r>
      <w:r w:rsidRPr="6CAEDF5B">
        <w:rPr>
          <w:rFonts w:eastAsiaTheme="minorEastAsia"/>
        </w:rPr>
        <w:t xml:space="preserve"> pharmacies offer advice about newly prescribed medicines to patients referred by NHS Trusts after discharge from hospital. </w:t>
      </w:r>
    </w:p>
    <w:p w14:paraId="5D26AD18" w14:textId="453F42F6" w:rsidR="008454CB" w:rsidRDefault="008454CB" w:rsidP="6CAEDF5B">
      <w:pPr>
        <w:numPr>
          <w:ilvl w:val="0"/>
          <w:numId w:val="41"/>
        </w:numPr>
        <w:spacing w:after="0" w:line="249" w:lineRule="auto"/>
        <w:ind w:right="660"/>
        <w:jc w:val="both"/>
        <w:rPr>
          <w:rFonts w:eastAsiaTheme="minorEastAsia"/>
        </w:rPr>
      </w:pPr>
      <w:r w:rsidRPr="6CAEDF5B">
        <w:rPr>
          <w:rFonts w:eastAsiaTheme="minorEastAsia"/>
          <w:b/>
          <w:bCs/>
          <w:color w:val="5B518E"/>
        </w:rPr>
        <w:t xml:space="preserve">Hepatitis C Testing Service: </w:t>
      </w:r>
      <w:r w:rsidRPr="6CAEDF5B">
        <w:rPr>
          <w:rFonts w:eastAsiaTheme="minorEastAsia"/>
        </w:rPr>
        <w:t>supporting NHS aims to eliminate Hepatitis C.</w:t>
      </w:r>
      <w:r w:rsidRPr="6CAEDF5B">
        <w:rPr>
          <w:rFonts w:eastAsiaTheme="minorEastAsia"/>
          <w:b/>
          <w:bCs/>
        </w:rPr>
        <w:t xml:space="preserve"> </w:t>
      </w:r>
    </w:p>
    <w:p w14:paraId="26F8A78B" w14:textId="77777777" w:rsidR="008454CB" w:rsidRPr="008454CB" w:rsidRDefault="008454CB" w:rsidP="002254A3">
      <w:pPr>
        <w:spacing w:after="0" w:line="249" w:lineRule="auto"/>
        <w:ind w:left="720" w:right="660"/>
        <w:jc w:val="both"/>
        <w:rPr>
          <w:rFonts w:eastAsiaTheme="minorEastAsia"/>
        </w:rPr>
      </w:pPr>
    </w:p>
    <w:p w14:paraId="079CAEC3" w14:textId="2BB3F5C8" w:rsidR="003B5FF3" w:rsidRDefault="008454CB" w:rsidP="003B5FF3">
      <w:pPr>
        <w:spacing w:after="0"/>
        <w:jc w:val="both"/>
        <w:rPr>
          <w:rFonts w:eastAsiaTheme="minorEastAsia"/>
        </w:rPr>
      </w:pPr>
      <w:r w:rsidRPr="00C40D25">
        <w:rPr>
          <w:rFonts w:eastAsiaTheme="minorEastAsia"/>
        </w:rPr>
        <w:t xml:space="preserve">As part of the 2021/22 arrangements for pharmacies, two new national services will be launched, alongside some significant developments to the New Medicine Service (NMS). </w:t>
      </w:r>
      <w:r w:rsidR="002254A3">
        <w:rPr>
          <w:rFonts w:eastAsiaTheme="minorEastAsia"/>
        </w:rPr>
        <w:t>All three of these services are optional for pharmacies to offer.</w:t>
      </w:r>
    </w:p>
    <w:p w14:paraId="31E8C616" w14:textId="77777777" w:rsidR="003B5FF3" w:rsidRPr="003B5FF3" w:rsidRDefault="003B5FF3" w:rsidP="003B5FF3">
      <w:pPr>
        <w:spacing w:after="0"/>
        <w:jc w:val="both"/>
        <w:rPr>
          <w:rFonts w:eastAsiaTheme="minorEastAsia"/>
        </w:rPr>
      </w:pPr>
    </w:p>
    <w:p w14:paraId="64B3AE7B" w14:textId="0F3493BA" w:rsidR="008454CB" w:rsidRPr="00351EE9" w:rsidRDefault="008454CB" w:rsidP="002254A3">
      <w:pPr>
        <w:spacing w:after="0"/>
        <w:jc w:val="both"/>
        <w:rPr>
          <w:rFonts w:eastAsiaTheme="minorEastAsia"/>
          <w:bCs/>
        </w:rPr>
      </w:pPr>
      <w:r w:rsidRPr="00C40D25">
        <w:rPr>
          <w:rFonts w:eastAsiaTheme="minorEastAsia"/>
          <w:b/>
          <w:color w:val="5B518E"/>
        </w:rPr>
        <w:t>Hypertension case</w:t>
      </w:r>
      <w:r w:rsidR="007C4C32">
        <w:rPr>
          <w:rFonts w:eastAsiaTheme="minorEastAsia"/>
          <w:b/>
          <w:color w:val="5B518E"/>
        </w:rPr>
        <w:t>-</w:t>
      </w:r>
      <w:r w:rsidRPr="00C40D25">
        <w:rPr>
          <w:rFonts w:eastAsiaTheme="minorEastAsia"/>
          <w:b/>
          <w:color w:val="5B518E"/>
        </w:rPr>
        <w:t>finding service</w:t>
      </w:r>
      <w:r w:rsidRPr="00C40D25">
        <w:rPr>
          <w:rFonts w:eastAsiaTheme="minorEastAsia"/>
          <w:bCs/>
          <w:color w:val="5B518E"/>
        </w:rPr>
        <w:t xml:space="preserve"> </w:t>
      </w:r>
      <w:r w:rsidRPr="00C40D25">
        <w:rPr>
          <w:rFonts w:eastAsiaTheme="minorEastAsia"/>
          <w:bCs/>
        </w:rPr>
        <w:t xml:space="preserve">(from </w:t>
      </w:r>
      <w:r>
        <w:rPr>
          <w:rFonts w:eastAsiaTheme="minorEastAsia"/>
          <w:bCs/>
        </w:rPr>
        <w:t>October</w:t>
      </w:r>
      <w:r w:rsidRPr="00C40D25">
        <w:rPr>
          <w:rFonts w:eastAsiaTheme="minorEastAsia"/>
          <w:bCs/>
        </w:rPr>
        <w:t xml:space="preserve"> 2021)</w:t>
      </w:r>
    </w:p>
    <w:p w14:paraId="154C542A" w14:textId="016A7B56" w:rsidR="003B5FF3" w:rsidRDefault="006A3ADB" w:rsidP="003B5FF3">
      <w:pPr>
        <w:spacing w:after="0"/>
        <w:jc w:val="both"/>
        <w:rPr>
          <w:rFonts w:eastAsiaTheme="minorEastAsia"/>
          <w:bCs/>
        </w:rPr>
      </w:pPr>
      <w:r>
        <w:rPr>
          <w:rFonts w:eastAsiaTheme="minorEastAsia"/>
          <w:bCs/>
          <w:noProof/>
        </w:rPr>
        <w:drawing>
          <wp:anchor distT="0" distB="0" distL="114300" distR="114300" simplePos="0" relativeHeight="251706374" behindDoc="0" locked="0" layoutInCell="1" allowOverlap="1" wp14:anchorId="36564C26" wp14:editId="1652280C">
            <wp:simplePos x="0" y="0"/>
            <wp:positionH relativeFrom="column">
              <wp:posOffset>5922948</wp:posOffset>
            </wp:positionH>
            <wp:positionV relativeFrom="paragraph">
              <wp:posOffset>251005</wp:posOffset>
            </wp:positionV>
            <wp:extent cx="763905" cy="763905"/>
            <wp:effectExtent l="0" t="0" r="0" b="0"/>
            <wp:wrapSquare wrapText="bothSides"/>
            <wp:docPr id="8" name="Graphic 8"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eart with puls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63905" cy="763905"/>
                    </a:xfrm>
                    <a:prstGeom prst="rect">
                      <a:avLst/>
                    </a:prstGeom>
                  </pic:spPr>
                </pic:pic>
              </a:graphicData>
            </a:graphic>
          </wp:anchor>
        </w:drawing>
      </w:r>
      <w:r w:rsidR="008454CB" w:rsidRPr="00C40D25">
        <w:rPr>
          <w:rFonts w:eastAsiaTheme="minorEastAsia"/>
          <w:bCs/>
        </w:rPr>
        <w:t>Support</w:t>
      </w:r>
      <w:r w:rsidR="008454CB">
        <w:rPr>
          <w:rFonts w:eastAsiaTheme="minorEastAsia"/>
          <w:bCs/>
        </w:rPr>
        <w:t>ing</w:t>
      </w:r>
      <w:r w:rsidR="008454CB" w:rsidRPr="00C40D25">
        <w:rPr>
          <w:rFonts w:eastAsiaTheme="minorEastAsia"/>
          <w:bCs/>
        </w:rPr>
        <w:t xml:space="preserve"> the NHS Long Term Plan ambitions for prevention of cardiovascular disease, from </w:t>
      </w:r>
      <w:r w:rsidR="008454CB">
        <w:rPr>
          <w:rFonts w:eastAsiaTheme="minorEastAsia"/>
          <w:bCs/>
        </w:rPr>
        <w:t>October</w:t>
      </w:r>
      <w:r w:rsidR="008454CB" w:rsidRPr="00C40D25">
        <w:rPr>
          <w:rFonts w:eastAsiaTheme="minorEastAsia"/>
          <w:bCs/>
        </w:rPr>
        <w:t xml:space="preserve"> pharmacies will be able to offer blood pressure testing. This service will have 2 stages. The first is identifying people at risk of hypertension and offering </w:t>
      </w:r>
      <w:r>
        <w:rPr>
          <w:rFonts w:eastAsiaTheme="minorEastAsia"/>
          <w:bCs/>
        </w:rPr>
        <w:t>to measure their</w:t>
      </w:r>
      <w:r w:rsidR="008454CB" w:rsidRPr="00C40D25">
        <w:rPr>
          <w:rFonts w:eastAsiaTheme="minorEastAsia"/>
          <w:bCs/>
        </w:rPr>
        <w:t xml:space="preserve"> blood pressure. The second stage, where clinically indicated, is offering ambulatory blood pressure monitoring (ABPM)</w:t>
      </w:r>
      <w:r>
        <w:rPr>
          <w:rFonts w:eastAsiaTheme="minorEastAsia"/>
          <w:bCs/>
        </w:rPr>
        <w:t xml:space="preserve"> over a 24-hour period</w:t>
      </w:r>
      <w:r w:rsidR="008454CB" w:rsidRPr="00C40D25">
        <w:rPr>
          <w:rFonts w:eastAsiaTheme="minorEastAsia"/>
          <w:bCs/>
        </w:rPr>
        <w:t>. The blood pressure test results will then be shared with the patient’s GP to inform a potential diagnosis of hypertension.</w:t>
      </w:r>
      <w:r w:rsidR="002254A3" w:rsidRPr="002254A3">
        <w:rPr>
          <w:rFonts w:eastAsiaTheme="minorEastAsia"/>
          <w:bCs/>
        </w:rPr>
        <w:t xml:space="preserve"> </w:t>
      </w:r>
      <w:r w:rsidR="002254A3" w:rsidRPr="002254A3">
        <w:t xml:space="preserve">This is an important </w:t>
      </w:r>
      <w:proofErr w:type="gramStart"/>
      <w:r w:rsidR="002254A3" w:rsidRPr="002254A3">
        <w:t>service, but</w:t>
      </w:r>
      <w:proofErr w:type="gramEnd"/>
      <w:r w:rsidR="002254A3" w:rsidRPr="002254A3">
        <w:t xml:space="preserve"> given the current capacity pressures we expect pharmacies may take some time to implement it.</w:t>
      </w:r>
    </w:p>
    <w:p w14:paraId="6D0A3D53" w14:textId="77777777" w:rsidR="003B5FF3" w:rsidRPr="003B5FF3" w:rsidRDefault="003B5FF3" w:rsidP="003B5FF3">
      <w:pPr>
        <w:spacing w:after="0"/>
        <w:jc w:val="both"/>
        <w:rPr>
          <w:rFonts w:eastAsiaTheme="minorEastAsia"/>
          <w:bCs/>
        </w:rPr>
      </w:pPr>
    </w:p>
    <w:p w14:paraId="37B4D744" w14:textId="05BE0F93" w:rsidR="008454CB" w:rsidRDefault="008454CB" w:rsidP="002254A3">
      <w:pPr>
        <w:spacing w:after="0"/>
        <w:jc w:val="both"/>
        <w:rPr>
          <w:rFonts w:eastAsiaTheme="minorEastAsia"/>
          <w:bCs/>
        </w:rPr>
      </w:pPr>
      <w:r w:rsidRPr="00C40D25">
        <w:rPr>
          <w:rFonts w:eastAsiaTheme="minorEastAsia"/>
          <w:b/>
          <w:color w:val="5B518E"/>
        </w:rPr>
        <w:t>Smoking cessation service</w:t>
      </w:r>
      <w:r w:rsidRPr="00C40D25">
        <w:rPr>
          <w:rFonts w:eastAsiaTheme="minorEastAsia"/>
          <w:bCs/>
          <w:color w:val="5B518E"/>
        </w:rPr>
        <w:t xml:space="preserve"> </w:t>
      </w:r>
      <w:r w:rsidRPr="00C40D25">
        <w:rPr>
          <w:rFonts w:eastAsiaTheme="minorEastAsia"/>
          <w:bCs/>
        </w:rPr>
        <w:t>(from January 2022)</w:t>
      </w:r>
    </w:p>
    <w:p w14:paraId="132AB573" w14:textId="676833CC" w:rsidR="008454CB" w:rsidRDefault="006A3ADB" w:rsidP="002254A3">
      <w:pPr>
        <w:spacing w:after="0"/>
        <w:ind w:left="1440"/>
        <w:jc w:val="both"/>
        <w:rPr>
          <w:rFonts w:eastAsiaTheme="minorEastAsia"/>
        </w:rPr>
      </w:pPr>
      <w:r>
        <w:rPr>
          <w:rFonts w:eastAsiaTheme="minorEastAsia"/>
          <w:bCs/>
          <w:noProof/>
        </w:rPr>
        <w:drawing>
          <wp:anchor distT="0" distB="0" distL="114300" distR="114300" simplePos="0" relativeHeight="251698182" behindDoc="1" locked="0" layoutInCell="1" allowOverlap="1" wp14:anchorId="3A0C8DF6" wp14:editId="3F225FFC">
            <wp:simplePos x="0" y="0"/>
            <wp:positionH relativeFrom="margin">
              <wp:posOffset>34119</wp:posOffset>
            </wp:positionH>
            <wp:positionV relativeFrom="paragraph">
              <wp:posOffset>26224</wp:posOffset>
            </wp:positionV>
            <wp:extent cx="762635" cy="762635"/>
            <wp:effectExtent l="0" t="0" r="0" b="0"/>
            <wp:wrapSquare wrapText="bothSides"/>
            <wp:docPr id="25" name="Graphic 25" descr="No smok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No smoking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r w:rsidR="008454CB" w:rsidRPr="00C40D25">
        <w:rPr>
          <w:rFonts w:eastAsiaTheme="minorEastAsia"/>
        </w:rPr>
        <w:t>Smoking remains a leading cause of illness in England, and a factor in COVID-19 outcomes. From January, NHS Trusts will be able to refer patients discharged from hospital to pharmacy to continue their smoking cessation care pathway. Pharmacies will offer medication and behavioural support, in line with the NHS Long Term Plan care model for tobacco addiction.</w:t>
      </w:r>
    </w:p>
    <w:p w14:paraId="22666F28" w14:textId="77777777" w:rsidR="002254A3" w:rsidRPr="008454CB" w:rsidRDefault="002254A3" w:rsidP="002254A3">
      <w:pPr>
        <w:spacing w:after="0"/>
        <w:ind w:left="1440"/>
        <w:jc w:val="both"/>
        <w:rPr>
          <w:rFonts w:eastAsiaTheme="minorEastAsia"/>
          <w:bCs/>
        </w:rPr>
      </w:pPr>
    </w:p>
    <w:p w14:paraId="687FB306" w14:textId="106AF082" w:rsidR="008454CB" w:rsidRPr="00C40D25" w:rsidRDefault="008454CB" w:rsidP="002254A3">
      <w:pPr>
        <w:spacing w:after="0"/>
        <w:jc w:val="both"/>
        <w:rPr>
          <w:rFonts w:eastAsiaTheme="minorEastAsia"/>
          <w:bCs/>
        </w:rPr>
      </w:pPr>
      <w:r>
        <w:rPr>
          <w:rFonts w:eastAsiaTheme="minorEastAsia"/>
          <w:b/>
          <w:color w:val="5B518E"/>
        </w:rPr>
        <w:t>New Medicine</w:t>
      </w:r>
      <w:r w:rsidRPr="00C40D25">
        <w:rPr>
          <w:rFonts w:eastAsiaTheme="minorEastAsia"/>
          <w:b/>
          <w:color w:val="5B518E"/>
        </w:rPr>
        <w:t xml:space="preserve"> </w:t>
      </w:r>
      <w:r>
        <w:rPr>
          <w:rFonts w:eastAsiaTheme="minorEastAsia"/>
          <w:b/>
          <w:color w:val="5B518E"/>
        </w:rPr>
        <w:t>S</w:t>
      </w:r>
      <w:r w:rsidRPr="00C40D25">
        <w:rPr>
          <w:rFonts w:eastAsiaTheme="minorEastAsia"/>
          <w:b/>
          <w:color w:val="5B518E"/>
        </w:rPr>
        <w:t>ervice</w:t>
      </w:r>
      <w:r w:rsidRPr="00C40D25">
        <w:rPr>
          <w:rFonts w:eastAsiaTheme="minorEastAsia"/>
          <w:bCs/>
          <w:color w:val="5B518E"/>
        </w:rPr>
        <w:t xml:space="preserve"> </w:t>
      </w:r>
      <w:r w:rsidRPr="00C40D25">
        <w:rPr>
          <w:rFonts w:eastAsiaTheme="minorEastAsia"/>
          <w:bCs/>
        </w:rPr>
        <w:t xml:space="preserve">(from </w:t>
      </w:r>
      <w:r>
        <w:rPr>
          <w:rFonts w:eastAsiaTheme="minorEastAsia"/>
          <w:bCs/>
        </w:rPr>
        <w:t>September</w:t>
      </w:r>
      <w:r w:rsidRPr="00C40D25">
        <w:rPr>
          <w:rFonts w:eastAsiaTheme="minorEastAsia"/>
          <w:bCs/>
        </w:rPr>
        <w:t xml:space="preserve"> 202</w:t>
      </w:r>
      <w:r>
        <w:rPr>
          <w:rFonts w:eastAsiaTheme="minorEastAsia"/>
          <w:bCs/>
        </w:rPr>
        <w:t>1</w:t>
      </w:r>
      <w:r w:rsidRPr="00C40D25">
        <w:rPr>
          <w:rFonts w:eastAsiaTheme="minorEastAsia"/>
          <w:bCs/>
        </w:rPr>
        <w:t>)</w:t>
      </w:r>
    </w:p>
    <w:p w14:paraId="4719C08A" w14:textId="65D7DA20" w:rsidR="006A3ADB" w:rsidRDefault="008454CB" w:rsidP="002254A3">
      <w:pPr>
        <w:spacing w:after="0"/>
        <w:jc w:val="both"/>
        <w:rPr>
          <w:rFonts w:eastAsiaTheme="minorEastAsia"/>
        </w:rPr>
      </w:pPr>
      <w:r w:rsidRPr="00C40D25">
        <w:rPr>
          <w:rFonts w:eastAsiaTheme="minorEastAsia"/>
        </w:rPr>
        <w:t xml:space="preserve">The NMS, which supports patients who have been newly prescribed a medicine to get the maximum benefit from it, </w:t>
      </w:r>
      <w:r>
        <w:rPr>
          <w:rFonts w:eastAsiaTheme="minorEastAsia"/>
        </w:rPr>
        <w:t>has</w:t>
      </w:r>
      <w:r w:rsidRPr="00C40D25">
        <w:rPr>
          <w:rFonts w:eastAsiaTheme="minorEastAsia"/>
        </w:rPr>
        <w:t xml:space="preserve"> be</w:t>
      </w:r>
      <w:r>
        <w:rPr>
          <w:rFonts w:eastAsiaTheme="minorEastAsia"/>
        </w:rPr>
        <w:t>en</w:t>
      </w:r>
      <w:r w:rsidRPr="00C40D25">
        <w:rPr>
          <w:rFonts w:eastAsiaTheme="minorEastAsia"/>
        </w:rPr>
        <w:t xml:space="preserve"> extended with a range of new patient and carer cohorts now eligible for the service. This will benefit people prescribed a new medicine for hypercholesterolaemia; osteoporosis; gout; heart failure; glaucoma; Parkinson’s disease; epilepsy and urinary incontinence or retention.</w:t>
      </w:r>
    </w:p>
    <w:p w14:paraId="24D7ED92" w14:textId="77777777" w:rsidR="003B5FF3" w:rsidRDefault="003B5FF3" w:rsidP="002254A3">
      <w:pPr>
        <w:spacing w:after="0"/>
        <w:jc w:val="both"/>
        <w:rPr>
          <w:rFonts w:eastAsiaTheme="minorEastAsia"/>
        </w:rPr>
      </w:pPr>
    </w:p>
    <w:p w14:paraId="0603DA81" w14:textId="12796D1A" w:rsidR="008454CB" w:rsidRDefault="008454CB" w:rsidP="002254A3">
      <w:pPr>
        <w:spacing w:after="0"/>
        <w:jc w:val="both"/>
        <w:rPr>
          <w:rFonts w:eastAsiaTheme="minorEastAsia"/>
        </w:rPr>
      </w:pPr>
      <w:r w:rsidRPr="004F4381">
        <w:t>The service can also now be offered to support parents</w:t>
      </w:r>
      <w:r w:rsidR="006A3ADB">
        <w:t xml:space="preserve"> </w:t>
      </w:r>
      <w:r w:rsidRPr="004F4381">
        <w:t>/</w:t>
      </w:r>
      <w:r w:rsidR="006A3ADB">
        <w:t xml:space="preserve"> </w:t>
      </w:r>
      <w:r w:rsidRPr="004F4381">
        <w:t>guardians</w:t>
      </w:r>
      <w:r w:rsidR="006A3ADB">
        <w:t xml:space="preserve"> </w:t>
      </w:r>
      <w:r w:rsidRPr="004F4381">
        <w:t>/</w:t>
      </w:r>
      <w:r w:rsidR="006A3ADB">
        <w:t xml:space="preserve"> </w:t>
      </w:r>
      <w:r w:rsidRPr="004F4381">
        <w:t>carers of children and adults newly prescribed eligible medicines who could benefit from the service, but where the patient is not able to provide informed consent.</w:t>
      </w:r>
      <w:r w:rsidRPr="004F4381">
        <w:rPr>
          <w:rFonts w:ascii="Helvetica" w:hAnsi="Helvetica"/>
        </w:rPr>
        <w:t> </w:t>
      </w:r>
    </w:p>
    <w:p w14:paraId="277E801A" w14:textId="77777777" w:rsidR="002254A3" w:rsidRDefault="002254A3" w:rsidP="000B670F">
      <w:pPr>
        <w:jc w:val="both"/>
        <w:rPr>
          <w:rFonts w:eastAsiaTheme="minorEastAsia"/>
          <w:b/>
          <w:bCs/>
          <w:color w:val="5B518E"/>
          <w:sz w:val="24"/>
          <w:szCs w:val="24"/>
        </w:rPr>
      </w:pPr>
    </w:p>
    <w:p w14:paraId="065C7B6C" w14:textId="62615D87" w:rsidR="008454CB" w:rsidRPr="00C40D25" w:rsidRDefault="008454CB" w:rsidP="002254A3">
      <w:pPr>
        <w:spacing w:after="0"/>
        <w:jc w:val="both"/>
        <w:rPr>
          <w:rFonts w:eastAsiaTheme="minorEastAsia"/>
          <w:b/>
          <w:bCs/>
          <w:color w:val="5B518E"/>
          <w:sz w:val="24"/>
          <w:szCs w:val="24"/>
        </w:rPr>
      </w:pPr>
      <w:r w:rsidRPr="00450B27">
        <w:rPr>
          <w:rFonts w:eastAsiaTheme="minorEastAsia"/>
          <w:b/>
          <w:bCs/>
          <w:color w:val="5B518E"/>
          <w:sz w:val="24"/>
          <w:szCs w:val="24"/>
        </w:rPr>
        <w:lastRenderedPageBreak/>
        <w:t xml:space="preserve">Pharmacies and quality </w:t>
      </w:r>
    </w:p>
    <w:p w14:paraId="4744D44F" w14:textId="67AE7AE7" w:rsidR="008454CB" w:rsidRDefault="008454CB" w:rsidP="002254A3">
      <w:pPr>
        <w:spacing w:after="0"/>
        <w:jc w:val="both"/>
        <w:rPr>
          <w:rFonts w:eastAsiaTheme="minorEastAsia"/>
        </w:rPr>
      </w:pPr>
      <w:r w:rsidRPr="00C40D25">
        <w:rPr>
          <w:rFonts w:eastAsiaTheme="minorEastAsia"/>
          <w:bCs/>
        </w:rPr>
        <w:t xml:space="preserve">In addition to these services, </w:t>
      </w:r>
      <w:r w:rsidRPr="00C40D25">
        <w:rPr>
          <w:rFonts w:eastAsiaTheme="minorEastAsia"/>
        </w:rPr>
        <w:t xml:space="preserve">most pharmacies will take part in the </w:t>
      </w:r>
      <w:r w:rsidRPr="006A3ADB">
        <w:rPr>
          <w:rFonts w:eastAsiaTheme="minorEastAsia"/>
          <w:b/>
          <w:bCs/>
          <w:color w:val="5B518E"/>
        </w:rPr>
        <w:t>Pharmacy Quality Scheme (PQS)</w:t>
      </w:r>
      <w:r w:rsidRPr="00C40D25">
        <w:rPr>
          <w:rFonts w:eastAsiaTheme="minorEastAsia"/>
        </w:rPr>
        <w:t xml:space="preserve"> which supports the delivery of the NHS Long Term Plan by rewarding community pharmacies for achieving set quality criteria. In 2021/22 many of pharmacy’s quality objectives focus on priorities supporting recovery from COVID-19. This will include actively promoting COVID-19 vaccinations, specifically in Black, Asian, minority ethnic and low uptake communities, and offering inhaler </w:t>
      </w:r>
      <w:r>
        <w:rPr>
          <w:rFonts w:eastAsiaTheme="minorEastAsia"/>
        </w:rPr>
        <w:t xml:space="preserve">technique </w:t>
      </w:r>
      <w:r w:rsidRPr="00C40D25">
        <w:rPr>
          <w:rFonts w:eastAsiaTheme="minorEastAsia"/>
        </w:rPr>
        <w:t xml:space="preserve">checks to people prescribed a new inhaler who missed out on checks due to COVID-19. </w:t>
      </w:r>
    </w:p>
    <w:p w14:paraId="18FE722A" w14:textId="77777777" w:rsidR="002254A3" w:rsidRDefault="002254A3" w:rsidP="006A3ADB">
      <w:pPr>
        <w:spacing w:after="0" w:line="240" w:lineRule="auto"/>
        <w:jc w:val="both"/>
        <w:rPr>
          <w:rFonts w:eastAsiaTheme="minorEastAsia"/>
        </w:rPr>
      </w:pPr>
    </w:p>
    <w:p w14:paraId="3691AFE5" w14:textId="470EF095" w:rsidR="008454CB" w:rsidRPr="00C40D25" w:rsidRDefault="006A3ADB" w:rsidP="000B670F">
      <w:pPr>
        <w:jc w:val="both"/>
        <w:rPr>
          <w:rFonts w:eastAsiaTheme="minorEastAsia"/>
        </w:rPr>
      </w:pPr>
      <w:r>
        <w:rPr>
          <w:rFonts w:eastAsiaTheme="minorEastAsia"/>
          <w:b/>
          <w:bCs/>
          <w:noProof/>
          <w:color w:val="5B518E"/>
        </w:rPr>
        <w:drawing>
          <wp:anchor distT="0" distB="0" distL="114300" distR="114300" simplePos="0" relativeHeight="251699206" behindDoc="1" locked="0" layoutInCell="1" allowOverlap="1" wp14:anchorId="68144C67" wp14:editId="76448EAC">
            <wp:simplePos x="0" y="0"/>
            <wp:positionH relativeFrom="margin">
              <wp:posOffset>5806895</wp:posOffset>
            </wp:positionH>
            <wp:positionV relativeFrom="paragraph">
              <wp:posOffset>170910</wp:posOffset>
            </wp:positionV>
            <wp:extent cx="681990" cy="681990"/>
            <wp:effectExtent l="0" t="0" r="0" b="0"/>
            <wp:wrapTight wrapText="bothSides">
              <wp:wrapPolygon edited="0">
                <wp:start x="14480" y="603"/>
                <wp:lineTo x="5430" y="10257"/>
                <wp:lineTo x="603" y="20514"/>
                <wp:lineTo x="3620" y="20514"/>
                <wp:lineTo x="4223" y="19307"/>
                <wp:lineTo x="14480" y="12067"/>
                <wp:lineTo x="14480" y="11464"/>
                <wp:lineTo x="19307" y="7844"/>
                <wp:lineTo x="20514" y="4827"/>
                <wp:lineTo x="18101" y="603"/>
                <wp:lineTo x="14480" y="603"/>
              </wp:wrapPolygon>
            </wp:wrapTight>
            <wp:docPr id="26" name="Graphic 26"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Needle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rsidR="008454CB" w:rsidRPr="00C40D25">
        <w:rPr>
          <w:rFonts w:eastAsiaTheme="minorEastAsia"/>
        </w:rPr>
        <w:t>In addition:</w:t>
      </w:r>
    </w:p>
    <w:p w14:paraId="0E15ABD4" w14:textId="056D241C" w:rsidR="008454CB" w:rsidRPr="00C40D25" w:rsidRDefault="008454CB" w:rsidP="6CAEDF5B">
      <w:pPr>
        <w:numPr>
          <w:ilvl w:val="0"/>
          <w:numId w:val="42"/>
        </w:numPr>
        <w:spacing w:after="6" w:line="249" w:lineRule="auto"/>
        <w:ind w:right="660"/>
        <w:jc w:val="both"/>
        <w:rPr>
          <w:rFonts w:eastAsiaTheme="minorEastAsia"/>
        </w:rPr>
      </w:pPr>
      <w:r w:rsidRPr="6CAEDF5B">
        <w:rPr>
          <w:rFonts w:eastAsiaTheme="minorEastAsia"/>
        </w:rPr>
        <w:t xml:space="preserve">Pharmacy teams will carry out an </w:t>
      </w:r>
      <w:r w:rsidRPr="6CAEDF5B">
        <w:rPr>
          <w:rFonts w:eastAsiaTheme="minorEastAsia"/>
          <w:b/>
          <w:bCs/>
          <w:color w:val="5B518E"/>
        </w:rPr>
        <w:t>anticoagulant audit</w:t>
      </w:r>
      <w:r w:rsidRPr="6CAEDF5B">
        <w:rPr>
          <w:rFonts w:eastAsiaTheme="minorEastAsia"/>
          <w:color w:val="5B518E"/>
        </w:rPr>
        <w:t>.</w:t>
      </w:r>
    </w:p>
    <w:p w14:paraId="706D8A00" w14:textId="2767FA55" w:rsidR="008454CB" w:rsidRPr="00C40D25" w:rsidRDefault="008454CB" w:rsidP="6CAEDF5B">
      <w:pPr>
        <w:numPr>
          <w:ilvl w:val="0"/>
          <w:numId w:val="42"/>
        </w:numPr>
        <w:spacing w:after="6" w:line="249" w:lineRule="auto"/>
        <w:ind w:right="660"/>
        <w:jc w:val="both"/>
        <w:rPr>
          <w:rFonts w:eastAsiaTheme="minorEastAsia"/>
        </w:rPr>
      </w:pPr>
      <w:r w:rsidRPr="6CAEDF5B">
        <w:rPr>
          <w:rFonts w:eastAsiaTheme="minorEastAsia"/>
        </w:rPr>
        <w:t xml:space="preserve">They will collaborate with Primary Care Networks on increasing uptake of </w:t>
      </w:r>
      <w:r w:rsidRPr="6CAEDF5B">
        <w:rPr>
          <w:rFonts w:eastAsiaTheme="minorEastAsia"/>
          <w:b/>
          <w:bCs/>
          <w:color w:val="5B518E"/>
        </w:rPr>
        <w:t>flu vaccinations</w:t>
      </w:r>
      <w:r w:rsidRPr="6CAEDF5B">
        <w:rPr>
          <w:rFonts w:eastAsiaTheme="minorEastAsia"/>
          <w:color w:val="5B518E"/>
        </w:rPr>
        <w:t>.</w:t>
      </w:r>
    </w:p>
    <w:p w14:paraId="355425BA" w14:textId="733FEBC3" w:rsidR="008454CB" w:rsidRPr="00C40D25" w:rsidRDefault="006A3ADB" w:rsidP="6CAEDF5B">
      <w:pPr>
        <w:numPr>
          <w:ilvl w:val="0"/>
          <w:numId w:val="42"/>
        </w:numPr>
        <w:spacing w:after="6" w:line="249" w:lineRule="auto"/>
        <w:ind w:right="660"/>
        <w:jc w:val="both"/>
        <w:rPr>
          <w:rFonts w:eastAsiaTheme="minorEastAsia"/>
        </w:rPr>
      </w:pPr>
      <w:r>
        <w:rPr>
          <w:rFonts w:eastAsiaTheme="minorEastAsia"/>
          <w:noProof/>
        </w:rPr>
        <w:drawing>
          <wp:anchor distT="0" distB="0" distL="114300" distR="114300" simplePos="0" relativeHeight="251707398" behindDoc="0" locked="0" layoutInCell="1" allowOverlap="1" wp14:anchorId="6941E34E" wp14:editId="099D6114">
            <wp:simplePos x="0" y="0"/>
            <wp:positionH relativeFrom="column">
              <wp:posOffset>5765165</wp:posOffset>
            </wp:positionH>
            <wp:positionV relativeFrom="paragraph">
              <wp:posOffset>153386</wp:posOffset>
            </wp:positionV>
            <wp:extent cx="709295" cy="709295"/>
            <wp:effectExtent l="0" t="0" r="0" b="0"/>
            <wp:wrapSquare wrapText="bothSides"/>
            <wp:docPr id="11" name="Graphic 11" descr="Sc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cale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8454CB" w:rsidRPr="6CAEDF5B">
        <w:rPr>
          <w:rFonts w:eastAsiaTheme="minorEastAsia"/>
        </w:rPr>
        <w:t>Patients prescribed</w:t>
      </w:r>
      <w:r w:rsidR="008454CB" w:rsidRPr="6CAEDF5B">
        <w:rPr>
          <w:rFonts w:eastAsiaTheme="minorEastAsia"/>
          <w:color w:val="5B518E"/>
        </w:rPr>
        <w:t xml:space="preserve"> </w:t>
      </w:r>
      <w:r w:rsidR="008454CB" w:rsidRPr="6CAEDF5B">
        <w:rPr>
          <w:rFonts w:eastAsiaTheme="minorEastAsia"/>
          <w:b/>
          <w:bCs/>
          <w:color w:val="5B518E"/>
        </w:rPr>
        <w:t>antibiotics</w:t>
      </w:r>
      <w:r w:rsidR="008454CB" w:rsidRPr="6CAEDF5B">
        <w:rPr>
          <w:rFonts w:eastAsiaTheme="minorEastAsia"/>
          <w:color w:val="5B518E"/>
        </w:rPr>
        <w:t xml:space="preserve"> </w:t>
      </w:r>
      <w:r w:rsidR="008454CB" w:rsidRPr="6CAEDF5B">
        <w:rPr>
          <w:rFonts w:eastAsiaTheme="minorEastAsia"/>
        </w:rPr>
        <w:t>will be reviewed to help ensure safe and effective use.</w:t>
      </w:r>
    </w:p>
    <w:p w14:paraId="783810A2" w14:textId="638F52FE" w:rsidR="008454CB" w:rsidRPr="00C40D25" w:rsidRDefault="008454CB" w:rsidP="6CAEDF5B">
      <w:pPr>
        <w:numPr>
          <w:ilvl w:val="0"/>
          <w:numId w:val="42"/>
        </w:numPr>
        <w:spacing w:after="6" w:line="249" w:lineRule="auto"/>
        <w:ind w:right="660"/>
        <w:jc w:val="both"/>
        <w:rPr>
          <w:rFonts w:eastAsiaTheme="minorEastAsia"/>
        </w:rPr>
      </w:pPr>
      <w:r w:rsidRPr="6CAEDF5B">
        <w:rPr>
          <w:rFonts w:eastAsiaTheme="minorEastAsia"/>
        </w:rPr>
        <w:t xml:space="preserve">Pharmacy teams will proactively discuss </w:t>
      </w:r>
      <w:r w:rsidRPr="6CAEDF5B">
        <w:rPr>
          <w:rFonts w:eastAsiaTheme="minorEastAsia"/>
          <w:b/>
          <w:bCs/>
          <w:color w:val="5B518E"/>
        </w:rPr>
        <w:t xml:space="preserve">weight management </w:t>
      </w:r>
      <w:r w:rsidRPr="6CAEDF5B">
        <w:rPr>
          <w:rFonts w:eastAsiaTheme="minorEastAsia"/>
        </w:rPr>
        <w:t>with patients.</w:t>
      </w:r>
    </w:p>
    <w:p w14:paraId="19E2FC4F" w14:textId="6507B1E1" w:rsidR="008454CB" w:rsidRPr="00C40D25" w:rsidRDefault="008454CB" w:rsidP="6CAEDF5B">
      <w:pPr>
        <w:numPr>
          <w:ilvl w:val="0"/>
          <w:numId w:val="42"/>
        </w:numPr>
        <w:spacing w:after="6" w:line="249" w:lineRule="auto"/>
        <w:ind w:right="660"/>
        <w:jc w:val="both"/>
        <w:rPr>
          <w:rFonts w:eastAsiaTheme="minorEastAsia"/>
        </w:rPr>
      </w:pPr>
      <w:r w:rsidRPr="6CAEDF5B">
        <w:rPr>
          <w:rFonts w:eastAsiaTheme="minorEastAsia"/>
        </w:rPr>
        <w:t xml:space="preserve">Patients without personalised </w:t>
      </w:r>
      <w:r w:rsidRPr="6CAEDF5B">
        <w:rPr>
          <w:rFonts w:eastAsiaTheme="minorEastAsia"/>
          <w:b/>
          <w:bCs/>
          <w:color w:val="5B518E"/>
        </w:rPr>
        <w:t xml:space="preserve">asthma action plans </w:t>
      </w:r>
      <w:r w:rsidRPr="6CAEDF5B">
        <w:rPr>
          <w:rFonts w:eastAsiaTheme="minorEastAsia"/>
        </w:rPr>
        <w:t>will be referred for support.</w:t>
      </w:r>
    </w:p>
    <w:p w14:paraId="2D4A9A45" w14:textId="1F73F4EC" w:rsidR="008454CB" w:rsidRDefault="008454CB" w:rsidP="003B5FF3">
      <w:pPr>
        <w:numPr>
          <w:ilvl w:val="0"/>
          <w:numId w:val="42"/>
        </w:numPr>
        <w:spacing w:after="6" w:line="249" w:lineRule="auto"/>
        <w:ind w:right="660"/>
        <w:jc w:val="both"/>
        <w:rPr>
          <w:rFonts w:eastAsiaTheme="minorEastAsia"/>
        </w:rPr>
      </w:pPr>
      <w:r w:rsidRPr="6CAEDF5B">
        <w:rPr>
          <w:rFonts w:eastAsiaTheme="minorEastAsia"/>
        </w:rPr>
        <w:t xml:space="preserve">Pharmacy teams will talk to people about the </w:t>
      </w:r>
      <w:r w:rsidRPr="6CAEDF5B">
        <w:rPr>
          <w:rFonts w:eastAsiaTheme="minorEastAsia"/>
          <w:b/>
          <w:bCs/>
          <w:color w:val="5B518E"/>
        </w:rPr>
        <w:t xml:space="preserve">environmental benefits </w:t>
      </w:r>
      <w:r w:rsidRPr="6CAEDF5B">
        <w:rPr>
          <w:rFonts w:eastAsiaTheme="minorEastAsia"/>
        </w:rPr>
        <w:t xml:space="preserve">of safe disposal of used or unwanted inhaler devices. </w:t>
      </w:r>
    </w:p>
    <w:p w14:paraId="3E87CE76" w14:textId="77777777" w:rsidR="003B5FF3" w:rsidRPr="003B5FF3" w:rsidRDefault="003B5FF3" w:rsidP="003B5FF3">
      <w:pPr>
        <w:spacing w:after="6" w:line="249" w:lineRule="auto"/>
        <w:ind w:left="720" w:right="660"/>
        <w:jc w:val="both"/>
        <w:rPr>
          <w:rFonts w:eastAsiaTheme="minorEastAsia"/>
        </w:rPr>
      </w:pPr>
    </w:p>
    <w:p w14:paraId="220D0CCE" w14:textId="04E07590" w:rsidR="008454CB" w:rsidRPr="00450B27" w:rsidRDefault="008454CB" w:rsidP="000B670F">
      <w:pPr>
        <w:spacing w:after="0" w:line="240" w:lineRule="auto"/>
        <w:ind w:right="658"/>
        <w:jc w:val="both"/>
        <w:rPr>
          <w:rFonts w:eastAsia="Times New Roman" w:cstheme="minorHAnsi"/>
          <w:b/>
          <w:bCs/>
          <w:color w:val="0E101A"/>
          <w:sz w:val="24"/>
          <w:szCs w:val="24"/>
        </w:rPr>
      </w:pPr>
      <w:bookmarkStart w:id="2" w:name="_Hlk83890016"/>
      <w:r>
        <w:rPr>
          <w:rFonts w:eastAsia="Times New Roman" w:cstheme="minorHAnsi"/>
          <w:b/>
          <w:bCs/>
          <w:color w:val="5B518E"/>
          <w:sz w:val="24"/>
          <w:szCs w:val="24"/>
        </w:rPr>
        <w:t>Regulatory and o</w:t>
      </w:r>
      <w:r w:rsidRPr="00450B27">
        <w:rPr>
          <w:rFonts w:eastAsia="Times New Roman" w:cstheme="minorHAnsi"/>
          <w:b/>
          <w:bCs/>
          <w:color w:val="5B518E"/>
          <w:sz w:val="24"/>
          <w:szCs w:val="24"/>
        </w:rPr>
        <w:t xml:space="preserve">ther CPCF </w:t>
      </w:r>
      <w:r>
        <w:rPr>
          <w:rFonts w:eastAsia="Times New Roman" w:cstheme="minorHAnsi"/>
          <w:b/>
          <w:bCs/>
          <w:color w:val="5B518E"/>
          <w:sz w:val="24"/>
          <w:szCs w:val="24"/>
        </w:rPr>
        <w:t>c</w:t>
      </w:r>
      <w:r w:rsidRPr="00450B27">
        <w:rPr>
          <w:rFonts w:eastAsia="Times New Roman" w:cstheme="minorHAnsi"/>
          <w:b/>
          <w:bCs/>
          <w:color w:val="5B518E"/>
          <w:sz w:val="24"/>
          <w:szCs w:val="24"/>
        </w:rPr>
        <w:t>hanges</w:t>
      </w:r>
    </w:p>
    <w:p w14:paraId="69B10D1B" w14:textId="53BDA8FF" w:rsidR="008454CB" w:rsidRDefault="008454CB" w:rsidP="000B670F">
      <w:pPr>
        <w:spacing w:after="0" w:line="240" w:lineRule="auto"/>
        <w:ind w:right="658"/>
        <w:jc w:val="both"/>
        <w:rPr>
          <w:rFonts w:eastAsia="Times New Roman" w:cstheme="minorHAnsi"/>
          <w:color w:val="0E101A"/>
        </w:rPr>
      </w:pPr>
      <w:r>
        <w:rPr>
          <w:rFonts w:eastAsia="Times New Roman" w:cstheme="minorHAnsi"/>
          <w:color w:val="0E101A"/>
        </w:rPr>
        <w:t xml:space="preserve">Various regulatory and associated changes will be made or are planned. These will mostly impact pharmacies, but they may change working practices, and some might ultimately lead to changes and improvements in the ways that patients receive pharmaceutical services. In particular: </w:t>
      </w:r>
    </w:p>
    <w:p w14:paraId="4850AF95" w14:textId="6D59CE89" w:rsidR="008454CB" w:rsidRDefault="00962443" w:rsidP="000B670F">
      <w:pPr>
        <w:spacing w:after="0" w:line="240" w:lineRule="auto"/>
        <w:ind w:right="658"/>
        <w:jc w:val="both"/>
        <w:rPr>
          <w:rFonts w:eastAsia="Times New Roman" w:cstheme="minorHAnsi"/>
          <w:color w:val="0E101A"/>
        </w:rPr>
      </w:pPr>
      <w:r>
        <w:rPr>
          <w:rFonts w:eastAsia="Times New Roman" w:cstheme="minorHAnsi"/>
          <w:noProof/>
          <w:color w:val="0E101A"/>
        </w:rPr>
        <w:drawing>
          <wp:anchor distT="0" distB="0" distL="114300" distR="114300" simplePos="0" relativeHeight="251708422" behindDoc="0" locked="0" layoutInCell="1" allowOverlap="1" wp14:anchorId="71F51B9D" wp14:editId="554F0943">
            <wp:simplePos x="0" y="0"/>
            <wp:positionH relativeFrom="column">
              <wp:posOffset>5792612</wp:posOffset>
            </wp:positionH>
            <wp:positionV relativeFrom="paragraph">
              <wp:posOffset>138780</wp:posOffset>
            </wp:positionV>
            <wp:extent cx="681990" cy="681990"/>
            <wp:effectExtent l="0" t="0" r="3810" b="0"/>
            <wp:wrapSquare wrapText="bothSides"/>
            <wp:docPr id="12" name="Graphic 1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urgical mask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81990" cy="681990"/>
                    </a:xfrm>
                    <a:prstGeom prst="rect">
                      <a:avLst/>
                    </a:prstGeom>
                  </pic:spPr>
                </pic:pic>
              </a:graphicData>
            </a:graphic>
            <wp14:sizeRelH relativeFrom="margin">
              <wp14:pctWidth>0</wp14:pctWidth>
            </wp14:sizeRelH>
            <wp14:sizeRelV relativeFrom="margin">
              <wp14:pctHeight>0</wp14:pctHeight>
            </wp14:sizeRelV>
          </wp:anchor>
        </w:drawing>
      </w:r>
    </w:p>
    <w:p w14:paraId="5A6CBABF" w14:textId="61C8BF25" w:rsidR="008454CB" w:rsidRPr="006D1749" w:rsidRDefault="008454CB" w:rsidP="6CAEDF5B">
      <w:pPr>
        <w:pStyle w:val="ListParagraph"/>
        <w:numPr>
          <w:ilvl w:val="0"/>
          <w:numId w:val="43"/>
        </w:numPr>
        <w:spacing w:after="0" w:line="240" w:lineRule="auto"/>
        <w:ind w:right="658"/>
        <w:jc w:val="both"/>
        <w:rPr>
          <w:rFonts w:eastAsia="Times New Roman"/>
          <w:color w:val="0E101A"/>
        </w:rPr>
      </w:pPr>
      <w:r w:rsidRPr="6CAEDF5B">
        <w:rPr>
          <w:rFonts w:eastAsia="Times New Roman"/>
          <w:color w:val="0E101A"/>
        </w:rPr>
        <w:t>Changes will be made to the</w:t>
      </w:r>
      <w:r w:rsidRPr="6CAEDF5B">
        <w:rPr>
          <w:rFonts w:ascii="Arial" w:eastAsia="Times New Roman" w:hAnsi="Arial" w:cs="Arial"/>
          <w:sz w:val="24"/>
          <w:szCs w:val="24"/>
          <w:lang w:eastAsia="en-GB"/>
        </w:rPr>
        <w:t xml:space="preserve"> </w:t>
      </w:r>
      <w:r w:rsidRPr="6CAEDF5B">
        <w:rPr>
          <w:rFonts w:eastAsia="Times New Roman"/>
          <w:color w:val="0E101A"/>
        </w:rPr>
        <w:t>NHS (Pharmaceutical and Local Pharmaceutical Services) Regulations 2013 to include a pandemic provision: this relates to the protection of staff and patients in a pandemic.</w:t>
      </w:r>
    </w:p>
    <w:p w14:paraId="18452681" w14:textId="6C8431B2" w:rsidR="008454CB" w:rsidRPr="006D1749" w:rsidRDefault="008454CB" w:rsidP="6CAEDF5B">
      <w:pPr>
        <w:numPr>
          <w:ilvl w:val="0"/>
          <w:numId w:val="42"/>
        </w:numPr>
        <w:spacing w:after="6" w:line="249" w:lineRule="auto"/>
        <w:ind w:right="660"/>
        <w:jc w:val="both"/>
        <w:rPr>
          <w:rFonts w:eastAsiaTheme="minorEastAsia"/>
        </w:rPr>
      </w:pPr>
      <w:r w:rsidRPr="6CAEDF5B">
        <w:rPr>
          <w:rFonts w:eastAsia="Times New Roman"/>
          <w:color w:val="0E101A"/>
        </w:rPr>
        <w:t xml:space="preserve">There is also agreement to continue conversations with DHSC on regulation of the dispensing and supply of medicines, taking into account novel ways of undertaking these services.  </w:t>
      </w:r>
    </w:p>
    <w:p w14:paraId="2FE2D2AB" w14:textId="756A090E" w:rsidR="008454CB" w:rsidRDefault="008454CB" w:rsidP="6CAEDF5B">
      <w:pPr>
        <w:numPr>
          <w:ilvl w:val="0"/>
          <w:numId w:val="42"/>
        </w:numPr>
        <w:spacing w:after="6" w:line="249" w:lineRule="auto"/>
        <w:ind w:right="660"/>
        <w:jc w:val="both"/>
        <w:rPr>
          <w:rFonts w:eastAsiaTheme="minorEastAsia"/>
        </w:rPr>
      </w:pPr>
      <w:r w:rsidRPr="6CAEDF5B">
        <w:rPr>
          <w:rFonts w:eastAsia="Times New Roman"/>
          <w:color w:val="0E101A"/>
        </w:rPr>
        <w:t>We will also progress discussions on a suitable process to investigate allegations of prescription direction</w:t>
      </w:r>
      <w:r w:rsidRPr="6CAEDF5B">
        <w:rPr>
          <w:rFonts w:eastAsiaTheme="minorEastAsia"/>
        </w:rPr>
        <w:t xml:space="preserve">: this helps to ensure that patients retain free choice of which pharmacy to use. </w:t>
      </w:r>
    </w:p>
    <w:p w14:paraId="2BB8BF9E" w14:textId="218EE2EA" w:rsidR="008454CB" w:rsidRPr="006D1749" w:rsidRDefault="008454CB" w:rsidP="6CAEDF5B">
      <w:pPr>
        <w:numPr>
          <w:ilvl w:val="0"/>
          <w:numId w:val="42"/>
        </w:numPr>
        <w:spacing w:after="6" w:line="249" w:lineRule="auto"/>
        <w:ind w:right="660"/>
        <w:jc w:val="both"/>
        <w:rPr>
          <w:rFonts w:eastAsiaTheme="minorEastAsia"/>
        </w:rPr>
      </w:pPr>
      <w:r w:rsidRPr="6CAEDF5B">
        <w:rPr>
          <w:rFonts w:eastAsia="Times New Roman"/>
          <w:color w:val="0E101A"/>
        </w:rPr>
        <w:t xml:space="preserve">DHSC has also confirmed its intention to progress legislation on original pack dispensing of medicines, and </w:t>
      </w:r>
      <w:r w:rsidRPr="6CAEDF5B">
        <w:rPr>
          <w:rFonts w:eastAsiaTheme="minorEastAsia"/>
        </w:rPr>
        <w:t>t</w:t>
      </w:r>
      <w:r w:rsidRPr="6CAEDF5B">
        <w:rPr>
          <w:rFonts w:eastAsia="Times New Roman"/>
          <w:color w:val="0E101A"/>
        </w:rPr>
        <w:t xml:space="preserve">he wider use of hub and spoke technology. </w:t>
      </w:r>
    </w:p>
    <w:p w14:paraId="699BCD8A" w14:textId="7710DE84" w:rsidR="008454CB" w:rsidRDefault="008454CB" w:rsidP="000B670F">
      <w:pPr>
        <w:spacing w:after="0" w:line="240" w:lineRule="auto"/>
        <w:ind w:right="658"/>
        <w:jc w:val="both"/>
        <w:rPr>
          <w:rFonts w:eastAsia="Times New Roman" w:cstheme="minorHAnsi"/>
          <w:color w:val="0E101A"/>
        </w:rPr>
      </w:pPr>
    </w:p>
    <w:p w14:paraId="32537922" w14:textId="108495BA" w:rsidR="008454CB" w:rsidRDefault="008454CB" w:rsidP="00962443">
      <w:pPr>
        <w:spacing w:after="0" w:line="240" w:lineRule="auto"/>
        <w:ind w:right="118"/>
        <w:jc w:val="both"/>
        <w:rPr>
          <w:rFonts w:eastAsia="Times New Roman" w:cstheme="minorHAnsi"/>
          <w:color w:val="0E101A"/>
        </w:rPr>
      </w:pPr>
      <w:r>
        <w:rPr>
          <w:rFonts w:eastAsia="Times New Roman" w:cstheme="minorHAnsi"/>
          <w:color w:val="0E101A"/>
        </w:rPr>
        <w:t>In addition, the</w:t>
      </w:r>
      <w:r w:rsidDel="00CE0BE6">
        <w:rPr>
          <w:rFonts w:eastAsia="Times New Roman" w:cstheme="minorHAnsi"/>
          <w:color w:val="0E101A"/>
        </w:rPr>
        <w:t xml:space="preserve"> </w:t>
      </w:r>
      <w:r w:rsidRPr="00351EE9">
        <w:rPr>
          <w:rFonts w:eastAsia="Times New Roman" w:cstheme="minorHAnsi"/>
          <w:b/>
          <w:bCs/>
          <w:color w:val="5B518E"/>
        </w:rPr>
        <w:t>Pharmacy Access Scheme (</w:t>
      </w:r>
      <w:proofErr w:type="spellStart"/>
      <w:r w:rsidRPr="00351EE9">
        <w:rPr>
          <w:rFonts w:eastAsia="Times New Roman" w:cstheme="minorHAnsi"/>
          <w:b/>
          <w:bCs/>
          <w:color w:val="5B518E"/>
        </w:rPr>
        <w:t>PhAS</w:t>
      </w:r>
      <w:proofErr w:type="spellEnd"/>
      <w:r w:rsidRPr="00351EE9">
        <w:rPr>
          <w:rFonts w:eastAsia="Times New Roman" w:cstheme="minorHAnsi"/>
          <w:b/>
          <w:bCs/>
          <w:color w:val="5B518E"/>
        </w:rPr>
        <w:t>)</w:t>
      </w:r>
      <w:r>
        <w:rPr>
          <w:rFonts w:eastAsia="Times New Roman" w:cstheme="minorHAnsi"/>
          <w:b/>
          <w:bCs/>
          <w:color w:val="5B518E"/>
        </w:rPr>
        <w:t xml:space="preserve"> </w:t>
      </w:r>
      <w:r w:rsidRPr="00DA6A60">
        <w:rPr>
          <w:rFonts w:eastAsia="Times New Roman" w:cstheme="minorHAnsi"/>
        </w:rPr>
        <w:t xml:space="preserve">will be revised from January 2022. The scheme seeks to ensure </w:t>
      </w:r>
      <w:r w:rsidRPr="00351EE9">
        <w:rPr>
          <w:rFonts w:eastAsia="Times New Roman" w:cstheme="minorHAnsi"/>
          <w:color w:val="0E101A"/>
        </w:rPr>
        <w:t xml:space="preserve">that </w:t>
      </w:r>
      <w:r>
        <w:rPr>
          <w:rFonts w:eastAsia="Times New Roman" w:cstheme="minorHAnsi"/>
          <w:color w:val="0E101A"/>
        </w:rPr>
        <w:t>all patients have</w:t>
      </w:r>
      <w:r w:rsidRPr="00351EE9">
        <w:rPr>
          <w:rFonts w:eastAsia="Times New Roman" w:cstheme="minorHAnsi"/>
          <w:color w:val="0E101A"/>
        </w:rPr>
        <w:t xml:space="preserve"> access to a pharmacy, even in remote areas.</w:t>
      </w:r>
      <w:r>
        <w:rPr>
          <w:rFonts w:eastAsia="Times New Roman" w:cstheme="minorHAnsi"/>
          <w:color w:val="0E101A"/>
        </w:rPr>
        <w:t xml:space="preserve"> </w:t>
      </w:r>
      <w:bookmarkEnd w:id="2"/>
    </w:p>
    <w:p w14:paraId="42716EC8" w14:textId="2FC86819" w:rsidR="008454CB" w:rsidRPr="008454CB" w:rsidRDefault="008454CB" w:rsidP="000B670F">
      <w:pPr>
        <w:spacing w:after="0" w:line="240" w:lineRule="auto"/>
        <w:ind w:right="658"/>
        <w:jc w:val="both"/>
        <w:rPr>
          <w:rFonts w:eastAsia="Times New Roman" w:cstheme="minorHAnsi"/>
          <w:color w:val="0E101A"/>
        </w:rPr>
      </w:pPr>
    </w:p>
    <w:p w14:paraId="475ADF2C" w14:textId="217A049F" w:rsidR="008454CB" w:rsidRPr="00C40D25" w:rsidRDefault="008454CB" w:rsidP="002254A3">
      <w:pPr>
        <w:spacing w:after="0"/>
        <w:jc w:val="both"/>
        <w:rPr>
          <w:rFonts w:eastAsiaTheme="minorEastAsia"/>
          <w:b/>
          <w:bCs/>
          <w:color w:val="5B518E"/>
          <w:sz w:val="24"/>
          <w:szCs w:val="24"/>
        </w:rPr>
      </w:pPr>
      <w:r w:rsidRPr="00C40D25">
        <w:rPr>
          <w:rFonts w:eastAsiaTheme="minorEastAsia"/>
          <w:b/>
          <w:bCs/>
          <w:color w:val="5B518E"/>
          <w:sz w:val="24"/>
          <w:szCs w:val="24"/>
        </w:rPr>
        <w:t xml:space="preserve">CPCF funding </w:t>
      </w:r>
    </w:p>
    <w:p w14:paraId="5403FD0B" w14:textId="03A91849" w:rsidR="008454CB" w:rsidRDefault="00A46640" w:rsidP="002254A3">
      <w:pPr>
        <w:spacing w:after="0"/>
        <w:ind w:left="1440"/>
        <w:jc w:val="both"/>
        <w:rPr>
          <w:rFonts w:eastAsiaTheme="minorEastAsia"/>
        </w:rPr>
      </w:pPr>
      <w:bookmarkStart w:id="3" w:name="_Hlk83887535"/>
      <w:r>
        <w:rPr>
          <w:rFonts w:eastAsiaTheme="minorEastAsia"/>
          <w:noProof/>
        </w:rPr>
        <w:drawing>
          <wp:anchor distT="0" distB="0" distL="114300" distR="114300" simplePos="0" relativeHeight="251659776" behindDoc="1" locked="0" layoutInCell="1" allowOverlap="1" wp14:anchorId="212A5B5A" wp14:editId="23CA4862">
            <wp:simplePos x="0" y="0"/>
            <wp:positionH relativeFrom="column">
              <wp:posOffset>60932</wp:posOffset>
            </wp:positionH>
            <wp:positionV relativeFrom="paragraph">
              <wp:posOffset>689355</wp:posOffset>
            </wp:positionV>
            <wp:extent cx="582295" cy="582295"/>
            <wp:effectExtent l="0" t="0" r="0" b="0"/>
            <wp:wrapTight wrapText="bothSides">
              <wp:wrapPolygon edited="0">
                <wp:start x="9186" y="707"/>
                <wp:lineTo x="6360" y="5653"/>
                <wp:lineTo x="4240" y="11306"/>
                <wp:lineTo x="4240" y="17666"/>
                <wp:lineTo x="5653" y="19080"/>
                <wp:lineTo x="10600" y="20493"/>
                <wp:lineTo x="17666" y="20493"/>
                <wp:lineTo x="18373" y="19080"/>
                <wp:lineTo x="12013" y="14840"/>
                <wp:lineTo x="16253" y="4240"/>
                <wp:lineTo x="14133" y="707"/>
                <wp:lineTo x="9186" y="707"/>
              </wp:wrapPolygon>
            </wp:wrapTight>
            <wp:docPr id="1" name="Graphic 1" descr="Pou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und outlin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82295" cy="582295"/>
                    </a:xfrm>
                    <a:prstGeom prst="rect">
                      <a:avLst/>
                    </a:prstGeom>
                  </pic:spPr>
                </pic:pic>
              </a:graphicData>
            </a:graphic>
            <wp14:sizeRelH relativeFrom="page">
              <wp14:pctWidth>0</wp14:pctWidth>
            </wp14:sizeRelH>
            <wp14:sizeRelV relativeFrom="page">
              <wp14:pctHeight>0</wp14:pctHeight>
            </wp14:sizeRelV>
          </wp:anchor>
        </w:drawing>
      </w:r>
      <w:r w:rsidR="00201D13">
        <w:rPr>
          <w:rFonts w:eastAsiaTheme="minorEastAsia"/>
          <w:noProof/>
        </w:rPr>
        <w:drawing>
          <wp:anchor distT="0" distB="0" distL="114300" distR="114300" simplePos="0" relativeHeight="251657728" behindDoc="1" locked="0" layoutInCell="1" allowOverlap="1" wp14:anchorId="2F96D7BC" wp14:editId="37688B25">
            <wp:simplePos x="0" y="0"/>
            <wp:positionH relativeFrom="margin">
              <wp:posOffset>20082</wp:posOffset>
            </wp:positionH>
            <wp:positionV relativeFrom="paragraph">
              <wp:posOffset>8255</wp:posOffset>
            </wp:positionV>
            <wp:extent cx="681355" cy="681355"/>
            <wp:effectExtent l="0" t="0" r="0" b="0"/>
            <wp:wrapTight wrapText="bothSides">
              <wp:wrapPolygon edited="0">
                <wp:start x="3020" y="1812"/>
                <wp:lineTo x="1208" y="4227"/>
                <wp:lineTo x="604" y="13286"/>
                <wp:lineTo x="7851" y="18117"/>
                <wp:lineTo x="9059" y="19325"/>
                <wp:lineTo x="19325" y="19325"/>
                <wp:lineTo x="20533" y="18117"/>
                <wp:lineTo x="20533" y="12078"/>
                <wp:lineTo x="12682" y="1812"/>
                <wp:lineTo x="3020" y="1812"/>
              </wp:wrapPolygon>
            </wp:wrapTight>
            <wp:docPr id="28" name="Graphic 28" descr="Coi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Coins outline"/>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81355" cy="681355"/>
                    </a:xfrm>
                    <a:prstGeom prst="rect">
                      <a:avLst/>
                    </a:prstGeom>
                  </pic:spPr>
                </pic:pic>
              </a:graphicData>
            </a:graphic>
            <wp14:sizeRelH relativeFrom="page">
              <wp14:pctWidth>0</wp14:pctWidth>
            </wp14:sizeRelH>
            <wp14:sizeRelV relativeFrom="page">
              <wp14:pctHeight>0</wp14:pctHeight>
            </wp14:sizeRelV>
          </wp:anchor>
        </w:drawing>
      </w:r>
      <w:r w:rsidR="008454CB">
        <w:rPr>
          <w:rFonts w:eastAsiaTheme="minorEastAsia"/>
        </w:rPr>
        <w:t xml:space="preserve">When the five-year deal was agreed, community pharmacy funding was set at £2.592bn per year. Government also committed to working with PSNC on measures that would help to release capacity in the sector. Delivering all the services within that constrained funding envelope was always recognised to be a challenge for the sector, and with COVID-19 pressures and the lack of progress on capacity-releasing work for pharmacies, the situation is now even more challenging than had been anticipated. </w:t>
      </w:r>
      <w:bookmarkEnd w:id="3"/>
    </w:p>
    <w:p w14:paraId="4EE7D59A" w14:textId="77777777" w:rsidR="002254A3" w:rsidRDefault="002254A3" w:rsidP="000B670F">
      <w:pPr>
        <w:jc w:val="both"/>
        <w:rPr>
          <w:rFonts w:eastAsiaTheme="minorEastAsia"/>
        </w:rPr>
      </w:pPr>
    </w:p>
    <w:p w14:paraId="567D9EE1" w14:textId="77777777" w:rsidR="00962443" w:rsidRDefault="00962443" w:rsidP="002254A3">
      <w:pPr>
        <w:jc w:val="both"/>
        <w:rPr>
          <w:rFonts w:eastAsiaTheme="minorEastAsia"/>
        </w:rPr>
      </w:pPr>
    </w:p>
    <w:p w14:paraId="6C9E5D27" w14:textId="77777777" w:rsidR="00962443" w:rsidRDefault="00962443" w:rsidP="002254A3">
      <w:pPr>
        <w:jc w:val="both"/>
        <w:rPr>
          <w:rFonts w:eastAsiaTheme="minorEastAsia"/>
        </w:rPr>
      </w:pPr>
    </w:p>
    <w:p w14:paraId="4B91E885" w14:textId="2C44F601" w:rsidR="000B670F" w:rsidRPr="002254A3" w:rsidRDefault="008454CB" w:rsidP="00962443">
      <w:pPr>
        <w:spacing w:line="240" w:lineRule="auto"/>
        <w:jc w:val="both"/>
        <w:rPr>
          <w:rFonts w:eastAsiaTheme="minorEastAsia"/>
        </w:rPr>
      </w:pPr>
      <w:r w:rsidRPr="00C40D25">
        <w:rPr>
          <w:rFonts w:eastAsiaTheme="minorEastAsia"/>
        </w:rPr>
        <w:t>PSNC has been arguing strongly for an uplift in core pharmacy funding to take into account the chronic underfunding that the sector is experiencing, and in recognition of the significant financial and capacity challenges that all pharmacies are</w:t>
      </w:r>
      <w:r>
        <w:rPr>
          <w:rFonts w:eastAsiaTheme="minorEastAsia"/>
        </w:rPr>
        <w:t xml:space="preserve"> currently dealing with</w:t>
      </w:r>
      <w:r w:rsidRPr="00C40D25">
        <w:rPr>
          <w:rFonts w:eastAsiaTheme="minorEastAsia"/>
        </w:rPr>
        <w:t>. Unfortunately, the Government has rejected any uplift to the CPCF funding this year. This will pose considerable challenges for m</w:t>
      </w:r>
      <w:r>
        <w:rPr>
          <w:rFonts w:eastAsiaTheme="minorEastAsia"/>
        </w:rPr>
        <w:t>an</w:t>
      </w:r>
      <w:r w:rsidRPr="00C40D25">
        <w:rPr>
          <w:rFonts w:eastAsiaTheme="minorEastAsia"/>
        </w:rPr>
        <w:t>y pharmacy businesses as they try to embrace the positive service changes this year, while also managing cashflow as they pay back COVID</w:t>
      </w:r>
      <w:r>
        <w:rPr>
          <w:rFonts w:eastAsiaTheme="minorEastAsia"/>
        </w:rPr>
        <w:t>-19</w:t>
      </w:r>
      <w:r w:rsidRPr="00C40D25">
        <w:rPr>
          <w:rFonts w:eastAsiaTheme="minorEastAsia"/>
        </w:rPr>
        <w:t xml:space="preserve"> loans. </w:t>
      </w:r>
    </w:p>
    <w:p w14:paraId="36541B81" w14:textId="1982D77F" w:rsidR="008454CB" w:rsidRPr="00617E39" w:rsidRDefault="008454CB" w:rsidP="002254A3">
      <w:pPr>
        <w:spacing w:after="0" w:line="240" w:lineRule="auto"/>
        <w:jc w:val="both"/>
        <w:rPr>
          <w:rFonts w:eastAsiaTheme="minorEastAsia" w:cstheme="minorHAnsi"/>
          <w:b/>
          <w:bCs/>
          <w:color w:val="5B518E"/>
          <w:sz w:val="24"/>
          <w:szCs w:val="24"/>
        </w:rPr>
      </w:pPr>
      <w:r w:rsidRPr="00617E39">
        <w:rPr>
          <w:rFonts w:eastAsiaTheme="minorEastAsia" w:cstheme="minorHAnsi"/>
          <w:b/>
          <w:bCs/>
          <w:color w:val="5B518E"/>
          <w:sz w:val="24"/>
          <w:szCs w:val="24"/>
        </w:rPr>
        <w:t>Summary</w:t>
      </w:r>
    </w:p>
    <w:p w14:paraId="6DAABA0F" w14:textId="35F5104B" w:rsidR="002254A3" w:rsidRDefault="008454CB" w:rsidP="002254A3">
      <w:pPr>
        <w:spacing w:after="0" w:line="240" w:lineRule="auto"/>
        <w:jc w:val="both"/>
        <w:rPr>
          <w:rFonts w:eastAsiaTheme="minorEastAsia" w:cstheme="minorHAnsi"/>
        </w:rPr>
      </w:pPr>
      <w:r>
        <w:rPr>
          <w:rFonts w:eastAsiaTheme="minorEastAsia" w:cstheme="minorHAnsi"/>
        </w:rPr>
        <w:t xml:space="preserve">Building on the phenomenal performance of community pharmacies throughout the COVID-19 pandemic – juggling a range of new services while also managing the impact of the pandemic and supporting increasing numbers of walk-in patients – there are some really exciting elements to the plan for </w:t>
      </w:r>
      <w:r w:rsidRPr="004D64DE">
        <w:rPr>
          <w:rFonts w:eastAsiaTheme="minorEastAsia" w:cstheme="minorHAnsi"/>
        </w:rPr>
        <w:t xml:space="preserve">Year </w:t>
      </w:r>
      <w:r>
        <w:rPr>
          <w:rFonts w:eastAsiaTheme="minorEastAsia" w:cstheme="minorHAnsi"/>
        </w:rPr>
        <w:t>3</w:t>
      </w:r>
      <w:r w:rsidRPr="004D64DE">
        <w:rPr>
          <w:rFonts w:eastAsiaTheme="minorEastAsia" w:cstheme="minorHAnsi"/>
        </w:rPr>
        <w:t xml:space="preserve"> of the CPCF Five-Year deal. Among these </w:t>
      </w:r>
      <w:r>
        <w:rPr>
          <w:rFonts w:eastAsiaTheme="minorEastAsia" w:cstheme="minorHAnsi"/>
        </w:rPr>
        <w:t>are</w:t>
      </w:r>
      <w:r w:rsidRPr="004D64DE">
        <w:rPr>
          <w:rFonts w:eastAsiaTheme="minorEastAsia" w:cstheme="minorHAnsi"/>
        </w:rPr>
        <w:t xml:space="preserve"> the commissioning of the new Hypertension Case</w:t>
      </w:r>
      <w:r>
        <w:rPr>
          <w:rFonts w:eastAsiaTheme="minorEastAsia" w:cstheme="minorHAnsi"/>
        </w:rPr>
        <w:t>-</w:t>
      </w:r>
      <w:r w:rsidRPr="004D64DE">
        <w:rPr>
          <w:rFonts w:eastAsiaTheme="minorEastAsia" w:cstheme="minorHAnsi"/>
        </w:rPr>
        <w:t>Finding and Smoking Cessation Service</w:t>
      </w:r>
      <w:r>
        <w:rPr>
          <w:rFonts w:eastAsiaTheme="minorEastAsia" w:cstheme="minorHAnsi"/>
        </w:rPr>
        <w:t>s</w:t>
      </w:r>
      <w:r w:rsidRPr="004D64DE">
        <w:rPr>
          <w:rFonts w:eastAsiaTheme="minorEastAsia" w:cstheme="minorHAnsi"/>
        </w:rPr>
        <w:t xml:space="preserve">, </w:t>
      </w:r>
      <w:r>
        <w:rPr>
          <w:rFonts w:eastAsiaTheme="minorEastAsia" w:cstheme="minorHAnsi"/>
        </w:rPr>
        <w:t>as well as the extension of the New Medicine Service</w:t>
      </w:r>
      <w:r w:rsidRPr="004D64DE">
        <w:rPr>
          <w:rFonts w:eastAsiaTheme="minorEastAsia" w:cstheme="minorHAnsi"/>
        </w:rPr>
        <w:t>.</w:t>
      </w:r>
    </w:p>
    <w:p w14:paraId="1C376A25" w14:textId="422D7393" w:rsidR="002254A3" w:rsidRDefault="002254A3" w:rsidP="002254A3">
      <w:pPr>
        <w:spacing w:after="0" w:line="240" w:lineRule="auto"/>
        <w:jc w:val="both"/>
        <w:rPr>
          <w:rFonts w:eastAsiaTheme="minorEastAsia" w:cstheme="minorHAnsi"/>
        </w:rPr>
      </w:pPr>
    </w:p>
    <w:p w14:paraId="5A9A0DAE" w14:textId="4B0B993D" w:rsidR="008454CB" w:rsidRPr="008454CB" w:rsidRDefault="00962443" w:rsidP="00962443">
      <w:pPr>
        <w:spacing w:after="0" w:line="240" w:lineRule="auto"/>
        <w:jc w:val="both"/>
        <w:rPr>
          <w:rFonts w:eastAsiaTheme="minorEastAsia" w:cstheme="minorHAnsi"/>
        </w:rPr>
      </w:pPr>
      <w:r>
        <w:rPr>
          <w:rFonts w:eastAsiaTheme="minorEastAsia" w:cstheme="minorHAnsi"/>
          <w:noProof/>
        </w:rPr>
        <w:drawing>
          <wp:anchor distT="0" distB="0" distL="114300" distR="114300" simplePos="0" relativeHeight="251709446" behindDoc="0" locked="0" layoutInCell="1" allowOverlap="1" wp14:anchorId="148447E8" wp14:editId="0F01A6DC">
            <wp:simplePos x="0" y="0"/>
            <wp:positionH relativeFrom="column">
              <wp:posOffset>482600</wp:posOffset>
            </wp:positionH>
            <wp:positionV relativeFrom="paragraph">
              <wp:posOffset>292641</wp:posOffset>
            </wp:positionV>
            <wp:extent cx="600075" cy="600075"/>
            <wp:effectExtent l="0" t="0" r="0" b="9525"/>
            <wp:wrapSquare wrapText="bothSides"/>
            <wp:docPr id="15" name="Graphic 15" descr="Office work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Office worker female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cstheme="minorHAnsi"/>
          <w:noProof/>
        </w:rPr>
        <w:drawing>
          <wp:anchor distT="0" distB="0" distL="114300" distR="114300" simplePos="0" relativeHeight="251710470" behindDoc="0" locked="0" layoutInCell="1" allowOverlap="1" wp14:anchorId="3614C9A5" wp14:editId="76663312">
            <wp:simplePos x="0" y="0"/>
            <wp:positionH relativeFrom="column">
              <wp:posOffset>183496</wp:posOffset>
            </wp:positionH>
            <wp:positionV relativeFrom="paragraph">
              <wp:posOffset>143680</wp:posOffset>
            </wp:positionV>
            <wp:extent cx="613410" cy="613410"/>
            <wp:effectExtent l="0" t="0" r="0" b="0"/>
            <wp:wrapSquare wrapText="bothSides"/>
            <wp:docPr id="16" name="Graphic 16" descr="Office work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ffice worker male with solid fill"/>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13410" cy="61341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712518" behindDoc="0" locked="0" layoutInCell="1" allowOverlap="1" wp14:anchorId="651977B5" wp14:editId="6E455EC5">
            <wp:simplePos x="0" y="0"/>
            <wp:positionH relativeFrom="column">
              <wp:posOffset>743585</wp:posOffset>
            </wp:positionH>
            <wp:positionV relativeFrom="paragraph">
              <wp:posOffset>20955</wp:posOffset>
            </wp:positionV>
            <wp:extent cx="339725" cy="339725"/>
            <wp:effectExtent l="0" t="0" r="3175" b="3175"/>
            <wp:wrapSquare wrapText="bothSides"/>
            <wp:docPr id="17" name="Graphic 17"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edical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39725" cy="339725"/>
                    </a:xfrm>
                    <a:prstGeom prst="rect">
                      <a:avLst/>
                    </a:prstGeom>
                  </pic:spPr>
                </pic:pic>
              </a:graphicData>
            </a:graphic>
            <wp14:sizeRelH relativeFrom="margin">
              <wp14:pctWidth>0</wp14:pctWidth>
            </wp14:sizeRelH>
            <wp14:sizeRelV relativeFrom="margin">
              <wp14:pctHeight>0</wp14:pctHeight>
            </wp14:sizeRelV>
          </wp:anchor>
        </w:drawing>
      </w:r>
      <w:r w:rsidR="008454CB" w:rsidRPr="004D64DE">
        <w:rPr>
          <w:rFonts w:eastAsiaTheme="minorEastAsia" w:cstheme="minorHAnsi"/>
        </w:rPr>
        <w:t xml:space="preserve">However, the lack of any uplift to core funding for the sector is concerning and will have consequences: </w:t>
      </w:r>
      <w:r w:rsidR="008454CB">
        <w:rPr>
          <w:rFonts w:eastAsiaTheme="minorEastAsia" w:cstheme="minorHAnsi"/>
        </w:rPr>
        <w:t>further</w:t>
      </w:r>
      <w:r w:rsidR="008454CB" w:rsidRPr="004D64DE">
        <w:rPr>
          <w:rFonts w:eastAsiaTheme="minorEastAsia" w:cstheme="minorHAnsi"/>
        </w:rPr>
        <w:t xml:space="preserve"> pharmacy closures are inevitable, and many more pharmacies will be under greater pressure to survive, significantly impacting their ability to deliver the new services that our patients and the NHS really need.</w:t>
      </w:r>
    </w:p>
    <w:p w14:paraId="50AE3C2B" w14:textId="32C0DC29" w:rsidR="002254A3" w:rsidRDefault="002254A3" w:rsidP="000B670F">
      <w:pPr>
        <w:spacing w:after="0" w:line="240" w:lineRule="auto"/>
        <w:contextualSpacing/>
        <w:jc w:val="both"/>
        <w:textAlignment w:val="baseline"/>
        <w:rPr>
          <w:rFonts w:eastAsiaTheme="minorEastAsia" w:cstheme="minorHAnsi"/>
          <w:kern w:val="24"/>
          <w:lang w:eastAsia="en-GB"/>
        </w:rPr>
      </w:pPr>
    </w:p>
    <w:p w14:paraId="2BCADA07" w14:textId="77777777" w:rsidR="00962443" w:rsidRPr="00962443" w:rsidRDefault="00962443" w:rsidP="000B670F">
      <w:pPr>
        <w:spacing w:after="0" w:line="240" w:lineRule="auto"/>
        <w:contextualSpacing/>
        <w:jc w:val="both"/>
        <w:textAlignment w:val="baseline"/>
        <w:rPr>
          <w:rFonts w:eastAsiaTheme="minorEastAsia" w:cstheme="minorHAnsi"/>
          <w:kern w:val="24"/>
          <w:sz w:val="8"/>
          <w:szCs w:val="8"/>
          <w:lang w:eastAsia="en-GB"/>
        </w:rPr>
      </w:pPr>
    </w:p>
    <w:p w14:paraId="630BC239" w14:textId="14EFDAEC" w:rsidR="008454CB" w:rsidRPr="00351EE9" w:rsidRDefault="008454CB" w:rsidP="000B670F">
      <w:pPr>
        <w:spacing w:after="0" w:line="240" w:lineRule="auto"/>
        <w:contextualSpacing/>
        <w:jc w:val="both"/>
        <w:textAlignment w:val="baseline"/>
        <w:rPr>
          <w:rFonts w:eastAsia="Times New Roman" w:cstheme="minorHAnsi"/>
          <w:lang w:eastAsia="en-GB"/>
        </w:rPr>
      </w:pPr>
      <w:r w:rsidRPr="00351EE9">
        <w:rPr>
          <w:rFonts w:eastAsiaTheme="minorEastAsia" w:cstheme="minorHAnsi"/>
          <w:kern w:val="24"/>
          <w:lang w:eastAsia="en-GB"/>
        </w:rPr>
        <w:t xml:space="preserve">Pharmacies </w:t>
      </w:r>
      <w:r>
        <w:rPr>
          <w:rFonts w:eastAsiaTheme="minorEastAsia" w:cstheme="minorHAnsi"/>
          <w:kern w:val="24"/>
          <w:lang w:eastAsia="en-GB"/>
        </w:rPr>
        <w:t xml:space="preserve">have shown their resilience over the past year, but we will continue to seek fair support for them, and assuming that is achieved, the sector </w:t>
      </w:r>
      <w:r w:rsidRPr="00351EE9">
        <w:rPr>
          <w:rFonts w:eastAsiaTheme="minorEastAsia" w:cstheme="minorHAnsi"/>
          <w:kern w:val="24"/>
          <w:lang w:eastAsia="en-GB"/>
        </w:rPr>
        <w:t>look</w:t>
      </w:r>
      <w:r>
        <w:rPr>
          <w:rFonts w:eastAsiaTheme="minorEastAsia" w:cstheme="minorHAnsi"/>
          <w:kern w:val="24"/>
          <w:lang w:eastAsia="en-GB"/>
        </w:rPr>
        <w:t>s</w:t>
      </w:r>
      <w:r w:rsidRPr="00351EE9">
        <w:rPr>
          <w:rFonts w:eastAsiaTheme="minorEastAsia" w:cstheme="minorHAnsi"/>
          <w:kern w:val="24"/>
          <w:lang w:eastAsia="en-GB"/>
        </w:rPr>
        <w:t xml:space="preserve"> forward to continuing to support NHS goals, and to working with emerging local health structures</w:t>
      </w:r>
      <w:r>
        <w:rPr>
          <w:rFonts w:eastAsiaTheme="minorEastAsia" w:cstheme="minorHAnsi"/>
          <w:kern w:val="24"/>
          <w:lang w:eastAsia="en-GB"/>
        </w:rPr>
        <w:t xml:space="preserve">. </w:t>
      </w:r>
    </w:p>
    <w:sectPr w:rsidR="008454CB" w:rsidRPr="00351EE9" w:rsidSect="00672586">
      <w:headerReference w:type="default" r:id="rId42"/>
      <w:footerReference w:type="default" r:id="rId4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6B9D1" w14:textId="77777777" w:rsidR="00E16F25" w:rsidRDefault="00E16F25" w:rsidP="00176A5D">
      <w:pPr>
        <w:spacing w:after="0" w:line="240" w:lineRule="auto"/>
      </w:pPr>
      <w:r>
        <w:separator/>
      </w:r>
    </w:p>
  </w:endnote>
  <w:endnote w:type="continuationSeparator" w:id="0">
    <w:p w14:paraId="2C6CC10B" w14:textId="77777777" w:rsidR="00E16F25" w:rsidRDefault="00E16F25" w:rsidP="00176A5D">
      <w:pPr>
        <w:spacing w:after="0" w:line="240" w:lineRule="auto"/>
      </w:pPr>
      <w:r>
        <w:continuationSeparator/>
      </w:r>
    </w:p>
  </w:endnote>
  <w:endnote w:type="continuationNotice" w:id="1">
    <w:p w14:paraId="3DD01615" w14:textId="77777777" w:rsidR="00E16F25" w:rsidRDefault="00E1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buntu">
    <w:altName w:val="Calibri"/>
    <w:panose1 w:val="020B0604020202020204"/>
    <w:charset w:val="00"/>
    <w:family w:val="swiss"/>
    <w:pitch w:val="variable"/>
    <w:sig w:usb0="E00002FF" w:usb1="5000205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B8F2" w14:textId="77777777" w:rsidR="00672586" w:rsidRDefault="00672586" w:rsidP="00672586">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919"/>
    </w:tblGrid>
    <w:tr w:rsidR="00672586" w14:paraId="1A89A01F" w14:textId="77777777" w:rsidTr="001119E7">
      <w:tc>
        <w:tcPr>
          <w:tcW w:w="5138" w:type="dxa"/>
        </w:tcPr>
        <w:p w14:paraId="403B00EB" w14:textId="77777777" w:rsidR="00672586" w:rsidRDefault="00672586" w:rsidP="00672586">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Pr>
              <w:b/>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Pr>
              <w:b/>
              <w:color w:val="808080" w:themeColor="background1" w:themeShade="80"/>
            </w:rPr>
            <w:t>2</w:t>
          </w:r>
          <w:r w:rsidRPr="005E45F0">
            <w:rPr>
              <w:b/>
              <w:color w:val="808080" w:themeColor="background1" w:themeShade="80"/>
            </w:rPr>
            <w:fldChar w:fldCharType="end"/>
          </w:r>
        </w:p>
      </w:tc>
      <w:tc>
        <w:tcPr>
          <w:tcW w:w="5919" w:type="dxa"/>
        </w:tcPr>
        <w:p w14:paraId="329F0B84" w14:textId="6AF79D61" w:rsidR="00672586" w:rsidRDefault="00E07059" w:rsidP="00672586">
          <w:pPr>
            <w:pStyle w:val="Footer"/>
            <w:tabs>
              <w:tab w:val="clear" w:pos="9026"/>
              <w:tab w:val="right" w:pos="9639"/>
            </w:tabs>
            <w:ind w:right="34"/>
            <w:jc w:val="right"/>
            <w:rPr>
              <w:b/>
              <w:color w:val="808080" w:themeColor="background1" w:themeShade="80"/>
            </w:rPr>
          </w:pPr>
          <w:r>
            <w:rPr>
              <w:b/>
              <w:color w:val="808080" w:themeColor="background1" w:themeShade="80"/>
            </w:rPr>
            <w:t>comms</w:t>
          </w:r>
          <w:r w:rsidR="00672586">
            <w:rPr>
              <w:b/>
              <w:color w:val="808080" w:themeColor="background1" w:themeShade="80"/>
            </w:rPr>
            <w:t>team</w:t>
          </w:r>
          <w:r w:rsidR="00672586" w:rsidRPr="005E45F0">
            <w:rPr>
              <w:b/>
              <w:color w:val="808080" w:themeColor="background1" w:themeShade="80"/>
            </w:rPr>
            <w:t>@psnc.org.uk</w:t>
          </w:r>
          <w:r w:rsidR="00672586">
            <w:rPr>
              <w:b/>
              <w:color w:val="808080" w:themeColor="background1" w:themeShade="80"/>
            </w:rPr>
            <w:t xml:space="preserve">      </w:t>
          </w:r>
          <w:r w:rsidR="00672586" w:rsidRPr="005C5B3B">
            <w:rPr>
              <w:b/>
              <w:color w:val="808080" w:themeColor="background1" w:themeShade="80"/>
            </w:rPr>
            <w:t>psnc.org.uk      0203 1220 810</w:t>
          </w:r>
        </w:p>
      </w:tc>
    </w:tr>
  </w:tbl>
  <w:p w14:paraId="2CD07E95" w14:textId="77777777" w:rsidR="00672586" w:rsidRPr="00773207" w:rsidRDefault="00672586" w:rsidP="00672586">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58243" behindDoc="0" locked="0" layoutInCell="1" allowOverlap="1" wp14:anchorId="5594F23E" wp14:editId="4E1E25BD">
          <wp:simplePos x="0" y="0"/>
          <wp:positionH relativeFrom="margin">
            <wp:align>center</wp:align>
          </wp:positionH>
          <wp:positionV relativeFrom="paragraph">
            <wp:posOffset>62865</wp:posOffset>
          </wp:positionV>
          <wp:extent cx="7577455" cy="194310"/>
          <wp:effectExtent l="0" t="0" r="444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8CB7" w14:textId="77777777" w:rsidR="00E16F25" w:rsidRDefault="00E16F25" w:rsidP="00176A5D">
      <w:pPr>
        <w:spacing w:after="0" w:line="240" w:lineRule="auto"/>
      </w:pPr>
      <w:r>
        <w:separator/>
      </w:r>
    </w:p>
  </w:footnote>
  <w:footnote w:type="continuationSeparator" w:id="0">
    <w:p w14:paraId="70B97152" w14:textId="77777777" w:rsidR="00E16F25" w:rsidRDefault="00E16F25" w:rsidP="00176A5D">
      <w:pPr>
        <w:spacing w:after="0" w:line="240" w:lineRule="auto"/>
      </w:pPr>
      <w:r>
        <w:continuationSeparator/>
      </w:r>
    </w:p>
  </w:footnote>
  <w:footnote w:type="continuationNotice" w:id="1">
    <w:p w14:paraId="6AA9FDC3" w14:textId="77777777" w:rsidR="00E16F25" w:rsidRDefault="00E16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ED8D" w14:textId="77777777" w:rsidR="00176A5D" w:rsidRPr="00EF69B1" w:rsidRDefault="00910A52">
    <w:pPr>
      <w:pStyle w:val="Header"/>
      <w:rPr>
        <w:sz w:val="12"/>
      </w:rPr>
    </w:pPr>
    <w:r w:rsidRPr="00EF69B1">
      <w:rPr>
        <w:noProof/>
        <w:sz w:val="12"/>
      </w:rPr>
      <mc:AlternateContent>
        <mc:Choice Requires="wps">
          <w:drawing>
            <wp:anchor distT="0" distB="0" distL="114300" distR="114300" simplePos="0" relativeHeight="251658241" behindDoc="0" locked="0" layoutInCell="1" allowOverlap="1" wp14:anchorId="7195AE17" wp14:editId="5620F0E8">
              <wp:simplePos x="0" y="0"/>
              <wp:positionH relativeFrom="column">
                <wp:posOffset>-988827</wp:posOffset>
              </wp:positionH>
              <wp:positionV relativeFrom="paragraph">
                <wp:posOffset>159488</wp:posOffset>
              </wp:positionV>
              <wp:extent cx="723014" cy="360680"/>
              <wp:effectExtent l="0" t="0" r="1270" b="1270"/>
              <wp:wrapNone/>
              <wp:docPr id="3" name="Rectangle: Rounded Corners 3"/>
              <wp:cNvGraphicFramePr/>
              <a:graphic xmlns:a="http://schemas.openxmlformats.org/drawingml/2006/main">
                <a:graphicData uri="http://schemas.microsoft.com/office/word/2010/wordprocessingShape">
                  <wps:wsp>
                    <wps:cNvSpPr/>
                    <wps:spPr>
                      <a:xfrm>
                        <a:off x="0" y="0"/>
                        <a:ext cx="723014" cy="360680"/>
                      </a:xfrm>
                      <a:prstGeom prst="roundRect">
                        <a:avLst/>
                      </a:prstGeom>
                      <a:solidFill>
                        <a:srgbClr val="4E3487"/>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roundrect id="Rectangle: Rounded Corners 3" style="position:absolute;margin-left:-77.85pt;margin-top:12.55pt;width:56.95pt;height: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e3487" stroked="f" arcsize="10923f" w14:anchorId="08BBB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"/>
          </w:pict>
        </mc:Fallback>
      </mc:AlternateContent>
    </w:r>
    <w:r w:rsidRPr="00EF69B1">
      <w:rPr>
        <w:noProof/>
        <w:sz w:val="12"/>
      </w:rPr>
      <mc:AlternateContent>
        <mc:Choice Requires="wps">
          <w:drawing>
            <wp:anchor distT="0" distB="0" distL="114300" distR="114300" simplePos="0" relativeHeight="251658240" behindDoc="0" locked="0" layoutInCell="1" allowOverlap="1" wp14:anchorId="60B60248" wp14:editId="210F3861">
              <wp:simplePos x="0" y="0"/>
              <wp:positionH relativeFrom="column">
                <wp:posOffset>1044191</wp:posOffset>
              </wp:positionH>
              <wp:positionV relativeFrom="paragraph">
                <wp:posOffset>138223</wp:posOffset>
              </wp:positionV>
              <wp:extent cx="6640033" cy="360680"/>
              <wp:effectExtent l="0" t="0" r="8890" b="1270"/>
              <wp:wrapNone/>
              <wp:docPr id="2" name="Rectangle: Rounded Corners 2"/>
              <wp:cNvGraphicFramePr/>
              <a:graphic xmlns:a="http://schemas.openxmlformats.org/drawingml/2006/main">
                <a:graphicData uri="http://schemas.microsoft.com/office/word/2010/wordprocessingShape">
                  <wps:wsp>
                    <wps:cNvSpPr/>
                    <wps:spPr>
                      <a:xfrm>
                        <a:off x="0" y="0"/>
                        <a:ext cx="6640033" cy="360680"/>
                      </a:xfrm>
                      <a:prstGeom prst="roundRect">
                        <a:avLst/>
                      </a:prstGeom>
                      <a:solidFill>
                        <a:srgbClr val="4E3487"/>
                      </a:solidFill>
                      <a:ln>
                        <a:noFill/>
                      </a:ln>
                    </wps:spPr>
                    <wps:style>
                      <a:lnRef idx="0">
                        <a:scrgbClr r="0" g="0" b="0"/>
                      </a:lnRef>
                      <a:fillRef idx="0">
                        <a:scrgbClr r="0" g="0" b="0"/>
                      </a:fillRef>
                      <a:effectRef idx="0">
                        <a:scrgbClr r="0" g="0" b="0"/>
                      </a:effectRef>
                      <a:fontRef idx="minor">
                        <a:schemeClr val="lt1"/>
                      </a:fontRef>
                    </wps:style>
                    <wps:txbx>
                      <w:txbxContent>
                        <w:p w14:paraId="11F0544F" w14:textId="4A936FDB" w:rsidR="00176A5D" w:rsidRPr="00672586" w:rsidRDefault="004E61C4" w:rsidP="00C44457">
                          <w:pPr>
                            <w:spacing w:after="0" w:line="240" w:lineRule="auto"/>
                            <w:ind w:left="142" w:right="754"/>
                            <w:rPr>
                              <w:rFonts w:ascii="Ubuntu" w:hAnsi="Ubuntu"/>
                              <w:color w:val="FFFFFF" w:themeColor="background1"/>
                              <w:sz w:val="26"/>
                              <w:szCs w:val="32"/>
                            </w:rPr>
                          </w:pPr>
                          <w:r w:rsidRPr="00672586">
                            <w:rPr>
                              <w:rFonts w:cstheme="minorHAnsi"/>
                              <w:color w:val="FFFFFF" w:themeColor="background1"/>
                              <w:sz w:val="28"/>
                              <w:szCs w:val="32"/>
                            </w:rPr>
                            <w:t>PSNC Briefing 0</w:t>
                          </w:r>
                          <w:r w:rsidR="00740B79">
                            <w:rPr>
                              <w:rFonts w:cstheme="minorHAnsi"/>
                              <w:color w:val="FFFFFF" w:themeColor="background1"/>
                              <w:sz w:val="28"/>
                              <w:szCs w:val="32"/>
                            </w:rPr>
                            <w:t>43/</w:t>
                          </w:r>
                          <w:r w:rsidRPr="00672586">
                            <w:rPr>
                              <w:rFonts w:cstheme="minorHAnsi"/>
                              <w:color w:val="FFFFFF" w:themeColor="background1"/>
                              <w:sz w:val="28"/>
                              <w:szCs w:val="32"/>
                            </w:rPr>
                            <w:t>21</w:t>
                          </w:r>
                          <w:r w:rsidRPr="00672586">
                            <w:rPr>
                              <w:rFonts w:cstheme="minorHAnsi"/>
                              <w:color w:val="FFFFFF" w:themeColor="background1"/>
                              <w:sz w:val="28"/>
                              <w:szCs w:val="32"/>
                            </w:rPr>
                            <w:tab/>
                          </w:r>
                          <w:r w:rsidRPr="00672586">
                            <w:rPr>
                              <w:rFonts w:ascii="Ubuntu" w:hAnsi="Ubuntu"/>
                              <w:color w:val="FFFFFF" w:themeColor="background1"/>
                              <w:sz w:val="26"/>
                              <w:szCs w:val="32"/>
                            </w:rPr>
                            <w:tab/>
                          </w:r>
                          <w:r w:rsidRPr="00672586">
                            <w:rPr>
                              <w:rFonts w:ascii="Ubuntu" w:hAnsi="Ubuntu"/>
                              <w:color w:val="FFFFFF" w:themeColor="background1"/>
                              <w:sz w:val="26"/>
                              <w:szCs w:val="32"/>
                            </w:rPr>
                            <w:tab/>
                          </w:r>
                          <w:r w:rsidRPr="00672586">
                            <w:rPr>
                              <w:rFonts w:ascii="Ubuntu" w:hAnsi="Ubuntu"/>
                              <w:color w:val="FFFFFF" w:themeColor="background1"/>
                              <w:sz w:val="26"/>
                              <w:szCs w:val="32"/>
                            </w:rPr>
                            <w:tab/>
                          </w:r>
                          <w:r w:rsidRPr="00672586">
                            <w:rPr>
                              <w:rFonts w:ascii="Ubuntu" w:hAnsi="Ubuntu"/>
                              <w:color w:val="FFFFFF" w:themeColor="background1"/>
                              <w:sz w:val="26"/>
                              <w:szCs w:val="32"/>
                            </w:rPr>
                            <w:tab/>
                          </w:r>
                          <w:r w:rsidRPr="00672586">
                            <w:rPr>
                              <w:rFonts w:ascii="Ubuntu" w:hAnsi="Ubuntu"/>
                              <w:color w:val="FFFFFF" w:themeColor="background1"/>
                              <w:sz w:val="26"/>
                              <w:szCs w:val="32"/>
                            </w:rPr>
                            <w:tab/>
                          </w:r>
                          <w:r w:rsidR="00C44457">
                            <w:rPr>
                              <w:rFonts w:ascii="Ubuntu" w:hAnsi="Ubuntu"/>
                              <w:color w:val="FFFFFF" w:themeColor="background1"/>
                              <w:sz w:val="26"/>
                              <w:szCs w:val="32"/>
                            </w:rPr>
                            <w:t xml:space="preserve">     </w:t>
                          </w:r>
                          <w:r w:rsidR="008A594D">
                            <w:rPr>
                              <w:rFonts w:cstheme="minorHAnsi"/>
                              <w:color w:val="FFFFFF" w:themeColor="background1"/>
                              <w:sz w:val="28"/>
                              <w:szCs w:val="32"/>
                            </w:rPr>
                            <w:t>September</w:t>
                          </w:r>
                          <w:r w:rsidRPr="00672586">
                            <w:rPr>
                              <w:rFonts w:cstheme="minorHAnsi"/>
                              <w:color w:val="FFFFFF" w:themeColor="background1"/>
                              <w:sz w:val="28"/>
                              <w:szCs w:val="32"/>
                            </w:rPr>
                            <w:t xml:space="preserve"> 2021</w:t>
                          </w:r>
                          <w:r w:rsidR="00F41958" w:rsidRPr="00672586">
                            <w:rPr>
                              <w:rFonts w:ascii="Ubuntu" w:hAnsi="Ubuntu"/>
                              <w:color w:val="FFFFFF" w:themeColor="background1"/>
                              <w:sz w:val="26"/>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roundrect id="Rectangle: Rounded Corners 2" style="position:absolute;margin-left:82.2pt;margin-top:10.9pt;width:522.85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e3487" stroked="f" arcsize="10923f" w14:anchorId="60B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">
              <v:textbox>
                <w:txbxContent>
                  <w:p w:rsidRPr="00672586" w:rsidR="00176A5D" w:rsidP="00C44457" w:rsidRDefault="004E61C4" w14:paraId="11F0544F" w14:textId="4A936FDB">
                    <w:pPr>
                      <w:spacing w:after="0" w:line="240" w:lineRule="auto"/>
                      <w:ind w:left="142" w:right="754"/>
                      <w:rPr>
                        <w:rFonts w:ascii="Ubuntu" w:hAnsi="Ubuntu"/>
                        <w:color w:val="FFFFFF" w:themeColor="background1"/>
                        <w:sz w:val="26"/>
                        <w:szCs w:val="32"/>
                      </w:rPr>
                    </w:pPr>
                    <w:r w:rsidRPr="00672586">
                      <w:rPr>
                        <w:rFonts w:cstheme="minorHAnsi"/>
                        <w:color w:val="FFFFFF" w:themeColor="background1"/>
                        <w:sz w:val="28"/>
                        <w:szCs w:val="32"/>
                      </w:rPr>
                      <w:t>PSNC Briefing 0</w:t>
                    </w:r>
                    <w:r w:rsidR="00740B79">
                      <w:rPr>
                        <w:rFonts w:cstheme="minorHAnsi"/>
                        <w:color w:val="FFFFFF" w:themeColor="background1"/>
                        <w:sz w:val="28"/>
                        <w:szCs w:val="32"/>
                      </w:rPr>
                      <w:t>43/</w:t>
                    </w:r>
                    <w:r w:rsidRPr="00672586">
                      <w:rPr>
                        <w:rFonts w:cstheme="minorHAnsi"/>
                        <w:color w:val="FFFFFF" w:themeColor="background1"/>
                        <w:sz w:val="28"/>
                        <w:szCs w:val="32"/>
                      </w:rPr>
                      <w:t>21</w:t>
                    </w:r>
                    <w:r w:rsidRPr="00672586">
                      <w:rPr>
                        <w:rFonts w:cstheme="minorHAnsi"/>
                        <w:color w:val="FFFFFF" w:themeColor="background1"/>
                        <w:sz w:val="28"/>
                        <w:szCs w:val="32"/>
                      </w:rPr>
                      <w:tab/>
                    </w:r>
                    <w:r w:rsidRPr="00672586">
                      <w:rPr>
                        <w:rFonts w:ascii="Ubuntu" w:hAnsi="Ubuntu"/>
                        <w:color w:val="FFFFFF" w:themeColor="background1"/>
                        <w:sz w:val="26"/>
                        <w:szCs w:val="32"/>
                      </w:rPr>
                      <w:tab/>
                    </w:r>
                    <w:r w:rsidRPr="00672586">
                      <w:rPr>
                        <w:rFonts w:ascii="Ubuntu" w:hAnsi="Ubuntu"/>
                        <w:color w:val="FFFFFF" w:themeColor="background1"/>
                        <w:sz w:val="26"/>
                        <w:szCs w:val="32"/>
                      </w:rPr>
                      <w:tab/>
                    </w:r>
                    <w:r w:rsidRPr="00672586">
                      <w:rPr>
                        <w:rFonts w:ascii="Ubuntu" w:hAnsi="Ubuntu"/>
                        <w:color w:val="FFFFFF" w:themeColor="background1"/>
                        <w:sz w:val="26"/>
                        <w:szCs w:val="32"/>
                      </w:rPr>
                      <w:tab/>
                    </w:r>
                    <w:r w:rsidRPr="00672586">
                      <w:rPr>
                        <w:rFonts w:ascii="Ubuntu" w:hAnsi="Ubuntu"/>
                        <w:color w:val="FFFFFF" w:themeColor="background1"/>
                        <w:sz w:val="26"/>
                        <w:szCs w:val="32"/>
                      </w:rPr>
                      <w:tab/>
                    </w:r>
                    <w:r w:rsidRPr="00672586">
                      <w:rPr>
                        <w:rFonts w:ascii="Ubuntu" w:hAnsi="Ubuntu"/>
                        <w:color w:val="FFFFFF" w:themeColor="background1"/>
                        <w:sz w:val="26"/>
                        <w:szCs w:val="32"/>
                      </w:rPr>
                      <w:tab/>
                    </w:r>
                    <w:r w:rsidR="00C44457">
                      <w:rPr>
                        <w:rFonts w:ascii="Ubuntu" w:hAnsi="Ubuntu"/>
                        <w:color w:val="FFFFFF" w:themeColor="background1"/>
                        <w:sz w:val="26"/>
                        <w:szCs w:val="32"/>
                      </w:rPr>
                      <w:t xml:space="preserve">     </w:t>
                    </w:r>
                    <w:r w:rsidR="008A594D">
                      <w:rPr>
                        <w:rFonts w:cstheme="minorHAnsi"/>
                        <w:color w:val="FFFFFF" w:themeColor="background1"/>
                        <w:sz w:val="28"/>
                        <w:szCs w:val="32"/>
                      </w:rPr>
                      <w:t>September</w:t>
                    </w:r>
                    <w:r w:rsidRPr="00672586">
                      <w:rPr>
                        <w:rFonts w:cstheme="minorHAnsi"/>
                        <w:color w:val="FFFFFF" w:themeColor="background1"/>
                        <w:sz w:val="28"/>
                        <w:szCs w:val="32"/>
                      </w:rPr>
                      <w:t xml:space="preserve"> 2021</w:t>
                    </w:r>
                    <w:r w:rsidRPr="00672586" w:rsidR="00F41958">
                      <w:rPr>
                        <w:rFonts w:ascii="Ubuntu" w:hAnsi="Ubuntu"/>
                        <w:color w:val="FFFFFF" w:themeColor="background1"/>
                        <w:sz w:val="26"/>
                        <w:szCs w:val="32"/>
                      </w:rPr>
                      <w:t xml:space="preserve"> </w:t>
                    </w:r>
                  </w:p>
                </w:txbxContent>
              </v:textbox>
            </v:roundrect>
          </w:pict>
        </mc:Fallback>
      </mc:AlternateContent>
    </w:r>
    <w:r w:rsidRPr="00EF69B1">
      <w:rPr>
        <w:noProof/>
        <w:sz w:val="12"/>
      </w:rPr>
      <w:drawing>
        <wp:anchor distT="0" distB="0" distL="114300" distR="114300" simplePos="0" relativeHeight="251658242" behindDoc="1" locked="0" layoutInCell="1" allowOverlap="1" wp14:anchorId="4381D89C" wp14:editId="675F9E34">
          <wp:simplePos x="0" y="0"/>
          <wp:positionH relativeFrom="column">
            <wp:posOffset>-266198</wp:posOffset>
          </wp:positionH>
          <wp:positionV relativeFrom="paragraph">
            <wp:posOffset>-170815</wp:posOffset>
          </wp:positionV>
          <wp:extent cx="1310005" cy="935990"/>
          <wp:effectExtent l="0" t="0" r="444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NC logo (high res) (1).jpg"/>
                  <pic:cNvPicPr/>
                </pic:nvPicPr>
                <pic:blipFill>
                  <a:blip r:embed="rId1">
                    <a:extLst>
                      <a:ext uri="{28A0092B-C50C-407E-A947-70E740481C1C}">
                        <a14:useLocalDpi xmlns:a14="http://schemas.microsoft.com/office/drawing/2010/main" val="0"/>
                      </a:ext>
                    </a:extLst>
                  </a:blip>
                  <a:stretch>
                    <a:fillRect/>
                  </a:stretch>
                </pic:blipFill>
                <pic:spPr>
                  <a:xfrm>
                    <a:off x="0" y="0"/>
                    <a:ext cx="1310005" cy="935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526"/>
    <w:multiLevelType w:val="hybridMultilevel"/>
    <w:tmpl w:val="7B247688"/>
    <w:lvl w:ilvl="0" w:tplc="75FA7A4A">
      <w:start w:val="1"/>
      <w:numFmt w:val="bullet"/>
      <w:lvlText w:val=""/>
      <w:lvlJc w:val="left"/>
      <w:pPr>
        <w:ind w:left="720" w:hanging="360"/>
      </w:pPr>
      <w:rPr>
        <w:rFonts w:ascii="Symbol" w:hAnsi="Symbol" w:hint="default"/>
        <w:color w:val="51968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81D60"/>
    <w:multiLevelType w:val="hybridMultilevel"/>
    <w:tmpl w:val="B098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94545"/>
    <w:multiLevelType w:val="hybridMultilevel"/>
    <w:tmpl w:val="3BCC57F4"/>
    <w:lvl w:ilvl="0" w:tplc="4544BC6E">
      <w:start w:val="1"/>
      <w:numFmt w:val="bullet"/>
      <w:lvlText w:val=""/>
      <w:lvlJc w:val="left"/>
      <w:pPr>
        <w:ind w:left="720" w:hanging="360"/>
      </w:pPr>
      <w:rPr>
        <w:rFonts w:ascii="Wingdings" w:hAnsi="Wingdings" w:hint="default"/>
        <w:color w:val="5B518E"/>
      </w:rPr>
    </w:lvl>
    <w:lvl w:ilvl="1" w:tplc="BD224696">
      <w:start w:val="1"/>
      <w:numFmt w:val="bullet"/>
      <w:lvlText w:val=""/>
      <w:lvlJc w:val="left"/>
      <w:pPr>
        <w:ind w:left="1440" w:hanging="360"/>
      </w:pPr>
      <w:rPr>
        <w:rFonts w:ascii="Symbol" w:hAnsi="Symbol" w:hint="default"/>
        <w:color w:val="5B518E"/>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D6934"/>
    <w:multiLevelType w:val="hybridMultilevel"/>
    <w:tmpl w:val="6EE81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670F9"/>
    <w:multiLevelType w:val="hybridMultilevel"/>
    <w:tmpl w:val="AAEED728"/>
    <w:lvl w:ilvl="0" w:tplc="FA80A340">
      <w:start w:val="1"/>
      <w:numFmt w:val="bullet"/>
      <w:lvlText w:val=""/>
      <w:lvlJc w:val="left"/>
      <w:pPr>
        <w:ind w:left="862" w:hanging="360"/>
      </w:pPr>
      <w:rPr>
        <w:rFonts w:ascii="Symbol" w:hAnsi="Symbol" w:hint="default"/>
        <w:color w:val="AA890A"/>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8BB2589"/>
    <w:multiLevelType w:val="multilevel"/>
    <w:tmpl w:val="4C42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50FC2"/>
    <w:multiLevelType w:val="hybridMultilevel"/>
    <w:tmpl w:val="E8B06EB0"/>
    <w:lvl w:ilvl="0" w:tplc="0816A90E">
      <w:start w:val="3"/>
      <w:numFmt w:val="lowerLetter"/>
      <w:lvlText w:val="%1)"/>
      <w:lvlJc w:val="left"/>
      <w:pPr>
        <w:ind w:left="720" w:hanging="360"/>
      </w:pPr>
      <w:rPr>
        <w:rFonts w:hint="default"/>
        <w:b/>
        <w:color w:val="5B518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1252"/>
    <w:multiLevelType w:val="hybridMultilevel"/>
    <w:tmpl w:val="F632833C"/>
    <w:lvl w:ilvl="0" w:tplc="089233B8">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42E44"/>
    <w:multiLevelType w:val="hybridMultilevel"/>
    <w:tmpl w:val="9DEE2BD8"/>
    <w:lvl w:ilvl="0" w:tplc="9342CB3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5C4FB4"/>
    <w:multiLevelType w:val="hybridMultilevel"/>
    <w:tmpl w:val="A5DEAA12"/>
    <w:lvl w:ilvl="0" w:tplc="75FA7A4A">
      <w:start w:val="1"/>
      <w:numFmt w:val="bullet"/>
      <w:lvlText w:val=""/>
      <w:lvlJc w:val="left"/>
      <w:pPr>
        <w:ind w:left="720" w:hanging="360"/>
      </w:pPr>
      <w:rPr>
        <w:rFonts w:ascii="Symbol" w:hAnsi="Symbol" w:hint="default"/>
        <w:color w:val="51968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A6042"/>
    <w:multiLevelType w:val="hybridMultilevel"/>
    <w:tmpl w:val="3CE8F1C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E190E"/>
    <w:multiLevelType w:val="hybridMultilevel"/>
    <w:tmpl w:val="FD8EDEAA"/>
    <w:lvl w:ilvl="0" w:tplc="BA886226">
      <w:start w:val="1"/>
      <w:numFmt w:val="bullet"/>
      <w:lvlText w:val=""/>
      <w:lvlJc w:val="left"/>
      <w:pPr>
        <w:ind w:left="1146" w:hanging="360"/>
      </w:pPr>
      <w:rPr>
        <w:rFonts w:ascii="Symbol" w:hAnsi="Symbol" w:hint="default"/>
        <w:color w:val="8A8109" w:themeColor="accent4" w:themeShade="8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5026BCA"/>
    <w:multiLevelType w:val="hybridMultilevel"/>
    <w:tmpl w:val="0AD010BE"/>
    <w:lvl w:ilvl="0" w:tplc="75FA7A4A">
      <w:start w:val="1"/>
      <w:numFmt w:val="bullet"/>
      <w:lvlText w:val=""/>
      <w:lvlJc w:val="left"/>
      <w:pPr>
        <w:ind w:left="720" w:hanging="360"/>
      </w:pPr>
      <w:rPr>
        <w:rFonts w:ascii="Symbol" w:hAnsi="Symbol" w:hint="default"/>
        <w:color w:val="51968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714A6"/>
    <w:multiLevelType w:val="hybridMultilevel"/>
    <w:tmpl w:val="30C6673A"/>
    <w:lvl w:ilvl="0" w:tplc="AD564D62">
      <w:start w:val="1"/>
      <w:numFmt w:val="decimal"/>
      <w:lvlText w:val="%1."/>
      <w:lvlJc w:val="left"/>
      <w:pPr>
        <w:ind w:left="720" w:hanging="360"/>
      </w:pPr>
      <w:rPr>
        <w:rFonts w:hint="default"/>
        <w:b/>
        <w:bCs/>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284C96"/>
    <w:multiLevelType w:val="multilevel"/>
    <w:tmpl w:val="C64A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70739"/>
    <w:multiLevelType w:val="hybridMultilevel"/>
    <w:tmpl w:val="CA1E53DA"/>
    <w:lvl w:ilvl="0" w:tplc="59545C1C">
      <w:start w:val="1"/>
      <w:numFmt w:val="bullet"/>
      <w:lvlText w:val=""/>
      <w:lvlJc w:val="left"/>
      <w:pPr>
        <w:ind w:left="1080" w:hanging="360"/>
      </w:pPr>
      <w:rPr>
        <w:rFonts w:ascii="Symbol" w:hAnsi="Symbol" w:hint="default"/>
        <w:color w:val="5B518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1D6FC5"/>
    <w:multiLevelType w:val="hybridMultilevel"/>
    <w:tmpl w:val="BC7EB0B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C22D6"/>
    <w:multiLevelType w:val="hybridMultilevel"/>
    <w:tmpl w:val="2E640A66"/>
    <w:lvl w:ilvl="0" w:tplc="94921D34">
      <w:start w:val="1"/>
      <w:numFmt w:val="bullet"/>
      <w:lvlText w:val=""/>
      <w:lvlJc w:val="left"/>
      <w:pPr>
        <w:ind w:left="720" w:hanging="360"/>
      </w:pPr>
      <w:rPr>
        <w:rFonts w:ascii="Symbol" w:hAnsi="Symbol" w:hint="default"/>
        <w:color w:val="5B518E"/>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A2ED3"/>
    <w:multiLevelType w:val="hybridMultilevel"/>
    <w:tmpl w:val="FCA60E02"/>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60FE4"/>
    <w:multiLevelType w:val="hybridMultilevel"/>
    <w:tmpl w:val="7D3E3C60"/>
    <w:lvl w:ilvl="0" w:tplc="089233B8">
      <w:start w:val="1"/>
      <w:numFmt w:val="bullet"/>
      <w:lvlText w:val=""/>
      <w:lvlJc w:val="left"/>
      <w:pPr>
        <w:tabs>
          <w:tab w:val="num" w:pos="720"/>
        </w:tabs>
        <w:ind w:left="720" w:hanging="360"/>
      </w:pPr>
      <w:rPr>
        <w:rFonts w:ascii="Symbol" w:hAnsi="Symbol" w:hint="default"/>
        <w:color w:val="5B518E"/>
      </w:rPr>
    </w:lvl>
    <w:lvl w:ilvl="1" w:tplc="8134474E" w:tentative="1">
      <w:start w:val="1"/>
      <w:numFmt w:val="bullet"/>
      <w:lvlText w:val="•"/>
      <w:lvlJc w:val="left"/>
      <w:pPr>
        <w:tabs>
          <w:tab w:val="num" w:pos="1440"/>
        </w:tabs>
        <w:ind w:left="1440" w:hanging="360"/>
      </w:pPr>
      <w:rPr>
        <w:rFonts w:ascii="Arial" w:hAnsi="Arial" w:hint="default"/>
      </w:rPr>
    </w:lvl>
    <w:lvl w:ilvl="2" w:tplc="CEF0527C" w:tentative="1">
      <w:start w:val="1"/>
      <w:numFmt w:val="bullet"/>
      <w:lvlText w:val="•"/>
      <w:lvlJc w:val="left"/>
      <w:pPr>
        <w:tabs>
          <w:tab w:val="num" w:pos="2160"/>
        </w:tabs>
        <w:ind w:left="2160" w:hanging="360"/>
      </w:pPr>
      <w:rPr>
        <w:rFonts w:ascii="Arial" w:hAnsi="Arial" w:hint="default"/>
      </w:rPr>
    </w:lvl>
    <w:lvl w:ilvl="3" w:tplc="C3041338" w:tentative="1">
      <w:start w:val="1"/>
      <w:numFmt w:val="bullet"/>
      <w:lvlText w:val="•"/>
      <w:lvlJc w:val="left"/>
      <w:pPr>
        <w:tabs>
          <w:tab w:val="num" w:pos="2880"/>
        </w:tabs>
        <w:ind w:left="2880" w:hanging="360"/>
      </w:pPr>
      <w:rPr>
        <w:rFonts w:ascii="Arial" w:hAnsi="Arial" w:hint="default"/>
      </w:rPr>
    </w:lvl>
    <w:lvl w:ilvl="4" w:tplc="B90CAA02" w:tentative="1">
      <w:start w:val="1"/>
      <w:numFmt w:val="bullet"/>
      <w:lvlText w:val="•"/>
      <w:lvlJc w:val="left"/>
      <w:pPr>
        <w:tabs>
          <w:tab w:val="num" w:pos="3600"/>
        </w:tabs>
        <w:ind w:left="3600" w:hanging="360"/>
      </w:pPr>
      <w:rPr>
        <w:rFonts w:ascii="Arial" w:hAnsi="Arial" w:hint="default"/>
      </w:rPr>
    </w:lvl>
    <w:lvl w:ilvl="5" w:tplc="7E8C1EF0" w:tentative="1">
      <w:start w:val="1"/>
      <w:numFmt w:val="bullet"/>
      <w:lvlText w:val="•"/>
      <w:lvlJc w:val="left"/>
      <w:pPr>
        <w:tabs>
          <w:tab w:val="num" w:pos="4320"/>
        </w:tabs>
        <w:ind w:left="4320" w:hanging="360"/>
      </w:pPr>
      <w:rPr>
        <w:rFonts w:ascii="Arial" w:hAnsi="Arial" w:hint="default"/>
      </w:rPr>
    </w:lvl>
    <w:lvl w:ilvl="6" w:tplc="34AC02A2" w:tentative="1">
      <w:start w:val="1"/>
      <w:numFmt w:val="bullet"/>
      <w:lvlText w:val="•"/>
      <w:lvlJc w:val="left"/>
      <w:pPr>
        <w:tabs>
          <w:tab w:val="num" w:pos="5040"/>
        </w:tabs>
        <w:ind w:left="5040" w:hanging="360"/>
      </w:pPr>
      <w:rPr>
        <w:rFonts w:ascii="Arial" w:hAnsi="Arial" w:hint="default"/>
      </w:rPr>
    </w:lvl>
    <w:lvl w:ilvl="7" w:tplc="73DC2372" w:tentative="1">
      <w:start w:val="1"/>
      <w:numFmt w:val="bullet"/>
      <w:lvlText w:val="•"/>
      <w:lvlJc w:val="left"/>
      <w:pPr>
        <w:tabs>
          <w:tab w:val="num" w:pos="5760"/>
        </w:tabs>
        <w:ind w:left="5760" w:hanging="360"/>
      </w:pPr>
      <w:rPr>
        <w:rFonts w:ascii="Arial" w:hAnsi="Arial" w:hint="default"/>
      </w:rPr>
    </w:lvl>
    <w:lvl w:ilvl="8" w:tplc="2F52CF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26022E"/>
    <w:multiLevelType w:val="hybridMultilevel"/>
    <w:tmpl w:val="8BD4C21A"/>
    <w:lvl w:ilvl="0" w:tplc="FA80A340">
      <w:start w:val="1"/>
      <w:numFmt w:val="bullet"/>
      <w:lvlText w:val=""/>
      <w:lvlJc w:val="left"/>
      <w:pPr>
        <w:ind w:left="862" w:hanging="360"/>
      </w:pPr>
      <w:rPr>
        <w:rFonts w:ascii="Symbol" w:hAnsi="Symbol" w:hint="default"/>
        <w:color w:val="AA890A"/>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DFC7E61"/>
    <w:multiLevelType w:val="hybridMultilevel"/>
    <w:tmpl w:val="20B6535A"/>
    <w:lvl w:ilvl="0" w:tplc="E9AE5E30">
      <w:numFmt w:val="bullet"/>
      <w:lvlText w:val="-"/>
      <w:lvlJc w:val="left"/>
      <w:pPr>
        <w:ind w:left="360" w:hanging="360"/>
      </w:pPr>
      <w:rPr>
        <w:rFonts w:ascii="Calibri" w:eastAsiaTheme="minorHAnsi" w:hAnsi="Calibri" w:cs="Calibri" w:hint="default"/>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B1B3A"/>
    <w:multiLevelType w:val="hybridMultilevel"/>
    <w:tmpl w:val="43544636"/>
    <w:lvl w:ilvl="0" w:tplc="08090005">
      <w:start w:val="1"/>
      <w:numFmt w:val="bullet"/>
      <w:lvlText w:val=""/>
      <w:lvlJc w:val="left"/>
      <w:pPr>
        <w:ind w:left="360" w:hanging="360"/>
      </w:pPr>
      <w:rPr>
        <w:rFonts w:ascii="Wingdings" w:hAnsi="Wingdings" w:hint="default"/>
        <w:color w:val="5B518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7A0B56"/>
    <w:multiLevelType w:val="hybridMultilevel"/>
    <w:tmpl w:val="4C7ED9EC"/>
    <w:lvl w:ilvl="0" w:tplc="089233B8">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C127F"/>
    <w:multiLevelType w:val="hybridMultilevel"/>
    <w:tmpl w:val="A8FE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56895"/>
    <w:multiLevelType w:val="hybridMultilevel"/>
    <w:tmpl w:val="4CACC39E"/>
    <w:lvl w:ilvl="0" w:tplc="BD224696">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color w:val="5B518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B0602"/>
    <w:multiLevelType w:val="hybridMultilevel"/>
    <w:tmpl w:val="52C85232"/>
    <w:lvl w:ilvl="0" w:tplc="0809000D">
      <w:start w:val="1"/>
      <w:numFmt w:val="bullet"/>
      <w:lvlText w:val=""/>
      <w:lvlJc w:val="left"/>
      <w:pPr>
        <w:ind w:left="720" w:hanging="360"/>
      </w:pPr>
      <w:rPr>
        <w:rFonts w:ascii="Wingdings" w:hAnsi="Wingdings" w:hint="default"/>
        <w:b/>
        <w:bCs/>
        <w:color w:val="5B518E"/>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06BB7"/>
    <w:multiLevelType w:val="hybridMultilevel"/>
    <w:tmpl w:val="66FE8F66"/>
    <w:lvl w:ilvl="0" w:tplc="BD224696">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07B6B"/>
    <w:multiLevelType w:val="hybridMultilevel"/>
    <w:tmpl w:val="F320DA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B28C9"/>
    <w:multiLevelType w:val="hybridMultilevel"/>
    <w:tmpl w:val="E364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65296"/>
    <w:multiLevelType w:val="hybridMultilevel"/>
    <w:tmpl w:val="255817DA"/>
    <w:lvl w:ilvl="0" w:tplc="089233B8">
      <w:start w:val="1"/>
      <w:numFmt w:val="bullet"/>
      <w:lvlText w:val=""/>
      <w:lvlJc w:val="left"/>
      <w:pPr>
        <w:ind w:left="931" w:hanging="360"/>
      </w:pPr>
      <w:rPr>
        <w:rFonts w:ascii="Symbol" w:hAnsi="Symbol" w:hint="default"/>
        <w:color w:val="5B518E"/>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1" w15:restartNumberingAfterBreak="0">
    <w:nsid w:val="5B9F3B51"/>
    <w:multiLevelType w:val="multilevel"/>
    <w:tmpl w:val="60F05A58"/>
    <w:lvl w:ilvl="0">
      <w:start w:val="1"/>
      <w:numFmt w:val="bullet"/>
      <w:lvlText w:val=""/>
      <w:lvlJc w:val="left"/>
      <w:pPr>
        <w:ind w:left="360" w:hanging="360"/>
      </w:pPr>
      <w:rPr>
        <w:rFonts w:ascii="Symbol" w:hAnsi="Symbol" w:hint="default"/>
        <w:b/>
        <w:bCs/>
        <w:u w:val="none"/>
      </w:rPr>
    </w:lvl>
    <w:lvl w:ilvl="1">
      <w:start w:val="1"/>
      <w:numFmt w:val="decimal"/>
      <w:lvlText w:val="%1.%2."/>
      <w:lvlJc w:val="left"/>
      <w:pPr>
        <w:ind w:left="792" w:hanging="432"/>
      </w:pPr>
      <w:rPr>
        <w:rFonts w:hint="default"/>
        <w:b w:val="0"/>
        <w:bCs w:val="0"/>
        <w:color w:val="auto"/>
      </w:rPr>
    </w:lvl>
    <w:lvl w:ilvl="2">
      <w:start w:val="1"/>
      <w:numFmt w:val="bullet"/>
      <w:lvlText w:val=""/>
      <w:lvlJc w:val="left"/>
      <w:pPr>
        <w:ind w:left="1224" w:hanging="504"/>
      </w:pPr>
      <w:rPr>
        <w:rFonts w:ascii="Symbol" w:hAnsi="Symbol" w:hint="default"/>
        <w:color w:val="5196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C72026"/>
    <w:multiLevelType w:val="hybridMultilevel"/>
    <w:tmpl w:val="E1DAEA88"/>
    <w:lvl w:ilvl="0" w:tplc="5240C980">
      <w:start w:val="1"/>
      <w:numFmt w:val="lowerLetter"/>
      <w:lvlText w:val="%1)"/>
      <w:lvlJc w:val="left"/>
      <w:pPr>
        <w:ind w:left="720" w:hanging="360"/>
      </w:pPr>
      <w:rPr>
        <w:rFonts w:hint="default"/>
        <w:b/>
        <w:color w:val="5B518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6F3433"/>
    <w:multiLevelType w:val="hybridMultilevel"/>
    <w:tmpl w:val="B03458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B24BA"/>
    <w:multiLevelType w:val="hybridMultilevel"/>
    <w:tmpl w:val="5BC62B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B31FF"/>
    <w:multiLevelType w:val="hybridMultilevel"/>
    <w:tmpl w:val="054A5A58"/>
    <w:lvl w:ilvl="0" w:tplc="6784C29A">
      <w:start w:val="1"/>
      <w:numFmt w:val="decimal"/>
      <w:lvlText w:val="%1."/>
      <w:lvlJc w:val="left"/>
      <w:pPr>
        <w:ind w:left="720" w:hanging="360"/>
      </w:pPr>
      <w:rPr>
        <w:rFonts w:ascii="Ubuntu" w:eastAsiaTheme="minorHAnsi" w:hAnsi="Ubuntu" w:hint="default"/>
        <w:b/>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30F7F"/>
    <w:multiLevelType w:val="hybridMultilevel"/>
    <w:tmpl w:val="7174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71248"/>
    <w:multiLevelType w:val="hybridMultilevel"/>
    <w:tmpl w:val="01CA14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A613BD"/>
    <w:multiLevelType w:val="hybridMultilevel"/>
    <w:tmpl w:val="6DF84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349A5"/>
    <w:multiLevelType w:val="hybridMultilevel"/>
    <w:tmpl w:val="EE280848"/>
    <w:lvl w:ilvl="0" w:tplc="3498F5A0">
      <w:start w:val="1"/>
      <w:numFmt w:val="bullet"/>
      <w:lvlText w:val="•"/>
      <w:lvlJc w:val="left"/>
      <w:pPr>
        <w:tabs>
          <w:tab w:val="num" w:pos="720"/>
        </w:tabs>
        <w:ind w:left="720" w:hanging="360"/>
      </w:pPr>
      <w:rPr>
        <w:rFonts w:ascii="Times New Roman" w:hAnsi="Times New Roman" w:hint="default"/>
      </w:rPr>
    </w:lvl>
    <w:lvl w:ilvl="1" w:tplc="A0E85CA4" w:tentative="1">
      <w:start w:val="1"/>
      <w:numFmt w:val="bullet"/>
      <w:lvlText w:val="•"/>
      <w:lvlJc w:val="left"/>
      <w:pPr>
        <w:tabs>
          <w:tab w:val="num" w:pos="1440"/>
        </w:tabs>
        <w:ind w:left="1440" w:hanging="360"/>
      </w:pPr>
      <w:rPr>
        <w:rFonts w:ascii="Times New Roman" w:hAnsi="Times New Roman" w:hint="default"/>
      </w:rPr>
    </w:lvl>
    <w:lvl w:ilvl="2" w:tplc="70B69534" w:tentative="1">
      <w:start w:val="1"/>
      <w:numFmt w:val="bullet"/>
      <w:lvlText w:val="•"/>
      <w:lvlJc w:val="left"/>
      <w:pPr>
        <w:tabs>
          <w:tab w:val="num" w:pos="2160"/>
        </w:tabs>
        <w:ind w:left="2160" w:hanging="360"/>
      </w:pPr>
      <w:rPr>
        <w:rFonts w:ascii="Times New Roman" w:hAnsi="Times New Roman" w:hint="default"/>
      </w:rPr>
    </w:lvl>
    <w:lvl w:ilvl="3" w:tplc="957C3FBE" w:tentative="1">
      <w:start w:val="1"/>
      <w:numFmt w:val="bullet"/>
      <w:lvlText w:val="•"/>
      <w:lvlJc w:val="left"/>
      <w:pPr>
        <w:tabs>
          <w:tab w:val="num" w:pos="2880"/>
        </w:tabs>
        <w:ind w:left="2880" w:hanging="360"/>
      </w:pPr>
      <w:rPr>
        <w:rFonts w:ascii="Times New Roman" w:hAnsi="Times New Roman" w:hint="default"/>
      </w:rPr>
    </w:lvl>
    <w:lvl w:ilvl="4" w:tplc="DC6CC798" w:tentative="1">
      <w:start w:val="1"/>
      <w:numFmt w:val="bullet"/>
      <w:lvlText w:val="•"/>
      <w:lvlJc w:val="left"/>
      <w:pPr>
        <w:tabs>
          <w:tab w:val="num" w:pos="3600"/>
        </w:tabs>
        <w:ind w:left="3600" w:hanging="360"/>
      </w:pPr>
      <w:rPr>
        <w:rFonts w:ascii="Times New Roman" w:hAnsi="Times New Roman" w:hint="default"/>
      </w:rPr>
    </w:lvl>
    <w:lvl w:ilvl="5" w:tplc="9DA2C38A" w:tentative="1">
      <w:start w:val="1"/>
      <w:numFmt w:val="bullet"/>
      <w:lvlText w:val="•"/>
      <w:lvlJc w:val="left"/>
      <w:pPr>
        <w:tabs>
          <w:tab w:val="num" w:pos="4320"/>
        </w:tabs>
        <w:ind w:left="4320" w:hanging="360"/>
      </w:pPr>
      <w:rPr>
        <w:rFonts w:ascii="Times New Roman" w:hAnsi="Times New Roman" w:hint="default"/>
      </w:rPr>
    </w:lvl>
    <w:lvl w:ilvl="6" w:tplc="23749228" w:tentative="1">
      <w:start w:val="1"/>
      <w:numFmt w:val="bullet"/>
      <w:lvlText w:val="•"/>
      <w:lvlJc w:val="left"/>
      <w:pPr>
        <w:tabs>
          <w:tab w:val="num" w:pos="5040"/>
        </w:tabs>
        <w:ind w:left="5040" w:hanging="360"/>
      </w:pPr>
      <w:rPr>
        <w:rFonts w:ascii="Times New Roman" w:hAnsi="Times New Roman" w:hint="default"/>
      </w:rPr>
    </w:lvl>
    <w:lvl w:ilvl="7" w:tplc="917CC2E0" w:tentative="1">
      <w:start w:val="1"/>
      <w:numFmt w:val="bullet"/>
      <w:lvlText w:val="•"/>
      <w:lvlJc w:val="left"/>
      <w:pPr>
        <w:tabs>
          <w:tab w:val="num" w:pos="5760"/>
        </w:tabs>
        <w:ind w:left="5760" w:hanging="360"/>
      </w:pPr>
      <w:rPr>
        <w:rFonts w:ascii="Times New Roman" w:hAnsi="Times New Roman" w:hint="default"/>
      </w:rPr>
    </w:lvl>
    <w:lvl w:ilvl="8" w:tplc="A17A695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1A3E7D"/>
    <w:multiLevelType w:val="hybridMultilevel"/>
    <w:tmpl w:val="F5148852"/>
    <w:lvl w:ilvl="0" w:tplc="4AECA180">
      <w:start w:val="1"/>
      <w:numFmt w:val="decimal"/>
      <w:lvlText w:val="%1."/>
      <w:lvlJc w:val="left"/>
      <w:pPr>
        <w:ind w:left="796" w:hanging="360"/>
      </w:pPr>
      <w:rPr>
        <w:rFonts w:hint="default"/>
        <w:b w:val="0"/>
        <w:sz w:val="22"/>
        <w:szCs w:val="22"/>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1" w15:restartNumberingAfterBreak="0">
    <w:nsid w:val="7E5C6C59"/>
    <w:multiLevelType w:val="hybridMultilevel"/>
    <w:tmpl w:val="CEEA6E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277E2"/>
    <w:multiLevelType w:val="hybridMultilevel"/>
    <w:tmpl w:val="EC90E6E8"/>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0"/>
  </w:num>
  <w:num w:numId="4">
    <w:abstractNumId w:val="4"/>
  </w:num>
  <w:num w:numId="5">
    <w:abstractNumId w:val="11"/>
  </w:num>
  <w:num w:numId="6">
    <w:abstractNumId w:val="18"/>
  </w:num>
  <w:num w:numId="7">
    <w:abstractNumId w:val="10"/>
  </w:num>
  <w:num w:numId="8">
    <w:abstractNumId w:val="42"/>
  </w:num>
  <w:num w:numId="9">
    <w:abstractNumId w:val="39"/>
  </w:num>
  <w:num w:numId="10">
    <w:abstractNumId w:val="13"/>
  </w:num>
  <w:num w:numId="11">
    <w:abstractNumId w:val="38"/>
  </w:num>
  <w:num w:numId="12">
    <w:abstractNumId w:val="35"/>
  </w:num>
  <w:num w:numId="13">
    <w:abstractNumId w:val="16"/>
  </w:num>
  <w:num w:numId="14">
    <w:abstractNumId w:val="9"/>
  </w:num>
  <w:num w:numId="15">
    <w:abstractNumId w:val="12"/>
  </w:num>
  <w:num w:numId="16">
    <w:abstractNumId w:val="0"/>
  </w:num>
  <w:num w:numId="17">
    <w:abstractNumId w:val="24"/>
  </w:num>
  <w:num w:numId="18">
    <w:abstractNumId w:val="33"/>
  </w:num>
  <w:num w:numId="19">
    <w:abstractNumId w:val="17"/>
  </w:num>
  <w:num w:numId="20">
    <w:abstractNumId w:val="36"/>
  </w:num>
  <w:num w:numId="21">
    <w:abstractNumId w:val="5"/>
  </w:num>
  <w:num w:numId="22">
    <w:abstractNumId w:val="8"/>
  </w:num>
  <w:num w:numId="23">
    <w:abstractNumId w:val="22"/>
  </w:num>
  <w:num w:numId="24">
    <w:abstractNumId w:val="21"/>
  </w:num>
  <w:num w:numId="25">
    <w:abstractNumId w:val="14"/>
  </w:num>
  <w:num w:numId="26">
    <w:abstractNumId w:val="29"/>
  </w:num>
  <w:num w:numId="27">
    <w:abstractNumId w:val="27"/>
  </w:num>
  <w:num w:numId="28">
    <w:abstractNumId w:val="15"/>
  </w:num>
  <w:num w:numId="29">
    <w:abstractNumId w:val="25"/>
  </w:num>
  <w:num w:numId="30">
    <w:abstractNumId w:val="2"/>
  </w:num>
  <w:num w:numId="31">
    <w:abstractNumId w:val="3"/>
  </w:num>
  <w:num w:numId="32">
    <w:abstractNumId w:val="6"/>
  </w:num>
  <w:num w:numId="33">
    <w:abstractNumId w:val="26"/>
  </w:num>
  <w:num w:numId="34">
    <w:abstractNumId w:val="32"/>
  </w:num>
  <w:num w:numId="35">
    <w:abstractNumId w:val="41"/>
  </w:num>
  <w:num w:numId="36">
    <w:abstractNumId w:val="28"/>
  </w:num>
  <w:num w:numId="37">
    <w:abstractNumId w:val="34"/>
  </w:num>
  <w:num w:numId="38">
    <w:abstractNumId w:val="37"/>
  </w:num>
  <w:num w:numId="39">
    <w:abstractNumId w:val="31"/>
  </w:num>
  <w:num w:numId="40">
    <w:abstractNumId w:val="30"/>
  </w:num>
  <w:num w:numId="41">
    <w:abstractNumId w:val="7"/>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DA"/>
    <w:rsid w:val="00002CEF"/>
    <w:rsid w:val="000152AE"/>
    <w:rsid w:val="00020F66"/>
    <w:rsid w:val="000219E2"/>
    <w:rsid w:val="00037E1B"/>
    <w:rsid w:val="00041A79"/>
    <w:rsid w:val="000517BC"/>
    <w:rsid w:val="000520AD"/>
    <w:rsid w:val="00064680"/>
    <w:rsid w:val="00067EA7"/>
    <w:rsid w:val="00067F3A"/>
    <w:rsid w:val="000771CA"/>
    <w:rsid w:val="00085581"/>
    <w:rsid w:val="00093EC2"/>
    <w:rsid w:val="000A018B"/>
    <w:rsid w:val="000A4E23"/>
    <w:rsid w:val="000B0235"/>
    <w:rsid w:val="000B670F"/>
    <w:rsid w:val="000C015A"/>
    <w:rsid w:val="000C1417"/>
    <w:rsid w:val="000C7E80"/>
    <w:rsid w:val="000D0DBC"/>
    <w:rsid w:val="000D490B"/>
    <w:rsid w:val="000D765D"/>
    <w:rsid w:val="000E2E78"/>
    <w:rsid w:val="000F04A3"/>
    <w:rsid w:val="000F7696"/>
    <w:rsid w:val="001119E7"/>
    <w:rsid w:val="00111EFD"/>
    <w:rsid w:val="00115EE4"/>
    <w:rsid w:val="00134864"/>
    <w:rsid w:val="00142050"/>
    <w:rsid w:val="0014275D"/>
    <w:rsid w:val="001518BC"/>
    <w:rsid w:val="00151B43"/>
    <w:rsid w:val="0015242A"/>
    <w:rsid w:val="0015318A"/>
    <w:rsid w:val="00154379"/>
    <w:rsid w:val="00160A18"/>
    <w:rsid w:val="001656CE"/>
    <w:rsid w:val="00173534"/>
    <w:rsid w:val="00176A5D"/>
    <w:rsid w:val="00191C21"/>
    <w:rsid w:val="00193443"/>
    <w:rsid w:val="00193A1B"/>
    <w:rsid w:val="00195B53"/>
    <w:rsid w:val="001A5701"/>
    <w:rsid w:val="001B15FD"/>
    <w:rsid w:val="001B1C4C"/>
    <w:rsid w:val="001B351A"/>
    <w:rsid w:val="001E3140"/>
    <w:rsid w:val="001E347B"/>
    <w:rsid w:val="001F0BF7"/>
    <w:rsid w:val="001F527B"/>
    <w:rsid w:val="00201D13"/>
    <w:rsid w:val="00207E77"/>
    <w:rsid w:val="00215FE7"/>
    <w:rsid w:val="00220CBC"/>
    <w:rsid w:val="002254A3"/>
    <w:rsid w:val="0022611C"/>
    <w:rsid w:val="00251D8E"/>
    <w:rsid w:val="00252619"/>
    <w:rsid w:val="0025275B"/>
    <w:rsid w:val="00255811"/>
    <w:rsid w:val="002564DA"/>
    <w:rsid w:val="00257530"/>
    <w:rsid w:val="00260CE3"/>
    <w:rsid w:val="002634F6"/>
    <w:rsid w:val="002638BE"/>
    <w:rsid w:val="00280398"/>
    <w:rsid w:val="00282918"/>
    <w:rsid w:val="002967EE"/>
    <w:rsid w:val="002A711E"/>
    <w:rsid w:val="002A7662"/>
    <w:rsid w:val="002B2281"/>
    <w:rsid w:val="002B5CBB"/>
    <w:rsid w:val="002C0400"/>
    <w:rsid w:val="002C21B1"/>
    <w:rsid w:val="002C381A"/>
    <w:rsid w:val="002C3B00"/>
    <w:rsid w:val="002C7FCA"/>
    <w:rsid w:val="002D722E"/>
    <w:rsid w:val="002D75E8"/>
    <w:rsid w:val="002E3F1B"/>
    <w:rsid w:val="002E522E"/>
    <w:rsid w:val="00301253"/>
    <w:rsid w:val="003113D4"/>
    <w:rsid w:val="00313F82"/>
    <w:rsid w:val="00324AEF"/>
    <w:rsid w:val="003264E2"/>
    <w:rsid w:val="00341871"/>
    <w:rsid w:val="00342D3F"/>
    <w:rsid w:val="00343320"/>
    <w:rsid w:val="003447DE"/>
    <w:rsid w:val="003451E8"/>
    <w:rsid w:val="003510D3"/>
    <w:rsid w:val="003531FC"/>
    <w:rsid w:val="0035546E"/>
    <w:rsid w:val="00356660"/>
    <w:rsid w:val="003660ED"/>
    <w:rsid w:val="003717AD"/>
    <w:rsid w:val="00372A3C"/>
    <w:rsid w:val="00375F20"/>
    <w:rsid w:val="00380B57"/>
    <w:rsid w:val="0038458D"/>
    <w:rsid w:val="003910DF"/>
    <w:rsid w:val="003A07C2"/>
    <w:rsid w:val="003A25ED"/>
    <w:rsid w:val="003B34DA"/>
    <w:rsid w:val="003B5FF3"/>
    <w:rsid w:val="003C0430"/>
    <w:rsid w:val="003C2302"/>
    <w:rsid w:val="003C3C86"/>
    <w:rsid w:val="003C67D4"/>
    <w:rsid w:val="003C7C91"/>
    <w:rsid w:val="003D6172"/>
    <w:rsid w:val="003D6EF0"/>
    <w:rsid w:val="003E1623"/>
    <w:rsid w:val="003E2253"/>
    <w:rsid w:val="003E266B"/>
    <w:rsid w:val="003E79F7"/>
    <w:rsid w:val="003F6D10"/>
    <w:rsid w:val="00406148"/>
    <w:rsid w:val="00413348"/>
    <w:rsid w:val="0041487F"/>
    <w:rsid w:val="00414A56"/>
    <w:rsid w:val="00415703"/>
    <w:rsid w:val="0041758E"/>
    <w:rsid w:val="00424FBC"/>
    <w:rsid w:val="004306B2"/>
    <w:rsid w:val="004330E4"/>
    <w:rsid w:val="004331CA"/>
    <w:rsid w:val="00436DB2"/>
    <w:rsid w:val="0044015F"/>
    <w:rsid w:val="00443390"/>
    <w:rsid w:val="0044514D"/>
    <w:rsid w:val="0044636A"/>
    <w:rsid w:val="004651C5"/>
    <w:rsid w:val="00474790"/>
    <w:rsid w:val="00475689"/>
    <w:rsid w:val="004776B2"/>
    <w:rsid w:val="00477AB8"/>
    <w:rsid w:val="00494E04"/>
    <w:rsid w:val="00495681"/>
    <w:rsid w:val="00495855"/>
    <w:rsid w:val="004A19BF"/>
    <w:rsid w:val="004A2803"/>
    <w:rsid w:val="004A4EF0"/>
    <w:rsid w:val="004B18F0"/>
    <w:rsid w:val="004B336F"/>
    <w:rsid w:val="004C2820"/>
    <w:rsid w:val="004C413A"/>
    <w:rsid w:val="004C7C8A"/>
    <w:rsid w:val="004D00C2"/>
    <w:rsid w:val="004D3ED0"/>
    <w:rsid w:val="004E010B"/>
    <w:rsid w:val="004E61C4"/>
    <w:rsid w:val="004F01AE"/>
    <w:rsid w:val="004F01BE"/>
    <w:rsid w:val="004F19A3"/>
    <w:rsid w:val="004F2DCC"/>
    <w:rsid w:val="004F506C"/>
    <w:rsid w:val="004F6846"/>
    <w:rsid w:val="00513193"/>
    <w:rsid w:val="00527886"/>
    <w:rsid w:val="005464E2"/>
    <w:rsid w:val="00546756"/>
    <w:rsid w:val="00557357"/>
    <w:rsid w:val="005620A1"/>
    <w:rsid w:val="005627BF"/>
    <w:rsid w:val="00564C19"/>
    <w:rsid w:val="00565010"/>
    <w:rsid w:val="00577F1D"/>
    <w:rsid w:val="005800F5"/>
    <w:rsid w:val="00581E07"/>
    <w:rsid w:val="0058277D"/>
    <w:rsid w:val="00586A6D"/>
    <w:rsid w:val="00591B0F"/>
    <w:rsid w:val="005A3698"/>
    <w:rsid w:val="005A49D2"/>
    <w:rsid w:val="005C11CA"/>
    <w:rsid w:val="005C3B86"/>
    <w:rsid w:val="005C6858"/>
    <w:rsid w:val="005D21F5"/>
    <w:rsid w:val="005D22AB"/>
    <w:rsid w:val="005E378B"/>
    <w:rsid w:val="005F6868"/>
    <w:rsid w:val="00601C88"/>
    <w:rsid w:val="006055A7"/>
    <w:rsid w:val="00605C17"/>
    <w:rsid w:val="00607783"/>
    <w:rsid w:val="006136F8"/>
    <w:rsid w:val="00614681"/>
    <w:rsid w:val="00614A87"/>
    <w:rsid w:val="0061661A"/>
    <w:rsid w:val="0061793D"/>
    <w:rsid w:val="00626499"/>
    <w:rsid w:val="00632F6A"/>
    <w:rsid w:val="006366DE"/>
    <w:rsid w:val="006406B9"/>
    <w:rsid w:val="00642FA8"/>
    <w:rsid w:val="006514CC"/>
    <w:rsid w:val="00651757"/>
    <w:rsid w:val="0065417D"/>
    <w:rsid w:val="0067074D"/>
    <w:rsid w:val="00671FCF"/>
    <w:rsid w:val="006724EC"/>
    <w:rsid w:val="00672586"/>
    <w:rsid w:val="006774F9"/>
    <w:rsid w:val="006804C2"/>
    <w:rsid w:val="00684041"/>
    <w:rsid w:val="0068413B"/>
    <w:rsid w:val="006925FF"/>
    <w:rsid w:val="00696BFA"/>
    <w:rsid w:val="006A3719"/>
    <w:rsid w:val="006A3ADB"/>
    <w:rsid w:val="006A7EFA"/>
    <w:rsid w:val="006B52BF"/>
    <w:rsid w:val="006C2F6D"/>
    <w:rsid w:val="006D2122"/>
    <w:rsid w:val="006D2CBB"/>
    <w:rsid w:val="006D4FC1"/>
    <w:rsid w:val="006D543A"/>
    <w:rsid w:val="006D659E"/>
    <w:rsid w:val="006E119D"/>
    <w:rsid w:val="00700A82"/>
    <w:rsid w:val="00700ED6"/>
    <w:rsid w:val="007054C1"/>
    <w:rsid w:val="00713026"/>
    <w:rsid w:val="007252FE"/>
    <w:rsid w:val="00726478"/>
    <w:rsid w:val="00726BA0"/>
    <w:rsid w:val="00731C8C"/>
    <w:rsid w:val="00734A02"/>
    <w:rsid w:val="00736934"/>
    <w:rsid w:val="00740B79"/>
    <w:rsid w:val="0074789D"/>
    <w:rsid w:val="00751436"/>
    <w:rsid w:val="0075528B"/>
    <w:rsid w:val="007569A4"/>
    <w:rsid w:val="0077185A"/>
    <w:rsid w:val="007737F9"/>
    <w:rsid w:val="00783511"/>
    <w:rsid w:val="00797FE7"/>
    <w:rsid w:val="007B0CF2"/>
    <w:rsid w:val="007C0100"/>
    <w:rsid w:val="007C4C32"/>
    <w:rsid w:val="007D1803"/>
    <w:rsid w:val="007E3101"/>
    <w:rsid w:val="007F27D1"/>
    <w:rsid w:val="007F4561"/>
    <w:rsid w:val="007F5A27"/>
    <w:rsid w:val="00800F72"/>
    <w:rsid w:val="00804D90"/>
    <w:rsid w:val="00806004"/>
    <w:rsid w:val="008114C3"/>
    <w:rsid w:val="00812151"/>
    <w:rsid w:val="00822132"/>
    <w:rsid w:val="00826B78"/>
    <w:rsid w:val="00831DEC"/>
    <w:rsid w:val="00832466"/>
    <w:rsid w:val="008326BA"/>
    <w:rsid w:val="0084281B"/>
    <w:rsid w:val="008454CB"/>
    <w:rsid w:val="00846B33"/>
    <w:rsid w:val="00847890"/>
    <w:rsid w:val="0085148B"/>
    <w:rsid w:val="008618B2"/>
    <w:rsid w:val="00871088"/>
    <w:rsid w:val="00874CFF"/>
    <w:rsid w:val="0089218F"/>
    <w:rsid w:val="00896710"/>
    <w:rsid w:val="008A594D"/>
    <w:rsid w:val="008B6A3D"/>
    <w:rsid w:val="008C029B"/>
    <w:rsid w:val="008C11D9"/>
    <w:rsid w:val="008C4D43"/>
    <w:rsid w:val="008D7002"/>
    <w:rsid w:val="008E681B"/>
    <w:rsid w:val="008F0C6A"/>
    <w:rsid w:val="008F0D2A"/>
    <w:rsid w:val="00910A52"/>
    <w:rsid w:val="0092169C"/>
    <w:rsid w:val="00932777"/>
    <w:rsid w:val="00934A20"/>
    <w:rsid w:val="00944EC9"/>
    <w:rsid w:val="00947363"/>
    <w:rsid w:val="0095042F"/>
    <w:rsid w:val="00952ADA"/>
    <w:rsid w:val="00956822"/>
    <w:rsid w:val="009575B9"/>
    <w:rsid w:val="00962443"/>
    <w:rsid w:val="009644F8"/>
    <w:rsid w:val="00965621"/>
    <w:rsid w:val="00970B53"/>
    <w:rsid w:val="00985914"/>
    <w:rsid w:val="009878D9"/>
    <w:rsid w:val="00996189"/>
    <w:rsid w:val="00997DD4"/>
    <w:rsid w:val="009B61CE"/>
    <w:rsid w:val="009C05E3"/>
    <w:rsid w:val="009D505F"/>
    <w:rsid w:val="009E1DEB"/>
    <w:rsid w:val="009F28C8"/>
    <w:rsid w:val="009F38AA"/>
    <w:rsid w:val="009F7682"/>
    <w:rsid w:val="00A01E7B"/>
    <w:rsid w:val="00A127E0"/>
    <w:rsid w:val="00A217B0"/>
    <w:rsid w:val="00A23C9C"/>
    <w:rsid w:val="00A272AF"/>
    <w:rsid w:val="00A33EB4"/>
    <w:rsid w:val="00A34706"/>
    <w:rsid w:val="00A352F9"/>
    <w:rsid w:val="00A35A3B"/>
    <w:rsid w:val="00A41255"/>
    <w:rsid w:val="00A41BD1"/>
    <w:rsid w:val="00A42ECB"/>
    <w:rsid w:val="00A43F62"/>
    <w:rsid w:val="00A459B5"/>
    <w:rsid w:val="00A46640"/>
    <w:rsid w:val="00A4774E"/>
    <w:rsid w:val="00A47A53"/>
    <w:rsid w:val="00A52CD8"/>
    <w:rsid w:val="00A53F35"/>
    <w:rsid w:val="00A64131"/>
    <w:rsid w:val="00A64A34"/>
    <w:rsid w:val="00A667F1"/>
    <w:rsid w:val="00A66960"/>
    <w:rsid w:val="00A669E2"/>
    <w:rsid w:val="00A7216F"/>
    <w:rsid w:val="00A7326D"/>
    <w:rsid w:val="00A76629"/>
    <w:rsid w:val="00A8120C"/>
    <w:rsid w:val="00A815C4"/>
    <w:rsid w:val="00AA43FB"/>
    <w:rsid w:val="00AA50D8"/>
    <w:rsid w:val="00AB2C0B"/>
    <w:rsid w:val="00AB3D7A"/>
    <w:rsid w:val="00AB5583"/>
    <w:rsid w:val="00AB5924"/>
    <w:rsid w:val="00AD0D9C"/>
    <w:rsid w:val="00AE5C98"/>
    <w:rsid w:val="00AE683C"/>
    <w:rsid w:val="00AE6AB7"/>
    <w:rsid w:val="00AF0EED"/>
    <w:rsid w:val="00AF29C7"/>
    <w:rsid w:val="00AF591B"/>
    <w:rsid w:val="00AF5CB2"/>
    <w:rsid w:val="00B05E6C"/>
    <w:rsid w:val="00B066CD"/>
    <w:rsid w:val="00B11770"/>
    <w:rsid w:val="00B11DD3"/>
    <w:rsid w:val="00B1550E"/>
    <w:rsid w:val="00B15801"/>
    <w:rsid w:val="00B24EFD"/>
    <w:rsid w:val="00B24F29"/>
    <w:rsid w:val="00B258EE"/>
    <w:rsid w:val="00B3599E"/>
    <w:rsid w:val="00B367AF"/>
    <w:rsid w:val="00B37714"/>
    <w:rsid w:val="00B45AD0"/>
    <w:rsid w:val="00B532C5"/>
    <w:rsid w:val="00B61278"/>
    <w:rsid w:val="00B717E2"/>
    <w:rsid w:val="00B769AC"/>
    <w:rsid w:val="00B77E14"/>
    <w:rsid w:val="00B84FD2"/>
    <w:rsid w:val="00B95796"/>
    <w:rsid w:val="00B96A0A"/>
    <w:rsid w:val="00BA1207"/>
    <w:rsid w:val="00BA2346"/>
    <w:rsid w:val="00BA37D9"/>
    <w:rsid w:val="00BA5A20"/>
    <w:rsid w:val="00BB04FE"/>
    <w:rsid w:val="00BB46D6"/>
    <w:rsid w:val="00BB6E05"/>
    <w:rsid w:val="00BC49A3"/>
    <w:rsid w:val="00BD130A"/>
    <w:rsid w:val="00BD338E"/>
    <w:rsid w:val="00BD4730"/>
    <w:rsid w:val="00BE3F79"/>
    <w:rsid w:val="00BE5D7D"/>
    <w:rsid w:val="00BE7900"/>
    <w:rsid w:val="00C04B58"/>
    <w:rsid w:val="00C06821"/>
    <w:rsid w:val="00C07315"/>
    <w:rsid w:val="00C11372"/>
    <w:rsid w:val="00C11CB3"/>
    <w:rsid w:val="00C12928"/>
    <w:rsid w:val="00C14433"/>
    <w:rsid w:val="00C16E14"/>
    <w:rsid w:val="00C219B4"/>
    <w:rsid w:val="00C219F8"/>
    <w:rsid w:val="00C22B92"/>
    <w:rsid w:val="00C27702"/>
    <w:rsid w:val="00C37839"/>
    <w:rsid w:val="00C40685"/>
    <w:rsid w:val="00C43478"/>
    <w:rsid w:val="00C43620"/>
    <w:rsid w:val="00C44457"/>
    <w:rsid w:val="00C45B55"/>
    <w:rsid w:val="00C515EC"/>
    <w:rsid w:val="00C51AE1"/>
    <w:rsid w:val="00C54673"/>
    <w:rsid w:val="00C625BA"/>
    <w:rsid w:val="00C70829"/>
    <w:rsid w:val="00C80501"/>
    <w:rsid w:val="00C824D3"/>
    <w:rsid w:val="00C85936"/>
    <w:rsid w:val="00C92415"/>
    <w:rsid w:val="00C94D4C"/>
    <w:rsid w:val="00CA0395"/>
    <w:rsid w:val="00CA18D4"/>
    <w:rsid w:val="00CA1B68"/>
    <w:rsid w:val="00CA31AD"/>
    <w:rsid w:val="00CA3232"/>
    <w:rsid w:val="00CA68A1"/>
    <w:rsid w:val="00CA7D85"/>
    <w:rsid w:val="00CB16BC"/>
    <w:rsid w:val="00CB40BB"/>
    <w:rsid w:val="00CC30A5"/>
    <w:rsid w:val="00CC3AF5"/>
    <w:rsid w:val="00CC7B92"/>
    <w:rsid w:val="00CE04BD"/>
    <w:rsid w:val="00CF04DD"/>
    <w:rsid w:val="00CF0745"/>
    <w:rsid w:val="00CF7FD1"/>
    <w:rsid w:val="00D01A1D"/>
    <w:rsid w:val="00D12E2D"/>
    <w:rsid w:val="00D14682"/>
    <w:rsid w:val="00D162D3"/>
    <w:rsid w:val="00D2095C"/>
    <w:rsid w:val="00D21509"/>
    <w:rsid w:val="00D24A9D"/>
    <w:rsid w:val="00D3271A"/>
    <w:rsid w:val="00D3578F"/>
    <w:rsid w:val="00D4403F"/>
    <w:rsid w:val="00D44E5F"/>
    <w:rsid w:val="00D4797D"/>
    <w:rsid w:val="00D51522"/>
    <w:rsid w:val="00D515BE"/>
    <w:rsid w:val="00D62F86"/>
    <w:rsid w:val="00D63A48"/>
    <w:rsid w:val="00D64BA0"/>
    <w:rsid w:val="00D67832"/>
    <w:rsid w:val="00D71CA4"/>
    <w:rsid w:val="00D8170C"/>
    <w:rsid w:val="00D827A6"/>
    <w:rsid w:val="00D82A14"/>
    <w:rsid w:val="00D90AAC"/>
    <w:rsid w:val="00DA0A3F"/>
    <w:rsid w:val="00DA4798"/>
    <w:rsid w:val="00DA4AD6"/>
    <w:rsid w:val="00DA5A99"/>
    <w:rsid w:val="00DB2B0F"/>
    <w:rsid w:val="00DB2C73"/>
    <w:rsid w:val="00DB4A48"/>
    <w:rsid w:val="00DC62E8"/>
    <w:rsid w:val="00DC7A1A"/>
    <w:rsid w:val="00DD1E04"/>
    <w:rsid w:val="00DD610A"/>
    <w:rsid w:val="00DE0F7F"/>
    <w:rsid w:val="00DE4B72"/>
    <w:rsid w:val="00DE5B24"/>
    <w:rsid w:val="00DE798A"/>
    <w:rsid w:val="00DF240B"/>
    <w:rsid w:val="00DF363D"/>
    <w:rsid w:val="00E03F5F"/>
    <w:rsid w:val="00E04003"/>
    <w:rsid w:val="00E05077"/>
    <w:rsid w:val="00E057A7"/>
    <w:rsid w:val="00E07059"/>
    <w:rsid w:val="00E16F25"/>
    <w:rsid w:val="00E17375"/>
    <w:rsid w:val="00E23624"/>
    <w:rsid w:val="00E319E2"/>
    <w:rsid w:val="00E33389"/>
    <w:rsid w:val="00E35315"/>
    <w:rsid w:val="00E5322E"/>
    <w:rsid w:val="00E55451"/>
    <w:rsid w:val="00E557CC"/>
    <w:rsid w:val="00E56179"/>
    <w:rsid w:val="00E65DE4"/>
    <w:rsid w:val="00E80BB3"/>
    <w:rsid w:val="00E832C5"/>
    <w:rsid w:val="00E83601"/>
    <w:rsid w:val="00E85220"/>
    <w:rsid w:val="00E91186"/>
    <w:rsid w:val="00E951DC"/>
    <w:rsid w:val="00E96914"/>
    <w:rsid w:val="00EA7B2D"/>
    <w:rsid w:val="00EB67D6"/>
    <w:rsid w:val="00EB6A60"/>
    <w:rsid w:val="00EC2CE2"/>
    <w:rsid w:val="00EC2FEC"/>
    <w:rsid w:val="00ED361B"/>
    <w:rsid w:val="00EE1EDA"/>
    <w:rsid w:val="00EE7F26"/>
    <w:rsid w:val="00EF3F6F"/>
    <w:rsid w:val="00EF626C"/>
    <w:rsid w:val="00EF69B1"/>
    <w:rsid w:val="00F26800"/>
    <w:rsid w:val="00F41958"/>
    <w:rsid w:val="00F41A6E"/>
    <w:rsid w:val="00F43723"/>
    <w:rsid w:val="00F448BA"/>
    <w:rsid w:val="00F6371D"/>
    <w:rsid w:val="00F750F1"/>
    <w:rsid w:val="00F81A8C"/>
    <w:rsid w:val="00F8508A"/>
    <w:rsid w:val="00F9366E"/>
    <w:rsid w:val="00F94BB4"/>
    <w:rsid w:val="00FB2021"/>
    <w:rsid w:val="00FB3DE3"/>
    <w:rsid w:val="00FD127A"/>
    <w:rsid w:val="01DCB52C"/>
    <w:rsid w:val="036A61F5"/>
    <w:rsid w:val="048A859F"/>
    <w:rsid w:val="0654F0CE"/>
    <w:rsid w:val="0711CF3A"/>
    <w:rsid w:val="08D0EA2A"/>
    <w:rsid w:val="09FE2137"/>
    <w:rsid w:val="0B588FF8"/>
    <w:rsid w:val="0B9C57F7"/>
    <w:rsid w:val="0C68D3AD"/>
    <w:rsid w:val="0EC4B3B0"/>
    <w:rsid w:val="0EED8AAD"/>
    <w:rsid w:val="1219B952"/>
    <w:rsid w:val="14507619"/>
    <w:rsid w:val="15F33531"/>
    <w:rsid w:val="1C154DB6"/>
    <w:rsid w:val="1DE5B234"/>
    <w:rsid w:val="1E67EBFB"/>
    <w:rsid w:val="1F80EF1A"/>
    <w:rsid w:val="242F4E86"/>
    <w:rsid w:val="2719CAEA"/>
    <w:rsid w:val="27ED60D8"/>
    <w:rsid w:val="2CFBD915"/>
    <w:rsid w:val="2E2A6203"/>
    <w:rsid w:val="32BD939C"/>
    <w:rsid w:val="333D3FC1"/>
    <w:rsid w:val="3410AF76"/>
    <w:rsid w:val="3A75801C"/>
    <w:rsid w:val="3C7D8372"/>
    <w:rsid w:val="434458D4"/>
    <w:rsid w:val="47532A0F"/>
    <w:rsid w:val="49005146"/>
    <w:rsid w:val="4986A61C"/>
    <w:rsid w:val="4A36A110"/>
    <w:rsid w:val="4AA0E902"/>
    <w:rsid w:val="4C638386"/>
    <w:rsid w:val="4C9F7512"/>
    <w:rsid w:val="51184230"/>
    <w:rsid w:val="52D1C997"/>
    <w:rsid w:val="52D3C2D0"/>
    <w:rsid w:val="53203F02"/>
    <w:rsid w:val="544FDC6E"/>
    <w:rsid w:val="54501B7B"/>
    <w:rsid w:val="55983C89"/>
    <w:rsid w:val="57C6E4F2"/>
    <w:rsid w:val="57FA7D2D"/>
    <w:rsid w:val="6033C7CE"/>
    <w:rsid w:val="66833A74"/>
    <w:rsid w:val="66E23AA8"/>
    <w:rsid w:val="693851D8"/>
    <w:rsid w:val="6CAEDF5B"/>
    <w:rsid w:val="6FDC0DC8"/>
    <w:rsid w:val="700EF329"/>
    <w:rsid w:val="725762DD"/>
    <w:rsid w:val="7307C2CF"/>
    <w:rsid w:val="7440DE9A"/>
    <w:rsid w:val="7672EC81"/>
    <w:rsid w:val="7B81D376"/>
    <w:rsid w:val="7DE3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63291"/>
  <w15:docId w15:val="{725073E8-35D1-4A49-B8F3-94C21DCD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3B"/>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DA"/>
    <w:pPr>
      <w:autoSpaceDE w:val="0"/>
      <w:autoSpaceDN w:val="0"/>
      <w:adjustRightInd w:val="0"/>
      <w:spacing w:after="0"/>
      <w:jc w:val="left"/>
    </w:pPr>
    <w:rPr>
      <w:rFonts w:ascii="Arial" w:hAnsi="Arial" w:cs="Arial"/>
      <w:color w:val="000000"/>
      <w:sz w:val="24"/>
      <w:szCs w:val="24"/>
      <w:lang w:val="en-GB"/>
    </w:rPr>
  </w:style>
  <w:style w:type="table" w:styleId="TableGrid">
    <w:name w:val="Table Grid"/>
    <w:basedOn w:val="TableNormal"/>
    <w:uiPriority w:val="39"/>
    <w:rsid w:val="00626499"/>
    <w:pPr>
      <w:spacing w:after="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683C"/>
    <w:rPr>
      <w:b/>
      <w:bCs/>
    </w:rPr>
  </w:style>
  <w:style w:type="character" w:styleId="Hyperlink">
    <w:name w:val="Hyperlink"/>
    <w:basedOn w:val="DefaultParagraphFont"/>
    <w:uiPriority w:val="99"/>
    <w:unhideWhenUsed/>
    <w:rsid w:val="001656CE"/>
    <w:rPr>
      <w:b/>
      <w:color w:val="AA890A"/>
      <w:u w:val="single"/>
    </w:rPr>
  </w:style>
  <w:style w:type="character" w:styleId="CommentReference">
    <w:name w:val="annotation reference"/>
    <w:basedOn w:val="DefaultParagraphFont"/>
    <w:uiPriority w:val="99"/>
    <w:unhideWhenUsed/>
    <w:rsid w:val="00B37714"/>
    <w:rPr>
      <w:sz w:val="16"/>
      <w:szCs w:val="16"/>
    </w:rPr>
  </w:style>
  <w:style w:type="paragraph" w:styleId="CommentText">
    <w:name w:val="annotation text"/>
    <w:basedOn w:val="Normal"/>
    <w:link w:val="CommentTextChar"/>
    <w:uiPriority w:val="99"/>
    <w:unhideWhenUsed/>
    <w:rsid w:val="00B37714"/>
    <w:pPr>
      <w:spacing w:line="240" w:lineRule="auto"/>
    </w:pPr>
    <w:rPr>
      <w:sz w:val="20"/>
      <w:szCs w:val="20"/>
    </w:rPr>
  </w:style>
  <w:style w:type="character" w:customStyle="1" w:styleId="CommentTextChar">
    <w:name w:val="Comment Text Char"/>
    <w:basedOn w:val="DefaultParagraphFont"/>
    <w:link w:val="CommentText"/>
    <w:uiPriority w:val="99"/>
    <w:rsid w:val="00B37714"/>
    <w:rPr>
      <w:sz w:val="20"/>
      <w:szCs w:val="20"/>
      <w:lang w:val="en-GB"/>
    </w:rPr>
  </w:style>
  <w:style w:type="paragraph" w:styleId="CommentSubject">
    <w:name w:val="annotation subject"/>
    <w:basedOn w:val="CommentText"/>
    <w:next w:val="CommentText"/>
    <w:link w:val="CommentSubjectChar"/>
    <w:uiPriority w:val="99"/>
    <w:semiHidden/>
    <w:unhideWhenUsed/>
    <w:rsid w:val="00B37714"/>
    <w:rPr>
      <w:b/>
      <w:bCs/>
    </w:rPr>
  </w:style>
  <w:style w:type="character" w:customStyle="1" w:styleId="CommentSubjectChar">
    <w:name w:val="Comment Subject Char"/>
    <w:basedOn w:val="CommentTextChar"/>
    <w:link w:val="CommentSubject"/>
    <w:uiPriority w:val="99"/>
    <w:semiHidden/>
    <w:rsid w:val="00B37714"/>
    <w:rPr>
      <w:b/>
      <w:bCs/>
      <w:sz w:val="20"/>
      <w:szCs w:val="20"/>
      <w:lang w:val="en-GB"/>
    </w:rPr>
  </w:style>
  <w:style w:type="paragraph" w:styleId="BalloonText">
    <w:name w:val="Balloon Text"/>
    <w:basedOn w:val="Normal"/>
    <w:link w:val="BalloonTextChar"/>
    <w:uiPriority w:val="99"/>
    <w:semiHidden/>
    <w:unhideWhenUsed/>
    <w:rsid w:val="00B3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14"/>
    <w:rPr>
      <w:rFonts w:ascii="Segoe UI" w:hAnsi="Segoe UI" w:cs="Segoe UI"/>
      <w:sz w:val="18"/>
      <w:szCs w:val="18"/>
      <w:lang w:val="en-GB"/>
    </w:rPr>
  </w:style>
  <w:style w:type="paragraph" w:styleId="Header">
    <w:name w:val="header"/>
    <w:basedOn w:val="Normal"/>
    <w:link w:val="HeaderChar"/>
    <w:uiPriority w:val="99"/>
    <w:unhideWhenUsed/>
    <w:rsid w:val="0017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A5D"/>
    <w:rPr>
      <w:lang w:val="en-GB"/>
    </w:rPr>
  </w:style>
  <w:style w:type="paragraph" w:styleId="Footer">
    <w:name w:val="footer"/>
    <w:basedOn w:val="Normal"/>
    <w:link w:val="FooterChar"/>
    <w:uiPriority w:val="99"/>
    <w:unhideWhenUsed/>
    <w:rsid w:val="0017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A5D"/>
    <w:rPr>
      <w:lang w:val="en-GB"/>
    </w:rPr>
  </w:style>
  <w:style w:type="character" w:styleId="UnresolvedMention">
    <w:name w:val="Unresolved Mention"/>
    <w:basedOn w:val="DefaultParagraphFont"/>
    <w:uiPriority w:val="99"/>
    <w:semiHidden/>
    <w:unhideWhenUsed/>
    <w:rsid w:val="003D6EF0"/>
    <w:rPr>
      <w:color w:val="808080"/>
      <w:shd w:val="clear" w:color="auto" w:fill="E6E6E6"/>
    </w:rPr>
  </w:style>
  <w:style w:type="paragraph" w:styleId="ListParagraph">
    <w:name w:val="List Paragraph"/>
    <w:basedOn w:val="Normal"/>
    <w:uiPriority w:val="34"/>
    <w:qFormat/>
    <w:rsid w:val="00D827A6"/>
    <w:pPr>
      <w:ind w:left="720"/>
      <w:contextualSpacing/>
    </w:pPr>
  </w:style>
  <w:style w:type="character" w:customStyle="1" w:styleId="apple-converted-space">
    <w:name w:val="apple-converted-space"/>
    <w:basedOn w:val="DefaultParagraphFont"/>
    <w:rsid w:val="00D827A6"/>
  </w:style>
  <w:style w:type="character" w:styleId="FollowedHyperlink">
    <w:name w:val="FollowedHyperlink"/>
    <w:basedOn w:val="DefaultParagraphFont"/>
    <w:uiPriority w:val="99"/>
    <w:semiHidden/>
    <w:unhideWhenUsed/>
    <w:rsid w:val="00726478"/>
    <w:rPr>
      <w:color w:val="800080" w:themeColor="followedHyperlink"/>
      <w:u w:val="single"/>
    </w:rPr>
  </w:style>
  <w:style w:type="character" w:customStyle="1" w:styleId="ft4">
    <w:name w:val="ft4"/>
    <w:basedOn w:val="DefaultParagraphFont"/>
    <w:rsid w:val="00847890"/>
  </w:style>
  <w:style w:type="character" w:customStyle="1" w:styleId="ft13">
    <w:name w:val="ft13"/>
    <w:basedOn w:val="DefaultParagraphFont"/>
    <w:rsid w:val="00527886"/>
  </w:style>
  <w:style w:type="paragraph" w:styleId="Revision">
    <w:name w:val="Revision"/>
    <w:hidden/>
    <w:uiPriority w:val="99"/>
    <w:semiHidden/>
    <w:rsid w:val="002B2281"/>
    <w:pPr>
      <w:spacing w:after="0"/>
      <w:jc w:val="left"/>
    </w:pPr>
    <w:rPr>
      <w:lang w:val="en-GB"/>
    </w:rPr>
  </w:style>
  <w:style w:type="paragraph" w:styleId="EndnoteText">
    <w:name w:val="endnote text"/>
    <w:basedOn w:val="Normal"/>
    <w:link w:val="EndnoteTextChar"/>
    <w:uiPriority w:val="99"/>
    <w:unhideWhenUsed/>
    <w:rsid w:val="00CB40BB"/>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CB40BB"/>
    <w:rPr>
      <w:rFonts w:ascii="Calibri" w:hAnsi="Calibri" w:cs="Times New Roman"/>
      <w:sz w:val="20"/>
      <w:szCs w:val="20"/>
      <w:lang w:val="en-GB"/>
    </w:rPr>
  </w:style>
  <w:style w:type="character" w:styleId="EndnoteReference">
    <w:name w:val="endnote reference"/>
    <w:basedOn w:val="DefaultParagraphFont"/>
    <w:uiPriority w:val="99"/>
    <w:semiHidden/>
    <w:unhideWhenUsed/>
    <w:rsid w:val="00CB40BB"/>
    <w:rPr>
      <w:vertAlign w:val="superscript"/>
    </w:rPr>
  </w:style>
  <w:style w:type="character" w:customStyle="1" w:styleId="normaltextrun">
    <w:name w:val="normaltextrun"/>
    <w:basedOn w:val="DefaultParagraphFont"/>
    <w:rsid w:val="00F81A8C"/>
  </w:style>
  <w:style w:type="character" w:customStyle="1" w:styleId="eop">
    <w:name w:val="eop"/>
    <w:basedOn w:val="DefaultParagraphFont"/>
    <w:rsid w:val="00F81A8C"/>
  </w:style>
  <w:style w:type="paragraph" w:styleId="NormalWeb">
    <w:name w:val="Normal (Web)"/>
    <w:basedOn w:val="Normal"/>
    <w:uiPriority w:val="99"/>
    <w:semiHidden/>
    <w:unhideWhenUsed/>
    <w:rsid w:val="00D44E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360">
      <w:bodyDiv w:val="1"/>
      <w:marLeft w:val="0"/>
      <w:marRight w:val="0"/>
      <w:marTop w:val="0"/>
      <w:marBottom w:val="0"/>
      <w:divBdr>
        <w:top w:val="none" w:sz="0" w:space="0" w:color="auto"/>
        <w:left w:val="none" w:sz="0" w:space="0" w:color="auto"/>
        <w:bottom w:val="none" w:sz="0" w:space="0" w:color="auto"/>
        <w:right w:val="none" w:sz="0" w:space="0" w:color="auto"/>
      </w:divBdr>
    </w:div>
    <w:div w:id="115561477">
      <w:bodyDiv w:val="1"/>
      <w:marLeft w:val="0"/>
      <w:marRight w:val="0"/>
      <w:marTop w:val="0"/>
      <w:marBottom w:val="0"/>
      <w:divBdr>
        <w:top w:val="none" w:sz="0" w:space="0" w:color="auto"/>
        <w:left w:val="none" w:sz="0" w:space="0" w:color="auto"/>
        <w:bottom w:val="none" w:sz="0" w:space="0" w:color="auto"/>
        <w:right w:val="none" w:sz="0" w:space="0" w:color="auto"/>
      </w:divBdr>
      <w:divsChild>
        <w:div w:id="1279265408">
          <w:marLeft w:val="0"/>
          <w:marRight w:val="0"/>
          <w:marTop w:val="300"/>
          <w:marBottom w:val="0"/>
          <w:divBdr>
            <w:top w:val="none" w:sz="0" w:space="0" w:color="auto"/>
            <w:left w:val="none" w:sz="0" w:space="0" w:color="auto"/>
            <w:bottom w:val="none" w:sz="0" w:space="0" w:color="auto"/>
            <w:right w:val="none" w:sz="0" w:space="0" w:color="auto"/>
          </w:divBdr>
        </w:div>
        <w:div w:id="1795714409">
          <w:marLeft w:val="0"/>
          <w:marRight w:val="0"/>
          <w:marTop w:val="0"/>
          <w:marBottom w:val="0"/>
          <w:divBdr>
            <w:top w:val="none" w:sz="0" w:space="0" w:color="auto"/>
            <w:left w:val="none" w:sz="0" w:space="0" w:color="auto"/>
            <w:bottom w:val="none" w:sz="0" w:space="0" w:color="auto"/>
            <w:right w:val="none" w:sz="0" w:space="0" w:color="auto"/>
          </w:divBdr>
          <w:divsChild>
            <w:div w:id="1685016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99211">
      <w:bodyDiv w:val="1"/>
      <w:marLeft w:val="0"/>
      <w:marRight w:val="0"/>
      <w:marTop w:val="0"/>
      <w:marBottom w:val="0"/>
      <w:divBdr>
        <w:top w:val="none" w:sz="0" w:space="0" w:color="auto"/>
        <w:left w:val="none" w:sz="0" w:space="0" w:color="auto"/>
        <w:bottom w:val="none" w:sz="0" w:space="0" w:color="auto"/>
        <w:right w:val="none" w:sz="0" w:space="0" w:color="auto"/>
      </w:divBdr>
      <w:divsChild>
        <w:div w:id="1254127865">
          <w:marLeft w:val="547"/>
          <w:marRight w:val="0"/>
          <w:marTop w:val="0"/>
          <w:marBottom w:val="0"/>
          <w:divBdr>
            <w:top w:val="none" w:sz="0" w:space="0" w:color="auto"/>
            <w:left w:val="none" w:sz="0" w:space="0" w:color="auto"/>
            <w:bottom w:val="none" w:sz="0" w:space="0" w:color="auto"/>
            <w:right w:val="none" w:sz="0" w:space="0" w:color="auto"/>
          </w:divBdr>
        </w:div>
      </w:divsChild>
    </w:div>
    <w:div w:id="371879246">
      <w:bodyDiv w:val="1"/>
      <w:marLeft w:val="0"/>
      <w:marRight w:val="0"/>
      <w:marTop w:val="0"/>
      <w:marBottom w:val="0"/>
      <w:divBdr>
        <w:top w:val="none" w:sz="0" w:space="0" w:color="auto"/>
        <w:left w:val="none" w:sz="0" w:space="0" w:color="auto"/>
        <w:bottom w:val="none" w:sz="0" w:space="0" w:color="auto"/>
        <w:right w:val="none" w:sz="0" w:space="0" w:color="auto"/>
      </w:divBdr>
    </w:div>
    <w:div w:id="1380932482">
      <w:bodyDiv w:val="1"/>
      <w:marLeft w:val="0"/>
      <w:marRight w:val="0"/>
      <w:marTop w:val="0"/>
      <w:marBottom w:val="0"/>
      <w:divBdr>
        <w:top w:val="none" w:sz="0" w:space="0" w:color="auto"/>
        <w:left w:val="none" w:sz="0" w:space="0" w:color="auto"/>
        <w:bottom w:val="none" w:sz="0" w:space="0" w:color="auto"/>
        <w:right w:val="none" w:sz="0" w:space="0" w:color="auto"/>
      </w:divBdr>
    </w:div>
    <w:div w:id="162164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19601/cpcf-2019-to-2024.pdf" TargetMode="External"/><Relationship Id="rId18" Type="http://schemas.openxmlformats.org/officeDocument/2006/relationships/hyperlink" Target="https://psnc.org.uk/wp-content/uploads/2021/05/PSNC-Pharmacy-Advice-Audit-2021-A-summary-of-findings.pdf" TargetMode="External"/><Relationship Id="rId26" Type="http://schemas.openxmlformats.org/officeDocument/2006/relationships/image" Target="media/image13.png"/><Relationship Id="rId39" Type="http://schemas.openxmlformats.org/officeDocument/2006/relationships/image" Target="media/image26.svg"/><Relationship Id="rId21" Type="http://schemas.openxmlformats.org/officeDocument/2006/relationships/hyperlink" Target="https://psnc.org.uk/wp-content/uploads/2021/05/PSNC-Pharmacy-Advice-Audit-2021-A-summary-of-findings.pdf" TargetMode="External"/><Relationship Id="rId34" Type="http://schemas.openxmlformats.org/officeDocument/2006/relationships/image" Target="media/image21.png"/><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svg"/><Relationship Id="rId40" Type="http://schemas.openxmlformats.org/officeDocument/2006/relationships/image" Target="media/image27.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8.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svg"/><Relationship Id="rId30" Type="http://schemas.openxmlformats.org/officeDocument/2006/relationships/image" Target="media/image17.png"/><Relationship Id="rId35" Type="http://schemas.openxmlformats.org/officeDocument/2006/relationships/image" Target="media/image22.svg"/><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image" Target="media/image6.svg"/><Relationship Id="rId25" Type="http://schemas.openxmlformats.org/officeDocument/2006/relationships/image" Target="media/image12.svg"/><Relationship Id="rId33" Type="http://schemas.openxmlformats.org/officeDocument/2006/relationships/image" Target="media/image20.svg"/><Relationship Id="rId38" Type="http://schemas.openxmlformats.org/officeDocument/2006/relationships/image" Target="media/image25.png"/><Relationship Id="rId20" Type="http://schemas.openxmlformats.org/officeDocument/2006/relationships/image" Target="media/image8.svg"/><Relationship Id="rId41" Type="http://schemas.openxmlformats.org/officeDocument/2006/relationships/image" Target="media/image28.svg"/></Relationships>
</file>

<file path=word/_rels/footer1.xml.rels><?xml version="1.0" encoding="UTF-8" standalone="yes"?>
<Relationships xmlns="http://schemas.openxmlformats.org/package/2006/relationships"><Relationship Id="rId1" Type="http://schemas.openxmlformats.org/officeDocument/2006/relationships/image" Target="media/image30.JPG"/></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D17D9E47F34429ADF1BDAA305EC92" ma:contentTypeVersion="" ma:contentTypeDescription="Create a new document." ma:contentTypeScope="" ma:versionID="4756f7112959fe7a6ed120f390ba1135">
  <xsd:schema xmlns:xsd="http://www.w3.org/2001/XMLSchema" xmlns:xs="http://www.w3.org/2001/XMLSchema" xmlns:p="http://schemas.microsoft.com/office/2006/metadata/properties" xmlns:ns2="1c7d3551-5694-4f12-b35a-d9a7a462ea4b" xmlns:ns3="57de621b-792f-4589-82be-4aea2ca125fe" targetNamespace="http://schemas.microsoft.com/office/2006/metadata/properties" ma:root="true" ma:fieldsID="ae487af407d1e9754ce13d4bdb1649c3" ns2:_="" ns3:_="">
    <xsd:import namespace="1c7d3551-5694-4f12-b35a-d9a7a462ea4b"/>
    <xsd:import namespace="57de621b-792f-4589-82be-4aea2ca12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e621b-792f-4589-82be-4aea2ca12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8636-3614-4575-8728-AD0BD5E53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D6C0E-A828-4AE5-8A6F-2EB9F90394FB}">
  <ds:schemaRefs>
    <ds:schemaRef ds:uri="http://schemas.microsoft.com/sharepoint/v3/contenttype/forms"/>
  </ds:schemaRefs>
</ds:datastoreItem>
</file>

<file path=customXml/itemProps3.xml><?xml version="1.0" encoding="utf-8"?>
<ds:datastoreItem xmlns:ds="http://schemas.openxmlformats.org/officeDocument/2006/customXml" ds:itemID="{8793CD93-682D-4B0E-A7CC-04FE7595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57de621b-792f-4589-82be-4aea2ca1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4EC72-4780-4885-9ECD-AEF4FB96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Gilliam, Jamie</cp:lastModifiedBy>
  <cp:revision>2</cp:revision>
  <cp:lastPrinted>2021-09-09T19:29:00Z</cp:lastPrinted>
  <dcterms:created xsi:type="dcterms:W3CDTF">2021-10-01T13:11:00Z</dcterms:created>
  <dcterms:modified xsi:type="dcterms:W3CDTF">2021-10-01T13:11:00Z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0x010100F17D17D9E47F34429ADF1BDAA305EC92</vt:lpwstr>
  </property>
</Properties>
</file>