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3C129" w14:textId="77777777" w:rsidR="0010343E" w:rsidRDefault="0010343E" w:rsidP="0010343E">
      <w:pPr>
        <w:pStyle w:val="paragraph"/>
        <w:spacing w:before="0" w:beforeAutospacing="0" w:after="0" w:afterAutospacing="0"/>
        <w:ind w:left="1125" w:right="1125"/>
        <w:jc w:val="center"/>
        <w:textAlignment w:val="baseline"/>
        <w:rPr>
          <w:rFonts w:ascii="Segoe UI" w:hAnsi="Segoe UI" w:cs="Segoe UI"/>
          <w:b/>
          <w:bCs/>
          <w:sz w:val="18"/>
          <w:szCs w:val="18"/>
        </w:rPr>
      </w:pPr>
      <w:r>
        <w:rPr>
          <w:rStyle w:val="normaltextrun"/>
          <w:rFonts w:ascii="Calibri" w:hAnsi="Calibri" w:cs="Calibri"/>
          <w:b/>
          <w:bCs/>
          <w:color w:val="5B518E"/>
          <w:sz w:val="28"/>
          <w:szCs w:val="28"/>
        </w:rPr>
        <w:t>Pharmaceutical Services Negotiating Committee </w:t>
      </w:r>
      <w:r>
        <w:rPr>
          <w:rStyle w:val="eop"/>
          <w:rFonts w:ascii="Calibri" w:hAnsi="Calibri" w:cs="Calibri"/>
          <w:b/>
          <w:bCs/>
          <w:color w:val="5B518E"/>
          <w:sz w:val="28"/>
          <w:szCs w:val="28"/>
        </w:rPr>
        <w:t> </w:t>
      </w:r>
    </w:p>
    <w:p w14:paraId="5B05ECD4" w14:textId="77777777" w:rsidR="0010343E" w:rsidRDefault="0010343E" w:rsidP="0010343E">
      <w:pPr>
        <w:pStyle w:val="paragraph"/>
        <w:spacing w:before="0" w:beforeAutospacing="0" w:after="0" w:afterAutospacing="0"/>
        <w:ind w:left="1125" w:right="1125"/>
        <w:jc w:val="center"/>
        <w:textAlignment w:val="baseline"/>
        <w:rPr>
          <w:rFonts w:ascii="Segoe UI" w:hAnsi="Segoe UI" w:cs="Segoe UI"/>
          <w:b/>
          <w:bCs/>
          <w:sz w:val="18"/>
          <w:szCs w:val="18"/>
        </w:rPr>
      </w:pPr>
      <w:r>
        <w:rPr>
          <w:rStyle w:val="normaltextrun"/>
          <w:rFonts w:ascii="Calibri" w:hAnsi="Calibri" w:cs="Calibri"/>
          <w:b/>
          <w:bCs/>
          <w:color w:val="5B518E"/>
          <w:sz w:val="28"/>
          <w:szCs w:val="28"/>
        </w:rPr>
        <w:t>Funding and Contract Subcommittee Agenda</w:t>
      </w:r>
      <w:r>
        <w:rPr>
          <w:rStyle w:val="eop"/>
          <w:rFonts w:ascii="Calibri" w:hAnsi="Calibri" w:cs="Calibri"/>
          <w:b/>
          <w:bCs/>
          <w:color w:val="5B518E"/>
          <w:sz w:val="28"/>
          <w:szCs w:val="28"/>
        </w:rPr>
        <w:t> </w:t>
      </w:r>
    </w:p>
    <w:p w14:paraId="0D5B5DEE" w14:textId="77777777" w:rsidR="0010343E" w:rsidRDefault="0010343E" w:rsidP="0010343E">
      <w:pPr>
        <w:pStyle w:val="paragraph"/>
        <w:spacing w:before="0" w:beforeAutospacing="0" w:after="0" w:afterAutospacing="0"/>
        <w:ind w:left="1125" w:right="1125"/>
        <w:jc w:val="center"/>
        <w:textAlignment w:val="baseline"/>
        <w:rPr>
          <w:rFonts w:ascii="Segoe UI" w:hAnsi="Segoe UI" w:cs="Segoe UI"/>
          <w:sz w:val="18"/>
          <w:szCs w:val="18"/>
        </w:rPr>
      </w:pPr>
      <w:r>
        <w:rPr>
          <w:rStyle w:val="eop"/>
          <w:rFonts w:ascii="Calibri" w:hAnsi="Calibri" w:cs="Calibri"/>
          <w:sz w:val="28"/>
          <w:szCs w:val="28"/>
        </w:rPr>
        <w:t> </w:t>
      </w:r>
    </w:p>
    <w:p w14:paraId="052F2FEF" w14:textId="75600A91" w:rsidR="0010343E" w:rsidRDefault="0010343E" w:rsidP="3F4F7646">
      <w:pPr>
        <w:pStyle w:val="paragraph"/>
        <w:spacing w:before="0" w:beforeAutospacing="0" w:after="0" w:afterAutospacing="0"/>
        <w:ind w:left="1125" w:right="1125"/>
        <w:jc w:val="center"/>
        <w:textAlignment w:val="baseline"/>
        <w:rPr>
          <w:rFonts w:ascii="Segoe UI" w:hAnsi="Segoe UI" w:cs="Segoe UI"/>
          <w:sz w:val="18"/>
          <w:szCs w:val="18"/>
        </w:rPr>
      </w:pPr>
      <w:r w:rsidRPr="3F4F7646">
        <w:rPr>
          <w:rStyle w:val="normaltextrun"/>
          <w:rFonts w:ascii="Calibri" w:hAnsi="Calibri" w:cs="Calibri"/>
          <w:b/>
          <w:bCs/>
          <w:color w:val="5B518E"/>
          <w:sz w:val="28"/>
          <w:szCs w:val="28"/>
        </w:rPr>
        <w:t xml:space="preserve">Wednesday </w:t>
      </w:r>
      <w:r w:rsidR="2D59BA1C" w:rsidRPr="3F4F7646">
        <w:rPr>
          <w:rStyle w:val="normaltextrun"/>
          <w:rFonts w:ascii="Calibri" w:hAnsi="Calibri" w:cs="Calibri"/>
          <w:b/>
          <w:bCs/>
          <w:color w:val="5B518E"/>
          <w:sz w:val="28"/>
          <w:szCs w:val="28"/>
        </w:rPr>
        <w:t>8</w:t>
      </w:r>
      <w:r w:rsidRPr="3F4F7646">
        <w:rPr>
          <w:rStyle w:val="normaltextrun"/>
          <w:rFonts w:ascii="Calibri" w:hAnsi="Calibri" w:cs="Calibri"/>
          <w:b/>
          <w:bCs/>
          <w:color w:val="5B518E"/>
          <w:sz w:val="28"/>
          <w:szCs w:val="28"/>
          <w:vertAlign w:val="superscript"/>
        </w:rPr>
        <w:t>th</w:t>
      </w:r>
      <w:r w:rsidRPr="3F4F7646">
        <w:rPr>
          <w:rStyle w:val="normaltextrun"/>
          <w:rFonts w:ascii="Calibri" w:hAnsi="Calibri" w:cs="Calibri"/>
          <w:b/>
          <w:bCs/>
          <w:color w:val="5B518E"/>
          <w:sz w:val="28"/>
          <w:szCs w:val="28"/>
        </w:rPr>
        <w:t xml:space="preserve"> </w:t>
      </w:r>
      <w:r w:rsidR="21DFA259" w:rsidRPr="3F4F7646">
        <w:rPr>
          <w:rStyle w:val="normaltextrun"/>
          <w:rFonts w:ascii="Calibri" w:hAnsi="Calibri" w:cs="Calibri"/>
          <w:b/>
          <w:bCs/>
          <w:color w:val="5B518E"/>
          <w:sz w:val="28"/>
          <w:szCs w:val="28"/>
        </w:rPr>
        <w:t>September</w:t>
      </w:r>
      <w:r w:rsidRPr="3F4F7646">
        <w:rPr>
          <w:rStyle w:val="normaltextrun"/>
          <w:rFonts w:ascii="Calibri" w:hAnsi="Calibri" w:cs="Calibri"/>
          <w:b/>
          <w:bCs/>
          <w:color w:val="5B518E"/>
          <w:sz w:val="28"/>
          <w:szCs w:val="28"/>
        </w:rPr>
        <w:t xml:space="preserve"> 2021</w:t>
      </w:r>
      <w:r w:rsidRPr="3F4F7646">
        <w:rPr>
          <w:rStyle w:val="eop"/>
          <w:rFonts w:ascii="Calibri" w:hAnsi="Calibri" w:cs="Calibri"/>
          <w:color w:val="5B518E"/>
          <w:sz w:val="28"/>
          <w:szCs w:val="28"/>
        </w:rPr>
        <w:t> </w:t>
      </w:r>
      <w:r>
        <w:br/>
      </w:r>
    </w:p>
    <w:p w14:paraId="42785E50" w14:textId="7D4DBC11" w:rsidR="0010343E" w:rsidRDefault="0010343E" w:rsidP="3F4F7646">
      <w:pPr>
        <w:pStyle w:val="paragraph"/>
        <w:spacing w:before="0" w:beforeAutospacing="0" w:after="0" w:afterAutospacing="0"/>
        <w:ind w:left="1125" w:right="1125"/>
        <w:jc w:val="center"/>
        <w:textAlignment w:val="baseline"/>
        <w:rPr>
          <w:rStyle w:val="normaltextrun"/>
          <w:rFonts w:ascii="Calibri" w:hAnsi="Calibri" w:cs="Calibri"/>
          <w:b/>
          <w:bCs/>
          <w:color w:val="5B518E"/>
          <w:sz w:val="28"/>
          <w:szCs w:val="28"/>
          <w:shd w:val="clear" w:color="auto" w:fill="FFFFFF"/>
        </w:rPr>
      </w:pPr>
      <w:r>
        <w:rPr>
          <w:rStyle w:val="normaltextrun"/>
          <w:rFonts w:ascii="Calibri" w:hAnsi="Calibri" w:cs="Calibri"/>
          <w:b/>
          <w:bCs/>
          <w:color w:val="5B518E"/>
          <w:sz w:val="28"/>
          <w:szCs w:val="28"/>
          <w:shd w:val="clear" w:color="auto" w:fill="FFFFFF"/>
        </w:rPr>
        <w:t>Zoom virtual meeting commencing at </w:t>
      </w:r>
      <w:r w:rsidR="410B130B">
        <w:rPr>
          <w:rStyle w:val="normaltextrun"/>
          <w:rFonts w:ascii="Calibri" w:hAnsi="Calibri" w:cs="Calibri"/>
          <w:b/>
          <w:bCs/>
          <w:color w:val="5B518E"/>
          <w:sz w:val="28"/>
          <w:szCs w:val="28"/>
          <w:shd w:val="clear" w:color="auto" w:fill="FFFFFF"/>
        </w:rPr>
        <w:t>09</w:t>
      </w:r>
      <w:r>
        <w:rPr>
          <w:rStyle w:val="normaltextrun"/>
          <w:rFonts w:ascii="Calibri" w:hAnsi="Calibri" w:cs="Calibri"/>
          <w:b/>
          <w:bCs/>
          <w:color w:val="5B518E"/>
          <w:sz w:val="28"/>
          <w:szCs w:val="28"/>
          <w:shd w:val="clear" w:color="auto" w:fill="FFFFFF"/>
        </w:rPr>
        <w:t>:00 </w:t>
      </w:r>
      <w:r w:rsidR="7EF8E118">
        <w:rPr>
          <w:rStyle w:val="normaltextrun"/>
          <w:rFonts w:ascii="Calibri" w:hAnsi="Calibri" w:cs="Calibri"/>
          <w:b/>
          <w:bCs/>
          <w:color w:val="5B518E"/>
          <w:sz w:val="28"/>
          <w:szCs w:val="28"/>
          <w:shd w:val="clear" w:color="auto" w:fill="FFFFFF"/>
        </w:rPr>
        <w:t>a</w:t>
      </w:r>
      <w:r>
        <w:rPr>
          <w:rStyle w:val="normaltextrun"/>
          <w:rFonts w:ascii="Calibri" w:hAnsi="Calibri" w:cs="Calibri"/>
          <w:b/>
          <w:bCs/>
          <w:color w:val="5B518E"/>
          <w:sz w:val="28"/>
          <w:szCs w:val="28"/>
          <w:shd w:val="clear" w:color="auto" w:fill="FFFFFF"/>
        </w:rPr>
        <w:t>m</w:t>
      </w:r>
    </w:p>
    <w:p w14:paraId="7E4E8756" w14:textId="14274B17" w:rsidR="0010343E" w:rsidRDefault="0010343E" w:rsidP="0010343E">
      <w:pPr>
        <w:pStyle w:val="paragraph"/>
        <w:spacing w:before="0" w:beforeAutospacing="0" w:after="0" w:afterAutospacing="0"/>
        <w:ind w:left="1125" w:right="1125"/>
        <w:jc w:val="center"/>
        <w:textAlignment w:val="baseline"/>
        <w:rPr>
          <w:rFonts w:ascii="Segoe UI" w:hAnsi="Segoe UI" w:cs="Segoe UI"/>
          <w:sz w:val="18"/>
          <w:szCs w:val="18"/>
        </w:rPr>
      </w:pPr>
      <w:r>
        <w:rPr>
          <w:rStyle w:val="normaltextrun"/>
          <w:rFonts w:ascii="Calibri" w:hAnsi="Calibri" w:cs="Calibri"/>
          <w:color w:val="000000"/>
          <w:sz w:val="28"/>
          <w:szCs w:val="28"/>
          <w:shd w:val="clear" w:color="auto" w:fill="FFFFFF"/>
        </w:rPr>
        <w:t> </w:t>
      </w:r>
      <w:r>
        <w:rPr>
          <w:rStyle w:val="eop"/>
          <w:rFonts w:ascii="Calibri" w:hAnsi="Calibri" w:cs="Calibri"/>
          <w:color w:val="000000"/>
          <w:sz w:val="28"/>
          <w:szCs w:val="28"/>
        </w:rPr>
        <w:t> </w:t>
      </w:r>
    </w:p>
    <w:p w14:paraId="25AAF231" w14:textId="1EC6FC4E" w:rsidR="0010343E" w:rsidRDefault="0010343E" w:rsidP="0010343E">
      <w:pPr>
        <w:pStyle w:val="paragraph"/>
        <w:spacing w:before="0" w:beforeAutospacing="0" w:after="0" w:afterAutospacing="0"/>
        <w:ind w:left="1125" w:right="1125"/>
        <w:jc w:val="center"/>
        <w:textAlignment w:val="baseline"/>
        <w:rPr>
          <w:rFonts w:ascii="Segoe UI" w:hAnsi="Segoe UI" w:cs="Segoe UI"/>
          <w:sz w:val="18"/>
          <w:szCs w:val="18"/>
        </w:rPr>
      </w:pPr>
      <w:r>
        <w:rPr>
          <w:rStyle w:val="normaltextrun"/>
          <w:rFonts w:ascii="Calibri" w:hAnsi="Calibri" w:cs="Calibri"/>
          <w:b/>
          <w:bCs/>
          <w:color w:val="5B518E"/>
        </w:rPr>
        <w:t>Items are confidential where marked</w:t>
      </w:r>
      <w:r>
        <w:rPr>
          <w:rStyle w:val="normaltextrun"/>
          <w:rFonts w:ascii="Calibri" w:hAnsi="Calibri" w:cs="Calibri"/>
          <w:b/>
          <w:bCs/>
          <w:color w:val="5B518E"/>
        </w:rPr>
        <w:br/>
      </w:r>
      <w:r>
        <w:rPr>
          <w:rStyle w:val="eop"/>
          <w:rFonts w:ascii="Calibri" w:hAnsi="Calibri" w:cs="Calibri"/>
          <w:color w:val="5B518E"/>
        </w:rPr>
        <w:t> </w:t>
      </w:r>
    </w:p>
    <w:p w14:paraId="2A1A16B2" w14:textId="16E9DFA8" w:rsidR="0010343E" w:rsidRDefault="0010343E" w:rsidP="3F4F7646">
      <w:pPr>
        <w:pStyle w:val="paragraph"/>
        <w:spacing w:before="0" w:beforeAutospacing="0" w:after="0" w:afterAutospacing="0"/>
        <w:ind w:right="255"/>
        <w:textAlignment w:val="baseline"/>
        <w:rPr>
          <w:rFonts w:ascii="Segoe UI" w:hAnsi="Segoe UI" w:cs="Segoe UI"/>
          <w:sz w:val="18"/>
          <w:szCs w:val="18"/>
        </w:rPr>
      </w:pPr>
      <w:r w:rsidRPr="4EAEB347">
        <w:rPr>
          <w:rStyle w:val="normaltextrun"/>
          <w:rFonts w:ascii="Calibri" w:hAnsi="Calibri" w:cs="Calibri"/>
          <w:b/>
          <w:bCs/>
          <w:color w:val="5B518E"/>
          <w:sz w:val="22"/>
          <w:szCs w:val="22"/>
        </w:rPr>
        <w:t>Members:</w:t>
      </w:r>
      <w:r w:rsidRPr="4EAEB347">
        <w:rPr>
          <w:rStyle w:val="normaltextrun"/>
          <w:b/>
          <w:bCs/>
          <w:color w:val="5B518E"/>
          <w:sz w:val="22"/>
          <w:szCs w:val="22"/>
        </w:rPr>
        <w:t> </w:t>
      </w:r>
      <w:r w:rsidRPr="4EAEB347">
        <w:rPr>
          <w:rStyle w:val="normaltextrun"/>
          <w:rFonts w:ascii="Calibri" w:hAnsi="Calibri" w:cs="Calibri"/>
          <w:sz w:val="22"/>
          <w:szCs w:val="22"/>
        </w:rPr>
        <w:t>David Broome, Peter Cattee (Chairman), Jas Heer, Tricia Kennerley, Margaret MacRury, Has Modi, Bharat Patel, </w:t>
      </w:r>
      <w:r w:rsidR="0DD5A373" w:rsidRPr="4EAEB347">
        <w:rPr>
          <w:rStyle w:val="normaltextrun"/>
          <w:rFonts w:ascii="Calibri" w:hAnsi="Calibri" w:cs="Calibri"/>
          <w:sz w:val="22"/>
          <w:szCs w:val="22"/>
        </w:rPr>
        <w:t xml:space="preserve">Prakash Patel, </w:t>
      </w:r>
      <w:r w:rsidRPr="4EAEB347">
        <w:rPr>
          <w:rStyle w:val="normaltextrun"/>
          <w:rFonts w:ascii="Calibri" w:hAnsi="Calibri" w:cs="Calibri"/>
          <w:sz w:val="22"/>
          <w:szCs w:val="22"/>
        </w:rPr>
        <w:t>Adrian Price, Anil Sharma</w:t>
      </w:r>
      <w:r w:rsidRPr="4EAEB347">
        <w:rPr>
          <w:rStyle w:val="eop"/>
          <w:rFonts w:ascii="Calibri" w:hAnsi="Calibri" w:cs="Calibri"/>
          <w:sz w:val="22"/>
          <w:szCs w:val="22"/>
        </w:rPr>
        <w:t> </w:t>
      </w:r>
    </w:p>
    <w:p w14:paraId="45E57CC9" w14:textId="77777777" w:rsidR="0010343E" w:rsidRDefault="0010343E" w:rsidP="0010343E">
      <w:pPr>
        <w:pStyle w:val="paragraph"/>
        <w:spacing w:before="0" w:beforeAutospacing="0" w:after="0" w:afterAutospacing="0"/>
        <w:ind w:left="1125" w:right="1125"/>
        <w:textAlignment w:val="baseline"/>
        <w:rPr>
          <w:rFonts w:ascii="Segoe UI" w:hAnsi="Segoe UI" w:cs="Segoe UI"/>
          <w:sz w:val="18"/>
          <w:szCs w:val="18"/>
        </w:rPr>
      </w:pPr>
      <w:r>
        <w:rPr>
          <w:rStyle w:val="eop"/>
          <w:rFonts w:ascii="Calibri" w:hAnsi="Calibri" w:cs="Calibri"/>
          <w:sz w:val="22"/>
          <w:szCs w:val="22"/>
        </w:rPr>
        <w:t> </w:t>
      </w:r>
    </w:p>
    <w:p w14:paraId="0FF107DC" w14:textId="77777777" w:rsidR="0010343E" w:rsidRDefault="0010343E" w:rsidP="0010343E">
      <w:pPr>
        <w:pStyle w:val="paragraph"/>
        <w:spacing w:before="0" w:beforeAutospacing="0" w:after="0" w:afterAutospacing="0"/>
        <w:ind w:right="1125"/>
        <w:textAlignment w:val="baseline"/>
        <w:rPr>
          <w:rFonts w:ascii="Segoe UI" w:hAnsi="Segoe UI" w:cs="Segoe UI"/>
          <w:sz w:val="18"/>
          <w:szCs w:val="18"/>
        </w:rPr>
      </w:pPr>
      <w:r>
        <w:rPr>
          <w:rStyle w:val="normaltextrun"/>
          <w:rFonts w:ascii="Calibri" w:hAnsi="Calibri" w:cs="Calibri"/>
          <w:b/>
          <w:bCs/>
          <w:color w:val="5B518E"/>
          <w:sz w:val="22"/>
          <w:szCs w:val="22"/>
        </w:rPr>
        <w:t>In attendance: </w:t>
      </w:r>
      <w:r>
        <w:rPr>
          <w:rStyle w:val="normaltextrun"/>
          <w:rFonts w:ascii="Calibri" w:hAnsi="Calibri" w:cs="Calibri"/>
          <w:sz w:val="22"/>
          <w:szCs w:val="22"/>
        </w:rPr>
        <w:t>Simon Dukes, Mike Dent, Jack Cresswell, Suraj Shah, Rob Thomas</w:t>
      </w:r>
      <w:r>
        <w:rPr>
          <w:rStyle w:val="eop"/>
          <w:rFonts w:ascii="Calibri" w:hAnsi="Calibri" w:cs="Calibri"/>
          <w:sz w:val="22"/>
          <w:szCs w:val="22"/>
        </w:rPr>
        <w:t> </w:t>
      </w:r>
    </w:p>
    <w:p w14:paraId="2CC7386C" w14:textId="77777777" w:rsidR="0010343E" w:rsidRDefault="0010343E" w:rsidP="0010343E">
      <w:pPr>
        <w:pStyle w:val="paragraph"/>
        <w:spacing w:before="0" w:beforeAutospacing="0" w:after="0" w:afterAutospacing="0"/>
        <w:ind w:left="1125" w:right="1125"/>
        <w:textAlignment w:val="baseline"/>
        <w:rPr>
          <w:rFonts w:ascii="Segoe UI" w:hAnsi="Segoe UI" w:cs="Segoe UI"/>
          <w:sz w:val="18"/>
          <w:szCs w:val="18"/>
        </w:rPr>
      </w:pPr>
      <w:r>
        <w:rPr>
          <w:rStyle w:val="eop"/>
          <w:rFonts w:ascii="Calibri" w:hAnsi="Calibri" w:cs="Calibri"/>
          <w:sz w:val="22"/>
          <w:szCs w:val="22"/>
        </w:rPr>
        <w:t> </w:t>
      </w:r>
    </w:p>
    <w:p w14:paraId="6AF99E48" w14:textId="053A147D" w:rsidR="0010343E" w:rsidRDefault="0010343E" w:rsidP="0010343E">
      <w:pPr>
        <w:pStyle w:val="paragraph"/>
        <w:numPr>
          <w:ilvl w:val="0"/>
          <w:numId w:val="18"/>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Welcome from Chair</w:t>
      </w:r>
      <w:r>
        <w:rPr>
          <w:rStyle w:val="eop"/>
          <w:rFonts w:ascii="Calibri" w:hAnsi="Calibri" w:cs="Calibri"/>
          <w:sz w:val="22"/>
          <w:szCs w:val="22"/>
        </w:rPr>
        <w:t> </w:t>
      </w:r>
    </w:p>
    <w:p w14:paraId="2030BB48" w14:textId="77777777" w:rsidR="0010343E" w:rsidRDefault="0010343E" w:rsidP="0010343E">
      <w:pPr>
        <w:pStyle w:val="paragraph"/>
        <w:spacing w:before="0" w:beforeAutospacing="0" w:after="0" w:afterAutospacing="0"/>
        <w:ind w:left="720"/>
        <w:textAlignment w:val="baseline"/>
        <w:rPr>
          <w:rFonts w:ascii="Calibri" w:hAnsi="Calibri" w:cs="Calibri"/>
          <w:sz w:val="22"/>
          <w:szCs w:val="22"/>
        </w:rPr>
      </w:pPr>
    </w:p>
    <w:p w14:paraId="3E2F7095" w14:textId="6FC17D34" w:rsidR="0010343E" w:rsidRPr="0010343E" w:rsidRDefault="0010343E" w:rsidP="0010343E">
      <w:pPr>
        <w:pStyle w:val="paragraph"/>
        <w:numPr>
          <w:ilvl w:val="0"/>
          <w:numId w:val="18"/>
        </w:numPr>
        <w:spacing w:before="0" w:beforeAutospacing="0" w:after="0" w:afterAutospacing="0"/>
        <w:textAlignment w:val="baseline"/>
        <w:rPr>
          <w:rStyle w:val="normaltextrun"/>
          <w:rFonts w:ascii="Calibri" w:hAnsi="Calibri" w:cs="Calibri"/>
          <w:sz w:val="22"/>
          <w:szCs w:val="22"/>
        </w:rPr>
      </w:pPr>
      <w:r w:rsidRPr="0010343E">
        <w:rPr>
          <w:rStyle w:val="normaltextrun"/>
          <w:rFonts w:ascii="Calibri" w:hAnsi="Calibri" w:cs="Calibri"/>
          <w:sz w:val="22"/>
          <w:szCs w:val="22"/>
        </w:rPr>
        <w:t>Apologies for absence</w:t>
      </w:r>
      <w:r w:rsidRPr="0010343E">
        <w:rPr>
          <w:rStyle w:val="eop"/>
          <w:rFonts w:ascii="Calibri" w:hAnsi="Calibri" w:cs="Calibri"/>
          <w:sz w:val="22"/>
          <w:szCs w:val="22"/>
        </w:rPr>
        <w:t> </w:t>
      </w:r>
      <w:r>
        <w:rPr>
          <w:rStyle w:val="eop"/>
          <w:rFonts w:ascii="Calibri" w:hAnsi="Calibri" w:cs="Calibri"/>
          <w:sz w:val="22"/>
          <w:szCs w:val="22"/>
        </w:rPr>
        <w:br/>
      </w:r>
    </w:p>
    <w:p w14:paraId="083B5D91" w14:textId="68813BCC" w:rsidR="0010343E" w:rsidRDefault="0010343E" w:rsidP="0010343E">
      <w:pPr>
        <w:pStyle w:val="paragraph"/>
        <w:numPr>
          <w:ilvl w:val="0"/>
          <w:numId w:val="18"/>
        </w:numPr>
        <w:spacing w:before="0" w:beforeAutospacing="0" w:after="0" w:afterAutospacing="0"/>
        <w:textAlignment w:val="baseline"/>
        <w:rPr>
          <w:rStyle w:val="eop"/>
          <w:rFonts w:ascii="Calibri" w:hAnsi="Calibri" w:cs="Calibri"/>
          <w:sz w:val="22"/>
          <w:szCs w:val="22"/>
        </w:rPr>
      </w:pPr>
      <w:r w:rsidRPr="0010343E">
        <w:rPr>
          <w:rStyle w:val="normaltextrun"/>
          <w:rFonts w:ascii="Calibri" w:hAnsi="Calibri" w:cs="Calibri"/>
          <w:sz w:val="22"/>
          <w:szCs w:val="22"/>
        </w:rPr>
        <w:t>Declarations or conflicts of interest</w:t>
      </w:r>
      <w:r w:rsidRPr="0010343E">
        <w:rPr>
          <w:rStyle w:val="eop"/>
          <w:rFonts w:ascii="Calibri" w:hAnsi="Calibri" w:cs="Calibri"/>
          <w:sz w:val="22"/>
          <w:szCs w:val="22"/>
        </w:rPr>
        <w:t> </w:t>
      </w:r>
    </w:p>
    <w:p w14:paraId="40DFDCD2" w14:textId="77777777" w:rsidR="0010343E" w:rsidRDefault="0010343E" w:rsidP="0010343E">
      <w:pPr>
        <w:pStyle w:val="paragraph"/>
        <w:spacing w:before="0" w:beforeAutospacing="0" w:after="0" w:afterAutospacing="0"/>
        <w:ind w:left="720"/>
        <w:textAlignment w:val="baseline"/>
        <w:rPr>
          <w:rFonts w:ascii="Calibri" w:hAnsi="Calibri" w:cs="Calibri"/>
          <w:sz w:val="22"/>
          <w:szCs w:val="22"/>
        </w:rPr>
      </w:pPr>
    </w:p>
    <w:p w14:paraId="73B85AB2" w14:textId="4A5BB551" w:rsidR="0010343E" w:rsidRPr="0010343E" w:rsidRDefault="0010343E" w:rsidP="3F4F7646">
      <w:pPr>
        <w:pStyle w:val="paragraph"/>
        <w:numPr>
          <w:ilvl w:val="0"/>
          <w:numId w:val="18"/>
        </w:numPr>
        <w:spacing w:before="0" w:beforeAutospacing="0" w:after="0" w:afterAutospacing="0"/>
        <w:textAlignment w:val="baseline"/>
        <w:rPr>
          <w:rFonts w:ascii="Calibri" w:hAnsi="Calibri" w:cs="Calibri"/>
          <w:sz w:val="22"/>
          <w:szCs w:val="22"/>
        </w:rPr>
      </w:pPr>
      <w:r w:rsidRPr="3F4F7646">
        <w:rPr>
          <w:rStyle w:val="normaltextrun"/>
          <w:rFonts w:ascii="Calibri" w:hAnsi="Calibri" w:cs="Calibri"/>
          <w:sz w:val="22"/>
          <w:szCs w:val="22"/>
        </w:rPr>
        <w:t>Minutes of last meeting </w:t>
      </w:r>
      <w:r w:rsidRPr="3F4F7646">
        <w:rPr>
          <w:rStyle w:val="normaltextrun"/>
          <w:rFonts w:ascii="Calibri" w:hAnsi="Calibri" w:cs="Calibri"/>
          <w:b/>
          <w:bCs/>
          <w:sz w:val="22"/>
          <w:szCs w:val="22"/>
        </w:rPr>
        <w:t>(Confidential Appendix FCS 01/0</w:t>
      </w:r>
      <w:r w:rsidR="5E4B53B1" w:rsidRPr="3F4F7646">
        <w:rPr>
          <w:rStyle w:val="normaltextrun"/>
          <w:rFonts w:ascii="Calibri" w:hAnsi="Calibri" w:cs="Calibri"/>
          <w:b/>
          <w:bCs/>
          <w:sz w:val="22"/>
          <w:szCs w:val="22"/>
        </w:rPr>
        <w:t>9</w:t>
      </w:r>
      <w:r w:rsidRPr="3F4F7646">
        <w:rPr>
          <w:rStyle w:val="normaltextrun"/>
          <w:rFonts w:ascii="Calibri" w:hAnsi="Calibri" w:cs="Calibri"/>
          <w:b/>
          <w:bCs/>
          <w:sz w:val="22"/>
          <w:szCs w:val="22"/>
        </w:rPr>
        <w:t>/21) </w:t>
      </w:r>
      <w:r w:rsidRPr="3F4F7646">
        <w:rPr>
          <w:rStyle w:val="normaltextrun"/>
          <w:rFonts w:ascii="Calibri" w:hAnsi="Calibri" w:cs="Calibri"/>
          <w:sz w:val="22"/>
          <w:szCs w:val="22"/>
        </w:rPr>
        <w:t>and matters arising</w:t>
      </w:r>
      <w:r w:rsidRPr="3F4F7646">
        <w:rPr>
          <w:rStyle w:val="eop"/>
          <w:rFonts w:ascii="Calibri" w:hAnsi="Calibri" w:cs="Calibri"/>
          <w:sz w:val="22"/>
          <w:szCs w:val="22"/>
        </w:rPr>
        <w:t> </w:t>
      </w:r>
    </w:p>
    <w:p w14:paraId="027C4731" w14:textId="77777777" w:rsidR="0010343E" w:rsidRDefault="0010343E" w:rsidP="0010343E">
      <w:pPr>
        <w:pStyle w:val="paragraph"/>
        <w:spacing w:before="0" w:beforeAutospacing="0" w:after="0" w:afterAutospacing="0"/>
        <w:ind w:left="1125" w:right="1125"/>
        <w:textAlignment w:val="baseline"/>
        <w:rPr>
          <w:rFonts w:ascii="Segoe UI" w:hAnsi="Segoe UI" w:cs="Segoe UI"/>
          <w:sz w:val="18"/>
          <w:szCs w:val="18"/>
        </w:rPr>
      </w:pPr>
      <w:r>
        <w:rPr>
          <w:rStyle w:val="eop"/>
          <w:rFonts w:ascii="Calibri" w:hAnsi="Calibri" w:cs="Calibri"/>
          <w:sz w:val="22"/>
          <w:szCs w:val="22"/>
        </w:rPr>
        <w:t> </w:t>
      </w:r>
    </w:p>
    <w:p w14:paraId="74C3E542" w14:textId="77777777" w:rsidR="0010343E" w:rsidRDefault="0010343E" w:rsidP="0010343E">
      <w:pPr>
        <w:pStyle w:val="paragraph"/>
        <w:spacing w:before="0" w:beforeAutospacing="0" w:after="0" w:afterAutospacing="0"/>
        <w:ind w:right="1125"/>
        <w:textAlignment w:val="baseline"/>
        <w:rPr>
          <w:rStyle w:val="eop"/>
          <w:rFonts w:ascii="Calibri" w:hAnsi="Calibri" w:cs="Calibri"/>
          <w:color w:val="5B518E"/>
          <w:sz w:val="22"/>
          <w:szCs w:val="22"/>
        </w:rPr>
      </w:pPr>
      <w:r>
        <w:rPr>
          <w:rStyle w:val="normaltextrun"/>
          <w:rFonts w:ascii="Calibri" w:hAnsi="Calibri" w:cs="Calibri"/>
          <w:b/>
          <w:bCs/>
          <w:color w:val="5B518E"/>
          <w:sz w:val="22"/>
          <w:szCs w:val="22"/>
        </w:rPr>
        <w:t>REPORTS</w:t>
      </w:r>
      <w:r>
        <w:rPr>
          <w:rStyle w:val="eop"/>
          <w:rFonts w:ascii="Calibri" w:hAnsi="Calibri" w:cs="Calibri"/>
          <w:color w:val="5B518E"/>
          <w:sz w:val="22"/>
          <w:szCs w:val="22"/>
        </w:rPr>
        <w:t> </w:t>
      </w:r>
    </w:p>
    <w:p w14:paraId="3D67A4E8" w14:textId="77777777" w:rsidR="004F5BE9" w:rsidRDefault="004F5BE9" w:rsidP="0010343E">
      <w:pPr>
        <w:pStyle w:val="paragraph"/>
        <w:spacing w:before="0" w:beforeAutospacing="0" w:after="0" w:afterAutospacing="0"/>
        <w:ind w:right="1125"/>
        <w:textAlignment w:val="baseline"/>
        <w:rPr>
          <w:rStyle w:val="eop"/>
          <w:rFonts w:ascii="Calibri" w:hAnsi="Calibri" w:cs="Calibri"/>
          <w:color w:val="5B518E"/>
          <w:sz w:val="22"/>
          <w:szCs w:val="22"/>
        </w:rPr>
      </w:pPr>
    </w:p>
    <w:p w14:paraId="24B59062" w14:textId="08C0AD64" w:rsidR="004F5BE9" w:rsidRDefault="003008A5" w:rsidP="3F4F7646">
      <w:pPr>
        <w:pStyle w:val="paragraph"/>
        <w:numPr>
          <w:ilvl w:val="0"/>
          <w:numId w:val="18"/>
        </w:numPr>
        <w:spacing w:before="0" w:beforeAutospacing="0" w:after="0" w:afterAutospacing="0"/>
        <w:textAlignment w:val="baseline"/>
        <w:rPr>
          <w:rStyle w:val="normaltextrun"/>
          <w:rFonts w:ascii="Calibri" w:hAnsi="Calibri" w:cs="Calibri"/>
          <w:sz w:val="22"/>
          <w:szCs w:val="22"/>
        </w:rPr>
      </w:pPr>
      <w:r w:rsidRPr="3F4F7646">
        <w:rPr>
          <w:rStyle w:val="normaltextrun"/>
          <w:rFonts w:ascii="Calibri" w:hAnsi="Calibri" w:cs="Calibri"/>
          <w:sz w:val="22"/>
          <w:szCs w:val="22"/>
        </w:rPr>
        <w:t xml:space="preserve">CPCF </w:t>
      </w:r>
      <w:r w:rsidR="004F5BE9" w:rsidRPr="3F4F7646">
        <w:rPr>
          <w:rStyle w:val="normaltextrun"/>
          <w:rFonts w:ascii="Calibri" w:hAnsi="Calibri" w:cs="Calibri"/>
          <w:sz w:val="22"/>
          <w:szCs w:val="22"/>
        </w:rPr>
        <w:t>negotiations</w:t>
      </w:r>
    </w:p>
    <w:p w14:paraId="0004CA98" w14:textId="6339F812" w:rsidR="6F757EB3" w:rsidRDefault="6F757EB3" w:rsidP="3F4F7646">
      <w:pPr>
        <w:pStyle w:val="paragraph"/>
        <w:numPr>
          <w:ilvl w:val="1"/>
          <w:numId w:val="18"/>
        </w:numPr>
        <w:spacing w:before="0" w:beforeAutospacing="0" w:after="0" w:afterAutospacing="0"/>
        <w:rPr>
          <w:rStyle w:val="normaltextrun"/>
          <w:rFonts w:ascii="Calibri" w:hAnsi="Calibri" w:cs="Calibri"/>
          <w:sz w:val="22"/>
          <w:szCs w:val="22"/>
        </w:rPr>
      </w:pPr>
      <w:r w:rsidRPr="3F4F7646">
        <w:rPr>
          <w:rStyle w:val="normaltextrun"/>
          <w:rFonts w:ascii="Calibri" w:hAnsi="Calibri" w:cs="Calibri"/>
          <w:sz w:val="22"/>
          <w:szCs w:val="22"/>
        </w:rPr>
        <w:t>Service pricing (verbal report)</w:t>
      </w:r>
    </w:p>
    <w:p w14:paraId="597E4966" w14:textId="47782FC5" w:rsidR="004F5BE9" w:rsidRDefault="6F757EB3" w:rsidP="59C3524F">
      <w:pPr>
        <w:pStyle w:val="paragraph"/>
        <w:numPr>
          <w:ilvl w:val="1"/>
          <w:numId w:val="18"/>
        </w:numPr>
        <w:spacing w:before="0" w:beforeAutospacing="0" w:after="0" w:afterAutospacing="0"/>
        <w:rPr>
          <w:rStyle w:val="normaltextrun"/>
          <w:rFonts w:ascii="Calibri" w:hAnsi="Calibri" w:cs="Calibri"/>
          <w:sz w:val="22"/>
          <w:szCs w:val="22"/>
          <w:highlight w:val="yellow"/>
        </w:rPr>
      </w:pPr>
      <w:r w:rsidRPr="3F4F7646">
        <w:rPr>
          <w:rStyle w:val="normaltextrun"/>
          <w:rFonts w:ascii="Calibri" w:hAnsi="Calibri" w:cs="Calibri"/>
          <w:sz w:val="22"/>
          <w:szCs w:val="22"/>
        </w:rPr>
        <w:t xml:space="preserve">OPD </w:t>
      </w:r>
      <w:r w:rsidR="00F9616F" w:rsidRPr="3F4F7646">
        <w:rPr>
          <w:rStyle w:val="normaltextrun"/>
          <w:rFonts w:ascii="Calibri" w:hAnsi="Calibri" w:cs="Calibri"/>
          <w:b/>
          <w:bCs/>
          <w:sz w:val="22"/>
          <w:szCs w:val="22"/>
        </w:rPr>
        <w:t>(Confidential Appendi</w:t>
      </w:r>
      <w:r w:rsidR="04998FA9" w:rsidRPr="3F4F7646">
        <w:rPr>
          <w:rStyle w:val="normaltextrun"/>
          <w:rFonts w:ascii="Calibri" w:hAnsi="Calibri" w:cs="Calibri"/>
          <w:b/>
          <w:bCs/>
          <w:sz w:val="22"/>
          <w:szCs w:val="22"/>
        </w:rPr>
        <w:t>x</w:t>
      </w:r>
      <w:r w:rsidR="00F9616F" w:rsidRPr="3F4F7646">
        <w:rPr>
          <w:rStyle w:val="normaltextrun"/>
          <w:rFonts w:ascii="Calibri" w:hAnsi="Calibri" w:cs="Calibri"/>
          <w:b/>
          <w:bCs/>
          <w:sz w:val="22"/>
          <w:szCs w:val="22"/>
        </w:rPr>
        <w:t xml:space="preserve"> FCS </w:t>
      </w:r>
      <w:r w:rsidR="00783695" w:rsidRPr="3F4F7646">
        <w:rPr>
          <w:rStyle w:val="normaltextrun"/>
          <w:rFonts w:ascii="Calibri" w:hAnsi="Calibri" w:cs="Calibri"/>
          <w:b/>
          <w:bCs/>
          <w:sz w:val="22"/>
          <w:szCs w:val="22"/>
        </w:rPr>
        <w:t>02</w:t>
      </w:r>
      <w:r w:rsidR="00F9616F" w:rsidRPr="3F4F7646">
        <w:rPr>
          <w:rStyle w:val="normaltextrun"/>
          <w:rFonts w:ascii="Calibri" w:hAnsi="Calibri" w:cs="Calibri"/>
          <w:b/>
          <w:bCs/>
          <w:sz w:val="22"/>
          <w:szCs w:val="22"/>
        </w:rPr>
        <w:t>/</w:t>
      </w:r>
      <w:r w:rsidR="00783695" w:rsidRPr="3F4F7646">
        <w:rPr>
          <w:rStyle w:val="normaltextrun"/>
          <w:rFonts w:ascii="Calibri" w:hAnsi="Calibri" w:cs="Calibri"/>
          <w:b/>
          <w:bCs/>
          <w:sz w:val="22"/>
          <w:szCs w:val="22"/>
        </w:rPr>
        <w:t>0</w:t>
      </w:r>
      <w:r w:rsidR="60ACD0ED" w:rsidRPr="3F4F7646">
        <w:rPr>
          <w:rStyle w:val="normaltextrun"/>
          <w:rFonts w:ascii="Calibri" w:hAnsi="Calibri" w:cs="Calibri"/>
          <w:b/>
          <w:bCs/>
          <w:sz w:val="22"/>
          <w:szCs w:val="22"/>
        </w:rPr>
        <w:t>9</w:t>
      </w:r>
      <w:r w:rsidR="00F9616F" w:rsidRPr="3F4F7646">
        <w:rPr>
          <w:rStyle w:val="normaltextrun"/>
          <w:rFonts w:ascii="Calibri" w:hAnsi="Calibri" w:cs="Calibri"/>
          <w:b/>
          <w:bCs/>
          <w:sz w:val="22"/>
          <w:szCs w:val="22"/>
        </w:rPr>
        <w:t>/21)</w:t>
      </w:r>
    </w:p>
    <w:p w14:paraId="1A3F199B" w14:textId="77777777" w:rsidR="0010343E" w:rsidRDefault="0010343E" w:rsidP="28E632B4">
      <w:pPr>
        <w:pStyle w:val="paragraph"/>
        <w:spacing w:before="0" w:beforeAutospacing="0" w:after="0" w:afterAutospacing="0"/>
        <w:ind w:left="1125" w:right="1125"/>
        <w:textAlignment w:val="baseline"/>
        <w:rPr>
          <w:rFonts w:ascii="Segoe UI" w:hAnsi="Segoe UI" w:cs="Segoe UI"/>
          <w:sz w:val="18"/>
          <w:szCs w:val="18"/>
        </w:rPr>
      </w:pPr>
      <w:r w:rsidRPr="28E632B4">
        <w:rPr>
          <w:rStyle w:val="eop"/>
          <w:rFonts w:ascii="Calibri" w:hAnsi="Calibri" w:cs="Calibri"/>
          <w:sz w:val="22"/>
          <w:szCs w:val="22"/>
        </w:rPr>
        <w:t> </w:t>
      </w:r>
    </w:p>
    <w:p w14:paraId="01C606D6" w14:textId="77777777" w:rsidR="0010343E" w:rsidRDefault="0010343E" w:rsidP="28E632B4">
      <w:pPr>
        <w:pStyle w:val="paragraph"/>
        <w:numPr>
          <w:ilvl w:val="0"/>
          <w:numId w:val="18"/>
        </w:numPr>
        <w:spacing w:before="0" w:beforeAutospacing="0" w:after="0" w:afterAutospacing="0"/>
        <w:textAlignment w:val="baseline"/>
        <w:rPr>
          <w:rFonts w:ascii="Calibri" w:hAnsi="Calibri" w:cs="Calibri"/>
          <w:sz w:val="22"/>
          <w:szCs w:val="22"/>
        </w:rPr>
      </w:pPr>
      <w:r w:rsidRPr="3F4F7646">
        <w:rPr>
          <w:rStyle w:val="normaltextrun"/>
          <w:rFonts w:ascii="Calibri" w:hAnsi="Calibri" w:cs="Calibri"/>
          <w:sz w:val="22"/>
          <w:szCs w:val="22"/>
        </w:rPr>
        <w:t>Remuneration</w:t>
      </w:r>
      <w:r w:rsidRPr="3F4F7646">
        <w:rPr>
          <w:rStyle w:val="eop"/>
          <w:rFonts w:ascii="Calibri" w:hAnsi="Calibri" w:cs="Calibri"/>
          <w:sz w:val="22"/>
          <w:szCs w:val="22"/>
        </w:rPr>
        <w:t> </w:t>
      </w:r>
    </w:p>
    <w:p w14:paraId="43BE5477" w14:textId="291B0F3E" w:rsidR="0010343E" w:rsidRPr="0010343E" w:rsidRDefault="0010343E" w:rsidP="668BBB0A">
      <w:pPr>
        <w:pStyle w:val="paragraph"/>
        <w:numPr>
          <w:ilvl w:val="0"/>
          <w:numId w:val="20"/>
        </w:numPr>
        <w:spacing w:before="0" w:beforeAutospacing="0" w:after="0" w:afterAutospacing="0"/>
        <w:textAlignment w:val="baseline"/>
        <w:rPr>
          <w:rFonts w:ascii="Calibri" w:hAnsi="Calibri" w:cs="Calibri"/>
          <w:sz w:val="22"/>
          <w:szCs w:val="22"/>
        </w:rPr>
      </w:pPr>
      <w:r w:rsidRPr="3F4F7646">
        <w:rPr>
          <w:rStyle w:val="normaltextrun"/>
          <w:rFonts w:ascii="Calibri" w:hAnsi="Calibri" w:cs="Calibri"/>
          <w:sz w:val="22"/>
          <w:szCs w:val="22"/>
        </w:rPr>
        <w:t>C-19 cost </w:t>
      </w:r>
      <w:r w:rsidR="5B10EBF2" w:rsidRPr="3F4F7646">
        <w:rPr>
          <w:rStyle w:val="normaltextrun"/>
          <w:rFonts w:ascii="Calibri" w:hAnsi="Calibri" w:cs="Calibri"/>
          <w:sz w:val="22"/>
          <w:szCs w:val="22"/>
        </w:rPr>
        <w:t xml:space="preserve">claims update </w:t>
      </w:r>
      <w:r w:rsidRPr="3F4F7646">
        <w:rPr>
          <w:rStyle w:val="normaltextrun"/>
          <w:rFonts w:ascii="Calibri" w:hAnsi="Calibri" w:cs="Calibri"/>
          <w:sz w:val="22"/>
          <w:szCs w:val="22"/>
        </w:rPr>
        <w:t>(</w:t>
      </w:r>
      <w:r w:rsidR="6FF9B0D5" w:rsidRPr="3F4F7646">
        <w:rPr>
          <w:rStyle w:val="normaltextrun"/>
          <w:rFonts w:ascii="Calibri" w:hAnsi="Calibri" w:cs="Calibri"/>
          <w:sz w:val="22"/>
          <w:szCs w:val="22"/>
        </w:rPr>
        <w:t>verbal report</w:t>
      </w:r>
      <w:r w:rsidRPr="3F4F7646">
        <w:rPr>
          <w:rStyle w:val="normaltextrun"/>
          <w:rFonts w:ascii="Calibri" w:hAnsi="Calibri" w:cs="Calibri"/>
          <w:sz w:val="22"/>
          <w:szCs w:val="22"/>
        </w:rPr>
        <w:t>)</w:t>
      </w:r>
      <w:r w:rsidRPr="3F4F7646">
        <w:rPr>
          <w:rStyle w:val="normaltextrun"/>
          <w:rFonts w:ascii="Calibri" w:hAnsi="Calibri" w:cs="Calibri"/>
          <w:b/>
          <w:bCs/>
          <w:color w:val="0000FF"/>
          <w:sz w:val="22"/>
          <w:szCs w:val="22"/>
        </w:rPr>
        <w:t> </w:t>
      </w:r>
      <w:r w:rsidRPr="3F4F7646">
        <w:rPr>
          <w:rStyle w:val="eop"/>
          <w:rFonts w:ascii="Calibri" w:hAnsi="Calibri" w:cs="Calibri"/>
          <w:color w:val="0000FF"/>
          <w:sz w:val="22"/>
          <w:szCs w:val="22"/>
        </w:rPr>
        <w:t> </w:t>
      </w:r>
      <w:r w:rsidRPr="3F4F7646">
        <w:rPr>
          <w:rStyle w:val="eop"/>
          <w:rFonts w:ascii="Calibri" w:hAnsi="Calibri" w:cs="Calibri"/>
          <w:sz w:val="22"/>
          <w:szCs w:val="22"/>
        </w:rPr>
        <w:t> </w:t>
      </w:r>
    </w:p>
    <w:p w14:paraId="77BB2F05" w14:textId="77777777" w:rsidR="0010343E" w:rsidRDefault="0010343E" w:rsidP="0010343E">
      <w:pPr>
        <w:pStyle w:val="paragraph"/>
        <w:spacing w:before="0" w:beforeAutospacing="0" w:after="0" w:afterAutospacing="0"/>
        <w:ind w:left="1125" w:right="1125"/>
        <w:textAlignment w:val="baseline"/>
        <w:rPr>
          <w:rFonts w:ascii="Segoe UI" w:hAnsi="Segoe UI" w:cs="Segoe UI"/>
          <w:sz w:val="18"/>
          <w:szCs w:val="18"/>
        </w:rPr>
      </w:pPr>
      <w:r>
        <w:rPr>
          <w:rStyle w:val="eop"/>
          <w:rFonts w:ascii="Calibri" w:hAnsi="Calibri" w:cs="Calibri"/>
          <w:sz w:val="22"/>
          <w:szCs w:val="22"/>
        </w:rPr>
        <w:t> </w:t>
      </w:r>
    </w:p>
    <w:p w14:paraId="60F4F368" w14:textId="77777777" w:rsidR="0010343E" w:rsidRDefault="0010343E" w:rsidP="28E632B4">
      <w:pPr>
        <w:pStyle w:val="paragraph"/>
        <w:numPr>
          <w:ilvl w:val="0"/>
          <w:numId w:val="18"/>
        </w:numPr>
        <w:spacing w:before="0" w:beforeAutospacing="0" w:after="0" w:afterAutospacing="0"/>
        <w:textAlignment w:val="baseline"/>
        <w:rPr>
          <w:rFonts w:ascii="Calibri" w:hAnsi="Calibri" w:cs="Calibri"/>
          <w:sz w:val="22"/>
          <w:szCs w:val="22"/>
        </w:rPr>
      </w:pPr>
      <w:r w:rsidRPr="28E632B4">
        <w:rPr>
          <w:rStyle w:val="normaltextrun"/>
          <w:rFonts w:ascii="Calibri" w:hAnsi="Calibri" w:cs="Calibri"/>
          <w:sz w:val="22"/>
          <w:szCs w:val="22"/>
        </w:rPr>
        <w:t>Reimbursement</w:t>
      </w:r>
      <w:r w:rsidRPr="28E632B4">
        <w:rPr>
          <w:rStyle w:val="eop"/>
          <w:rFonts w:ascii="Calibri" w:hAnsi="Calibri" w:cs="Calibri"/>
          <w:sz w:val="22"/>
          <w:szCs w:val="22"/>
        </w:rPr>
        <w:t> </w:t>
      </w:r>
    </w:p>
    <w:p w14:paraId="6FCF6B38" w14:textId="45D81D63" w:rsidR="0010343E" w:rsidRPr="0010343E" w:rsidRDefault="28FAD5D2" w:rsidP="28E632B4">
      <w:pPr>
        <w:pStyle w:val="paragraph"/>
        <w:numPr>
          <w:ilvl w:val="1"/>
          <w:numId w:val="18"/>
        </w:numPr>
        <w:spacing w:before="0" w:beforeAutospacing="0" w:after="0" w:afterAutospacing="0"/>
        <w:textAlignment w:val="baseline"/>
        <w:rPr>
          <w:rFonts w:ascii="Calibri" w:hAnsi="Calibri" w:cs="Calibri"/>
          <w:sz w:val="22"/>
          <w:szCs w:val="22"/>
        </w:rPr>
      </w:pPr>
      <w:r w:rsidRPr="3F4F7646">
        <w:rPr>
          <w:rStyle w:val="normaltextrun"/>
          <w:rFonts w:ascii="Calibri" w:hAnsi="Calibri" w:cs="Calibri"/>
          <w:sz w:val="22"/>
          <w:szCs w:val="22"/>
        </w:rPr>
        <w:t>Category M J</w:t>
      </w:r>
      <w:r w:rsidR="0D6CD67E" w:rsidRPr="3F4F7646">
        <w:rPr>
          <w:rStyle w:val="normaltextrun"/>
          <w:rFonts w:ascii="Calibri" w:hAnsi="Calibri" w:cs="Calibri"/>
          <w:sz w:val="22"/>
          <w:szCs w:val="22"/>
        </w:rPr>
        <w:t>uly</w:t>
      </w:r>
      <w:r w:rsidRPr="3F4F7646">
        <w:rPr>
          <w:rStyle w:val="normaltextrun"/>
          <w:rFonts w:ascii="Calibri" w:hAnsi="Calibri" w:cs="Calibri"/>
          <w:sz w:val="22"/>
          <w:szCs w:val="22"/>
        </w:rPr>
        <w:t xml:space="preserve"> 2021</w:t>
      </w:r>
      <w:r w:rsidRPr="3F4F7646">
        <w:rPr>
          <w:rStyle w:val="normaltextrun"/>
          <w:rFonts w:ascii="Calibri" w:hAnsi="Calibri" w:cs="Calibri"/>
          <w:color w:val="0000FF"/>
          <w:sz w:val="22"/>
          <w:szCs w:val="22"/>
        </w:rPr>
        <w:t> </w:t>
      </w:r>
      <w:r w:rsidRPr="3F4F7646">
        <w:rPr>
          <w:rStyle w:val="normaltextrun"/>
          <w:rFonts w:ascii="Calibri" w:hAnsi="Calibri" w:cs="Calibri"/>
          <w:b/>
          <w:bCs/>
          <w:sz w:val="22"/>
          <w:szCs w:val="22"/>
        </w:rPr>
        <w:t>(Confidential Appendix FCS 0</w:t>
      </w:r>
      <w:r w:rsidR="4C22328F" w:rsidRPr="3F4F7646">
        <w:rPr>
          <w:rStyle w:val="normaltextrun"/>
          <w:rFonts w:ascii="Calibri" w:hAnsi="Calibri" w:cs="Calibri"/>
          <w:b/>
          <w:bCs/>
          <w:sz w:val="22"/>
          <w:szCs w:val="22"/>
        </w:rPr>
        <w:t>3</w:t>
      </w:r>
      <w:r w:rsidRPr="3F4F7646">
        <w:rPr>
          <w:rStyle w:val="normaltextrun"/>
          <w:rFonts w:ascii="Calibri" w:hAnsi="Calibri" w:cs="Calibri"/>
          <w:b/>
          <w:bCs/>
          <w:sz w:val="22"/>
          <w:szCs w:val="22"/>
        </w:rPr>
        <w:t>/0</w:t>
      </w:r>
      <w:r w:rsidR="7416BF3A" w:rsidRPr="3F4F7646">
        <w:rPr>
          <w:rStyle w:val="normaltextrun"/>
          <w:rFonts w:ascii="Calibri" w:hAnsi="Calibri" w:cs="Calibri"/>
          <w:b/>
          <w:bCs/>
          <w:sz w:val="22"/>
          <w:szCs w:val="22"/>
        </w:rPr>
        <w:t>9</w:t>
      </w:r>
      <w:r w:rsidRPr="3F4F7646">
        <w:rPr>
          <w:rStyle w:val="normaltextrun"/>
          <w:rFonts w:ascii="Calibri" w:hAnsi="Calibri" w:cs="Calibri"/>
          <w:b/>
          <w:bCs/>
          <w:sz w:val="22"/>
          <w:szCs w:val="22"/>
        </w:rPr>
        <w:t>/21)</w:t>
      </w:r>
      <w:r w:rsidRPr="3F4F7646">
        <w:rPr>
          <w:rStyle w:val="eop"/>
          <w:rFonts w:ascii="Calibri" w:hAnsi="Calibri" w:cs="Calibri"/>
          <w:sz w:val="22"/>
          <w:szCs w:val="22"/>
        </w:rPr>
        <w:t> </w:t>
      </w:r>
    </w:p>
    <w:p w14:paraId="39A48935" w14:textId="07248939" w:rsidR="0010343E" w:rsidRPr="0010343E" w:rsidRDefault="28FAD5D2" w:rsidP="28E632B4">
      <w:pPr>
        <w:pStyle w:val="paragraph"/>
        <w:numPr>
          <w:ilvl w:val="1"/>
          <w:numId w:val="18"/>
        </w:numPr>
        <w:spacing w:before="0" w:beforeAutospacing="0" w:after="0" w:afterAutospacing="0"/>
        <w:textAlignment w:val="baseline"/>
        <w:rPr>
          <w:rFonts w:ascii="Calibri" w:hAnsi="Calibri" w:cs="Calibri"/>
          <w:sz w:val="22"/>
          <w:szCs w:val="22"/>
        </w:rPr>
      </w:pPr>
      <w:r w:rsidRPr="4EAEB347">
        <w:rPr>
          <w:rStyle w:val="normaltextrun"/>
          <w:rFonts w:ascii="Calibri" w:hAnsi="Calibri" w:cs="Calibri"/>
          <w:sz w:val="22"/>
          <w:szCs w:val="22"/>
        </w:rPr>
        <w:t>Margin update </w:t>
      </w:r>
      <w:r w:rsidRPr="4EAEB347">
        <w:rPr>
          <w:rStyle w:val="normaltextrun"/>
          <w:rFonts w:ascii="Calibri" w:hAnsi="Calibri" w:cs="Calibri"/>
          <w:b/>
          <w:bCs/>
          <w:sz w:val="22"/>
          <w:szCs w:val="22"/>
        </w:rPr>
        <w:t>(Confidential Appendix FCS 0</w:t>
      </w:r>
      <w:r w:rsidR="3C1B5A13" w:rsidRPr="4EAEB347">
        <w:rPr>
          <w:rStyle w:val="normaltextrun"/>
          <w:rFonts w:ascii="Calibri" w:hAnsi="Calibri" w:cs="Calibri"/>
          <w:b/>
          <w:bCs/>
          <w:sz w:val="22"/>
          <w:szCs w:val="22"/>
        </w:rPr>
        <w:t>4</w:t>
      </w:r>
      <w:r w:rsidRPr="4EAEB347">
        <w:rPr>
          <w:rStyle w:val="normaltextrun"/>
          <w:rFonts w:ascii="Calibri" w:hAnsi="Calibri" w:cs="Calibri"/>
          <w:b/>
          <w:bCs/>
          <w:sz w:val="22"/>
          <w:szCs w:val="22"/>
        </w:rPr>
        <w:t>/0</w:t>
      </w:r>
      <w:r w:rsidR="28613A86" w:rsidRPr="4EAEB347">
        <w:rPr>
          <w:rStyle w:val="normaltextrun"/>
          <w:rFonts w:ascii="Calibri" w:hAnsi="Calibri" w:cs="Calibri"/>
          <w:b/>
          <w:bCs/>
          <w:sz w:val="22"/>
          <w:szCs w:val="22"/>
        </w:rPr>
        <w:t>9</w:t>
      </w:r>
      <w:r w:rsidRPr="4EAEB347">
        <w:rPr>
          <w:rStyle w:val="normaltextrun"/>
          <w:rFonts w:ascii="Calibri" w:hAnsi="Calibri" w:cs="Calibri"/>
          <w:b/>
          <w:bCs/>
          <w:sz w:val="22"/>
          <w:szCs w:val="22"/>
        </w:rPr>
        <w:t>/21) </w:t>
      </w:r>
    </w:p>
    <w:p w14:paraId="446F7237" w14:textId="52BB5816" w:rsidR="6AA3CC37" w:rsidRDefault="6AA3CC37" w:rsidP="4EAEB347">
      <w:pPr>
        <w:pStyle w:val="paragraph"/>
        <w:numPr>
          <w:ilvl w:val="1"/>
          <w:numId w:val="18"/>
        </w:numPr>
        <w:spacing w:before="0" w:beforeAutospacing="0" w:after="0" w:afterAutospacing="0"/>
        <w:rPr>
          <w:rFonts w:ascii="Calibri" w:hAnsi="Calibri" w:cs="Calibri"/>
          <w:sz w:val="22"/>
          <w:szCs w:val="22"/>
        </w:rPr>
      </w:pPr>
      <w:r w:rsidRPr="4EAEB347">
        <w:rPr>
          <w:rStyle w:val="eop"/>
          <w:rFonts w:ascii="Calibri" w:hAnsi="Calibri" w:cs="Calibri"/>
          <w:sz w:val="22"/>
          <w:szCs w:val="22"/>
        </w:rPr>
        <w:t xml:space="preserve">Reimbursement reforms </w:t>
      </w:r>
      <w:r w:rsidRPr="4EAEB347">
        <w:rPr>
          <w:rStyle w:val="normaltextrun"/>
          <w:rFonts w:ascii="Calibri" w:hAnsi="Calibri" w:cs="Calibri"/>
          <w:b/>
          <w:bCs/>
          <w:sz w:val="22"/>
          <w:szCs w:val="22"/>
        </w:rPr>
        <w:t>(Confidential Appendix FCS 05/09/21)</w:t>
      </w:r>
    </w:p>
    <w:p w14:paraId="03BF58B4" w14:textId="552B1954" w:rsidR="0010343E" w:rsidRPr="0010343E" w:rsidRDefault="28FAD5D2" w:rsidP="28E632B4">
      <w:pPr>
        <w:pStyle w:val="paragraph"/>
        <w:numPr>
          <w:ilvl w:val="1"/>
          <w:numId w:val="18"/>
        </w:numPr>
        <w:spacing w:before="0" w:beforeAutospacing="0" w:after="0" w:afterAutospacing="0"/>
        <w:textAlignment w:val="baseline"/>
        <w:rPr>
          <w:rStyle w:val="eop"/>
          <w:sz w:val="22"/>
          <w:szCs w:val="22"/>
        </w:rPr>
      </w:pPr>
      <w:r w:rsidRPr="4EAEB347">
        <w:rPr>
          <w:rStyle w:val="eop"/>
          <w:rFonts w:ascii="Calibri" w:hAnsi="Calibri" w:cs="Calibri"/>
          <w:sz w:val="22"/>
          <w:szCs w:val="22"/>
        </w:rPr>
        <w:t xml:space="preserve">Price concessions update </w:t>
      </w:r>
      <w:r w:rsidRPr="4EAEB347">
        <w:rPr>
          <w:rStyle w:val="eop"/>
          <w:rFonts w:ascii="Calibri" w:hAnsi="Calibri" w:cs="Calibri"/>
          <w:b/>
          <w:bCs/>
          <w:sz w:val="22"/>
          <w:szCs w:val="22"/>
        </w:rPr>
        <w:t>(Appendix FCS 0</w:t>
      </w:r>
      <w:r w:rsidR="48E4E68F" w:rsidRPr="4EAEB347">
        <w:rPr>
          <w:rStyle w:val="eop"/>
          <w:rFonts w:ascii="Calibri" w:hAnsi="Calibri" w:cs="Calibri"/>
          <w:b/>
          <w:bCs/>
          <w:sz w:val="22"/>
          <w:szCs w:val="22"/>
        </w:rPr>
        <w:t>6</w:t>
      </w:r>
      <w:r w:rsidRPr="4EAEB347">
        <w:rPr>
          <w:rStyle w:val="eop"/>
          <w:rFonts w:ascii="Calibri" w:hAnsi="Calibri" w:cs="Calibri"/>
          <w:b/>
          <w:bCs/>
          <w:sz w:val="22"/>
          <w:szCs w:val="22"/>
        </w:rPr>
        <w:t>/0</w:t>
      </w:r>
      <w:r w:rsidR="00547FF1">
        <w:rPr>
          <w:rStyle w:val="eop"/>
          <w:rFonts w:ascii="Calibri" w:hAnsi="Calibri" w:cs="Calibri"/>
          <w:b/>
          <w:bCs/>
          <w:sz w:val="22"/>
          <w:szCs w:val="22"/>
        </w:rPr>
        <w:t>9</w:t>
      </w:r>
      <w:r w:rsidRPr="4EAEB347">
        <w:rPr>
          <w:rStyle w:val="eop"/>
          <w:rFonts w:ascii="Calibri" w:hAnsi="Calibri" w:cs="Calibri"/>
          <w:b/>
          <w:bCs/>
          <w:sz w:val="22"/>
          <w:szCs w:val="22"/>
        </w:rPr>
        <w:t>/21)</w:t>
      </w:r>
    </w:p>
    <w:p w14:paraId="04241DF4" w14:textId="2194DB75" w:rsidR="0010343E" w:rsidRPr="0010343E" w:rsidRDefault="0010343E" w:rsidP="28E632B4">
      <w:pPr>
        <w:pStyle w:val="paragraph"/>
        <w:spacing w:before="0" w:beforeAutospacing="0" w:after="0" w:afterAutospacing="0"/>
        <w:textAlignment w:val="baseline"/>
        <w:rPr>
          <w:rStyle w:val="eop"/>
        </w:rPr>
      </w:pPr>
    </w:p>
    <w:p w14:paraId="5A457DFB" w14:textId="0172AE52" w:rsidR="0010343E" w:rsidRPr="0010343E" w:rsidRDefault="0010343E" w:rsidP="28E632B4">
      <w:pPr>
        <w:pStyle w:val="paragraph"/>
        <w:numPr>
          <w:ilvl w:val="0"/>
          <w:numId w:val="18"/>
        </w:numPr>
        <w:spacing w:before="0" w:beforeAutospacing="0" w:after="0" w:afterAutospacing="0"/>
        <w:textAlignment w:val="baseline"/>
        <w:rPr>
          <w:sz w:val="22"/>
          <w:szCs w:val="22"/>
        </w:rPr>
      </w:pPr>
      <w:r w:rsidRPr="4EAEB347">
        <w:rPr>
          <w:rStyle w:val="normaltextrun"/>
          <w:rFonts w:ascii="Calibri" w:hAnsi="Calibri" w:cs="Calibri"/>
          <w:sz w:val="22"/>
          <w:szCs w:val="22"/>
        </w:rPr>
        <w:t>General funding update </w:t>
      </w:r>
      <w:r w:rsidRPr="4EAEB347">
        <w:rPr>
          <w:rStyle w:val="normaltextrun"/>
          <w:rFonts w:ascii="Calibri" w:hAnsi="Calibri" w:cs="Calibri"/>
          <w:b/>
          <w:bCs/>
          <w:sz w:val="22"/>
          <w:szCs w:val="22"/>
        </w:rPr>
        <w:t>(Appendix FCS </w:t>
      </w:r>
      <w:r w:rsidR="4E6DB004" w:rsidRPr="4EAEB347">
        <w:rPr>
          <w:rStyle w:val="normaltextrun"/>
          <w:rFonts w:ascii="Calibri" w:hAnsi="Calibri" w:cs="Calibri"/>
          <w:b/>
          <w:bCs/>
          <w:sz w:val="22"/>
          <w:szCs w:val="22"/>
        </w:rPr>
        <w:t>0</w:t>
      </w:r>
      <w:r w:rsidR="2F1FDAF2" w:rsidRPr="4EAEB347">
        <w:rPr>
          <w:rStyle w:val="normaltextrun"/>
          <w:rFonts w:ascii="Calibri" w:hAnsi="Calibri" w:cs="Calibri"/>
          <w:b/>
          <w:bCs/>
          <w:sz w:val="22"/>
          <w:szCs w:val="22"/>
        </w:rPr>
        <w:t>7</w:t>
      </w:r>
      <w:r w:rsidRPr="4EAEB347">
        <w:rPr>
          <w:rStyle w:val="normaltextrun"/>
          <w:rFonts w:ascii="Calibri" w:hAnsi="Calibri" w:cs="Calibri"/>
          <w:b/>
          <w:bCs/>
          <w:sz w:val="22"/>
          <w:szCs w:val="22"/>
        </w:rPr>
        <w:t>/0</w:t>
      </w:r>
      <w:r w:rsidR="6DC6CBFB" w:rsidRPr="4EAEB347">
        <w:rPr>
          <w:rStyle w:val="normaltextrun"/>
          <w:rFonts w:ascii="Calibri" w:hAnsi="Calibri" w:cs="Calibri"/>
          <w:b/>
          <w:bCs/>
          <w:sz w:val="22"/>
          <w:szCs w:val="22"/>
        </w:rPr>
        <w:t>9</w:t>
      </w:r>
      <w:r w:rsidRPr="4EAEB347">
        <w:rPr>
          <w:rStyle w:val="normaltextrun"/>
          <w:rFonts w:ascii="Calibri" w:hAnsi="Calibri" w:cs="Calibri"/>
          <w:b/>
          <w:bCs/>
          <w:sz w:val="22"/>
          <w:szCs w:val="22"/>
        </w:rPr>
        <w:t>/21)</w:t>
      </w:r>
      <w:r w:rsidRPr="4EAEB347">
        <w:rPr>
          <w:rStyle w:val="normaltextrun"/>
          <w:rFonts w:ascii="Calibri" w:hAnsi="Calibri" w:cs="Calibri"/>
          <w:b/>
          <w:bCs/>
          <w:color w:val="0000FF"/>
          <w:sz w:val="22"/>
          <w:szCs w:val="22"/>
        </w:rPr>
        <w:t> </w:t>
      </w:r>
      <w:r w:rsidRPr="4EAEB347">
        <w:rPr>
          <w:rStyle w:val="eop"/>
          <w:rFonts w:ascii="Calibri" w:hAnsi="Calibri" w:cs="Calibri"/>
          <w:color w:val="0000FF"/>
          <w:sz w:val="22"/>
          <w:szCs w:val="22"/>
        </w:rPr>
        <w:t> </w:t>
      </w:r>
    </w:p>
    <w:p w14:paraId="2BF9E1A0" w14:textId="0643331C" w:rsidR="0010343E" w:rsidRPr="0010343E" w:rsidRDefault="0010343E" w:rsidP="28E632B4">
      <w:pPr>
        <w:pStyle w:val="paragraph"/>
        <w:spacing w:before="0" w:beforeAutospacing="0" w:after="0" w:afterAutospacing="0"/>
        <w:textAlignment w:val="baseline"/>
        <w:rPr>
          <w:rStyle w:val="eop"/>
          <w:color w:val="0000FF"/>
        </w:rPr>
      </w:pPr>
    </w:p>
    <w:p w14:paraId="6CE7CBD3" w14:textId="41DCDD34" w:rsidR="0010343E" w:rsidRPr="0010343E" w:rsidRDefault="0010343E" w:rsidP="28E632B4">
      <w:pPr>
        <w:pStyle w:val="paragraph"/>
        <w:numPr>
          <w:ilvl w:val="0"/>
          <w:numId w:val="18"/>
        </w:numPr>
        <w:spacing w:before="0" w:beforeAutospacing="0" w:after="0" w:afterAutospacing="0"/>
        <w:textAlignment w:val="baseline"/>
        <w:rPr>
          <w:rStyle w:val="scxw96657786"/>
          <w:sz w:val="22"/>
          <w:szCs w:val="22"/>
        </w:rPr>
      </w:pPr>
      <w:r w:rsidRPr="4EAEB347">
        <w:rPr>
          <w:rStyle w:val="normaltextrun"/>
          <w:rFonts w:ascii="Calibri" w:hAnsi="Calibri" w:cs="Calibri"/>
          <w:sz w:val="22"/>
          <w:szCs w:val="22"/>
        </w:rPr>
        <w:t>Statistics</w:t>
      </w:r>
      <w:r w:rsidRPr="4EAEB347">
        <w:rPr>
          <w:rStyle w:val="normaltextrun"/>
          <w:rFonts w:ascii="Calibri" w:hAnsi="Calibri" w:cs="Calibri"/>
          <w:color w:val="0000FF"/>
          <w:sz w:val="22"/>
          <w:szCs w:val="22"/>
        </w:rPr>
        <w:t> </w:t>
      </w:r>
      <w:r w:rsidRPr="4EAEB347">
        <w:rPr>
          <w:rStyle w:val="normaltextrun"/>
          <w:rFonts w:ascii="Calibri" w:hAnsi="Calibri" w:cs="Calibri"/>
          <w:b/>
          <w:bCs/>
          <w:sz w:val="22"/>
          <w:szCs w:val="22"/>
        </w:rPr>
        <w:t>(Appendix FCS </w:t>
      </w:r>
      <w:r w:rsidR="7215D474" w:rsidRPr="4EAEB347">
        <w:rPr>
          <w:rStyle w:val="normaltextrun"/>
          <w:rFonts w:ascii="Calibri" w:hAnsi="Calibri" w:cs="Calibri"/>
          <w:b/>
          <w:bCs/>
          <w:sz w:val="22"/>
          <w:szCs w:val="22"/>
        </w:rPr>
        <w:t>0</w:t>
      </w:r>
      <w:r w:rsidR="5E57F8CA" w:rsidRPr="4EAEB347">
        <w:rPr>
          <w:rStyle w:val="normaltextrun"/>
          <w:rFonts w:ascii="Calibri" w:hAnsi="Calibri" w:cs="Calibri"/>
          <w:b/>
          <w:bCs/>
          <w:sz w:val="22"/>
          <w:szCs w:val="22"/>
        </w:rPr>
        <w:t>8</w:t>
      </w:r>
      <w:r w:rsidRPr="4EAEB347">
        <w:rPr>
          <w:rStyle w:val="normaltextrun"/>
          <w:rFonts w:ascii="Calibri" w:hAnsi="Calibri" w:cs="Calibri"/>
          <w:b/>
          <w:bCs/>
          <w:sz w:val="22"/>
          <w:szCs w:val="22"/>
        </w:rPr>
        <w:t>/0</w:t>
      </w:r>
      <w:r w:rsidR="34672B86" w:rsidRPr="4EAEB347">
        <w:rPr>
          <w:rStyle w:val="normaltextrun"/>
          <w:rFonts w:ascii="Calibri" w:hAnsi="Calibri" w:cs="Calibri"/>
          <w:b/>
          <w:bCs/>
          <w:sz w:val="22"/>
          <w:szCs w:val="22"/>
        </w:rPr>
        <w:t>9</w:t>
      </w:r>
      <w:r w:rsidRPr="4EAEB347">
        <w:rPr>
          <w:rStyle w:val="normaltextrun"/>
          <w:rFonts w:ascii="Calibri" w:hAnsi="Calibri" w:cs="Calibri"/>
          <w:b/>
          <w:bCs/>
          <w:sz w:val="22"/>
          <w:szCs w:val="22"/>
        </w:rPr>
        <w:t>/21)</w:t>
      </w:r>
      <w:r w:rsidRPr="4EAEB347">
        <w:rPr>
          <w:rStyle w:val="normaltextrun"/>
          <w:rFonts w:ascii="Calibri" w:hAnsi="Calibri" w:cs="Calibri"/>
          <w:b/>
          <w:bCs/>
          <w:color w:val="0000FF"/>
          <w:sz w:val="22"/>
          <w:szCs w:val="22"/>
        </w:rPr>
        <w:t> </w:t>
      </w:r>
      <w:r w:rsidRPr="4EAEB347">
        <w:rPr>
          <w:rStyle w:val="scxw96657786"/>
          <w:rFonts w:ascii="Calibri" w:hAnsi="Calibri" w:cs="Calibri"/>
          <w:color w:val="0000FF"/>
          <w:sz w:val="22"/>
          <w:szCs w:val="22"/>
        </w:rPr>
        <w:t> </w:t>
      </w:r>
      <w:r>
        <w:br/>
      </w:r>
    </w:p>
    <w:p w14:paraId="798699A9" w14:textId="0F8F3FFB" w:rsidR="0010343E" w:rsidRPr="0010343E" w:rsidRDefault="0010343E" w:rsidP="28E632B4">
      <w:pPr>
        <w:pStyle w:val="paragraph"/>
        <w:numPr>
          <w:ilvl w:val="0"/>
          <w:numId w:val="18"/>
        </w:numPr>
        <w:spacing w:before="0" w:beforeAutospacing="0" w:after="0" w:afterAutospacing="0"/>
        <w:textAlignment w:val="baseline"/>
        <w:rPr>
          <w:sz w:val="22"/>
          <w:szCs w:val="22"/>
        </w:rPr>
      </w:pPr>
      <w:r w:rsidRPr="28E632B4">
        <w:rPr>
          <w:rStyle w:val="normaltextrun"/>
          <w:rFonts w:ascii="Calibri" w:hAnsi="Calibri" w:cs="Calibri"/>
          <w:sz w:val="22"/>
          <w:szCs w:val="22"/>
        </w:rPr>
        <w:t>Any other business</w:t>
      </w:r>
      <w:r w:rsidRPr="28E632B4">
        <w:rPr>
          <w:rStyle w:val="eop"/>
          <w:rFonts w:ascii="Calibri" w:hAnsi="Calibri" w:cs="Calibri"/>
          <w:sz w:val="22"/>
          <w:szCs w:val="22"/>
        </w:rPr>
        <w:t> </w:t>
      </w:r>
    </w:p>
    <w:p w14:paraId="3BC1D2CB" w14:textId="77777777" w:rsidR="0010343E" w:rsidRDefault="0010343E" w:rsidP="0010343E">
      <w:pPr>
        <w:pStyle w:val="paragraph"/>
        <w:spacing w:before="0" w:beforeAutospacing="0" w:after="0" w:afterAutospacing="0"/>
        <w:ind w:left="1575" w:hanging="360"/>
        <w:textAlignment w:val="baseline"/>
        <w:rPr>
          <w:rFonts w:ascii="Segoe UI" w:hAnsi="Segoe UI" w:cs="Segoe UI"/>
          <w:sz w:val="18"/>
          <w:szCs w:val="18"/>
        </w:rPr>
      </w:pPr>
      <w:r>
        <w:rPr>
          <w:rStyle w:val="eop"/>
          <w:rFonts w:ascii="Calibri" w:hAnsi="Calibri" w:cs="Calibri"/>
          <w:color w:val="5B518F"/>
          <w:sz w:val="22"/>
          <w:szCs w:val="22"/>
        </w:rPr>
        <w:t> </w:t>
      </w:r>
    </w:p>
    <w:p w14:paraId="15C08CE4" w14:textId="77777777" w:rsidR="0010343E" w:rsidRDefault="0010343E" w:rsidP="0010343E">
      <w:pPr>
        <w:pStyle w:val="paragraph"/>
        <w:spacing w:before="0" w:beforeAutospacing="0" w:after="0" w:afterAutospacing="0"/>
        <w:ind w:left="1560" w:right="405"/>
        <w:jc w:val="center"/>
        <w:textAlignment w:val="baseline"/>
        <w:rPr>
          <w:rFonts w:ascii="Segoe UI" w:hAnsi="Segoe UI" w:cs="Segoe UI"/>
          <w:sz w:val="18"/>
          <w:szCs w:val="18"/>
        </w:rPr>
      </w:pPr>
      <w:r>
        <w:rPr>
          <w:rStyle w:val="eop"/>
          <w:rFonts w:ascii="Calibri" w:hAnsi="Calibri" w:cs="Calibri"/>
          <w:color w:val="5B518F"/>
          <w:sz w:val="22"/>
          <w:szCs w:val="22"/>
        </w:rPr>
        <w:t> </w:t>
      </w:r>
    </w:p>
    <w:p w14:paraId="16E9C3D3" w14:textId="77777777" w:rsidR="0010343E" w:rsidRDefault="0010343E" w:rsidP="0010343E">
      <w:pPr>
        <w:pStyle w:val="paragraph"/>
        <w:spacing w:before="0" w:beforeAutospacing="0" w:after="0" w:afterAutospacing="0"/>
        <w:ind w:left="1560" w:right="405"/>
        <w:jc w:val="center"/>
        <w:textAlignment w:val="baseline"/>
        <w:rPr>
          <w:rFonts w:ascii="Segoe UI" w:hAnsi="Segoe UI" w:cs="Segoe UI"/>
          <w:sz w:val="18"/>
          <w:szCs w:val="18"/>
        </w:rPr>
      </w:pPr>
      <w:r>
        <w:rPr>
          <w:rStyle w:val="eop"/>
          <w:rFonts w:ascii="Calibri" w:hAnsi="Calibri" w:cs="Calibri"/>
          <w:color w:val="5B518F"/>
          <w:sz w:val="22"/>
          <w:szCs w:val="22"/>
        </w:rPr>
        <w:t> </w:t>
      </w:r>
    </w:p>
    <w:p w14:paraId="210A2396" w14:textId="77777777" w:rsidR="0010343E" w:rsidRDefault="0010343E" w:rsidP="06EF27C7">
      <w:pPr>
        <w:pStyle w:val="paragraph"/>
        <w:spacing w:before="0" w:beforeAutospacing="0" w:after="0" w:afterAutospacing="0"/>
        <w:ind w:left="720" w:right="405"/>
        <w:jc w:val="right"/>
        <w:textAlignment w:val="baseline"/>
        <w:rPr>
          <w:rFonts w:ascii="Segoe UI" w:hAnsi="Segoe UI" w:cs="Segoe UI"/>
          <w:sz w:val="18"/>
          <w:szCs w:val="18"/>
        </w:rPr>
      </w:pPr>
      <w:r w:rsidRPr="06EF27C7">
        <w:rPr>
          <w:rStyle w:val="eop"/>
          <w:rFonts w:ascii="Calibri" w:hAnsi="Calibri" w:cs="Calibri"/>
          <w:color w:val="5B518F"/>
          <w:sz w:val="22"/>
          <w:szCs w:val="22"/>
        </w:rPr>
        <w:t> </w:t>
      </w:r>
    </w:p>
    <w:p w14:paraId="46AC817C" w14:textId="4BD8F20E" w:rsidR="003D639D" w:rsidRDefault="0010343E" w:rsidP="06EF27C7">
      <w:pPr>
        <w:pStyle w:val="paragraph"/>
        <w:spacing w:before="0" w:beforeAutospacing="0" w:after="0" w:afterAutospacing="0"/>
        <w:ind w:left="1560" w:right="405"/>
        <w:jc w:val="right"/>
        <w:rPr>
          <w:rStyle w:val="eop"/>
          <w:rFonts w:ascii="Calibri" w:hAnsi="Calibri" w:cs="Calibri"/>
          <w:color w:val="5B518F"/>
          <w:sz w:val="22"/>
          <w:szCs w:val="22"/>
        </w:rPr>
      </w:pPr>
      <w:r w:rsidRPr="06EF27C7">
        <w:rPr>
          <w:rStyle w:val="eop"/>
          <w:rFonts w:ascii="Calibri" w:hAnsi="Calibri" w:cs="Calibri"/>
          <w:color w:val="5B518F"/>
          <w:sz w:val="22"/>
          <w:szCs w:val="22"/>
        </w:rPr>
        <w:t> </w:t>
      </w:r>
    </w:p>
    <w:p w14:paraId="5CCAE28B" w14:textId="77777777" w:rsidR="003D639D" w:rsidRDefault="003D639D">
      <w:pPr>
        <w:rPr>
          <w:rStyle w:val="eop"/>
          <w:rFonts w:ascii="Calibri" w:eastAsia="Times New Roman" w:hAnsi="Calibri" w:cs="Calibri"/>
          <w:color w:val="5B518F"/>
          <w:lang w:eastAsia="en-GB"/>
        </w:rPr>
      </w:pPr>
      <w:r>
        <w:rPr>
          <w:rStyle w:val="eop"/>
          <w:rFonts w:ascii="Calibri" w:hAnsi="Calibri" w:cs="Calibri"/>
          <w:color w:val="5B518F"/>
        </w:rPr>
        <w:br w:type="page"/>
      </w:r>
    </w:p>
    <w:p w14:paraId="6E61D811" w14:textId="7EB779E6" w:rsidR="003D639D" w:rsidRPr="003D639D" w:rsidRDefault="003D639D" w:rsidP="003D639D">
      <w:pPr>
        <w:pStyle w:val="BodyText"/>
        <w:spacing w:after="1"/>
        <w:jc w:val="right"/>
        <w:rPr>
          <w:rStyle w:val="normaltextrun"/>
          <w:rFonts w:eastAsia="Times New Roman"/>
          <w:color w:val="5B518E"/>
          <w:sz w:val="24"/>
          <w:szCs w:val="24"/>
          <w:shd w:val="clear" w:color="auto" w:fill="FFFFFF"/>
          <w:lang w:eastAsia="en-GB" w:bidi="ar-SA"/>
        </w:rPr>
      </w:pPr>
      <w:r w:rsidRPr="003D639D">
        <w:rPr>
          <w:rStyle w:val="normaltextrun"/>
          <w:rFonts w:eastAsia="Times New Roman"/>
          <w:color w:val="5B518E"/>
          <w:sz w:val="24"/>
          <w:szCs w:val="24"/>
          <w:shd w:val="clear" w:color="auto" w:fill="FFFFFF"/>
          <w:lang w:eastAsia="en-GB" w:bidi="ar-SA"/>
        </w:rPr>
        <w:lastRenderedPageBreak/>
        <w:t>Appendix FCS 07/09/21</w:t>
      </w:r>
    </w:p>
    <w:p w14:paraId="3AAB01C2" w14:textId="77777777" w:rsidR="003D639D" w:rsidRDefault="003D639D" w:rsidP="003D639D">
      <w:pPr>
        <w:ind w:right="689"/>
        <w:jc w:val="right"/>
        <w:rPr>
          <w:b/>
          <w:bCs/>
        </w:rPr>
      </w:pPr>
      <w:r>
        <w:br/>
      </w:r>
    </w:p>
    <w:p w14:paraId="4D6F3370" w14:textId="77777777" w:rsidR="003D639D" w:rsidRDefault="003D639D" w:rsidP="003D639D">
      <w:pPr>
        <w:pStyle w:val="BodyText"/>
        <w:spacing w:after="1"/>
        <w:jc w:val="both"/>
        <w:rPr>
          <w:b/>
          <w:bCs/>
        </w:rPr>
      </w:pPr>
    </w:p>
    <w:tbl>
      <w:tblPr>
        <w:tblW w:w="0" w:type="auto"/>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2"/>
        <w:gridCol w:w="5386"/>
      </w:tblGrid>
      <w:tr w:rsidR="003D639D" w:rsidRPr="00907E6A" w14:paraId="18A40051" w14:textId="77777777" w:rsidTr="009E3076">
        <w:trPr>
          <w:trHeight w:val="802"/>
        </w:trPr>
        <w:tc>
          <w:tcPr>
            <w:tcW w:w="3522" w:type="dxa"/>
          </w:tcPr>
          <w:p w14:paraId="3E151FDC" w14:textId="77777777" w:rsidR="003D639D" w:rsidRPr="00907E6A" w:rsidRDefault="003D639D" w:rsidP="009E3076">
            <w:pPr>
              <w:pStyle w:val="TableParagraph"/>
              <w:spacing w:before="11"/>
              <w:jc w:val="both"/>
              <w:rPr>
                <w:b/>
              </w:rPr>
            </w:pPr>
          </w:p>
          <w:p w14:paraId="4B742266" w14:textId="77777777" w:rsidR="003D639D" w:rsidRPr="00907E6A" w:rsidRDefault="003D639D" w:rsidP="009E3076">
            <w:pPr>
              <w:pStyle w:val="TableParagraph"/>
              <w:ind w:left="107"/>
              <w:jc w:val="both"/>
            </w:pPr>
            <w:r w:rsidRPr="00907E6A">
              <w:t>Subject</w:t>
            </w:r>
          </w:p>
        </w:tc>
        <w:tc>
          <w:tcPr>
            <w:tcW w:w="5386" w:type="dxa"/>
          </w:tcPr>
          <w:p w14:paraId="415876FA" w14:textId="77777777" w:rsidR="003D639D" w:rsidRPr="00907E6A" w:rsidRDefault="003D639D" w:rsidP="009E3076">
            <w:pPr>
              <w:pStyle w:val="TableParagraph"/>
              <w:spacing w:before="11"/>
              <w:jc w:val="both"/>
              <w:rPr>
                <w:b/>
              </w:rPr>
            </w:pPr>
          </w:p>
          <w:p w14:paraId="79D91914" w14:textId="77777777" w:rsidR="003D639D" w:rsidRPr="00907E6A" w:rsidRDefault="003D639D" w:rsidP="009E3076">
            <w:pPr>
              <w:pStyle w:val="TableParagraph"/>
              <w:ind w:left="107"/>
              <w:jc w:val="both"/>
            </w:pPr>
            <w:r w:rsidRPr="00907E6A">
              <w:t>General funding update</w:t>
            </w:r>
          </w:p>
        </w:tc>
      </w:tr>
      <w:tr w:rsidR="003D639D" w:rsidRPr="00907E6A" w14:paraId="07A86902" w14:textId="77777777" w:rsidTr="009E3076">
        <w:trPr>
          <w:trHeight w:val="803"/>
        </w:trPr>
        <w:tc>
          <w:tcPr>
            <w:tcW w:w="3522" w:type="dxa"/>
          </w:tcPr>
          <w:p w14:paraId="66ACD434" w14:textId="77777777" w:rsidR="003D639D" w:rsidRPr="00907E6A" w:rsidRDefault="003D639D" w:rsidP="009E3076">
            <w:pPr>
              <w:pStyle w:val="TableParagraph"/>
              <w:spacing w:before="11"/>
              <w:jc w:val="both"/>
              <w:rPr>
                <w:b/>
              </w:rPr>
            </w:pPr>
          </w:p>
          <w:p w14:paraId="0F55B240" w14:textId="77777777" w:rsidR="003D639D" w:rsidRPr="00907E6A" w:rsidRDefault="003D639D" w:rsidP="009E3076">
            <w:pPr>
              <w:pStyle w:val="TableParagraph"/>
              <w:ind w:left="107"/>
              <w:jc w:val="both"/>
            </w:pPr>
            <w:r w:rsidRPr="00907E6A">
              <w:t>Date of meeting</w:t>
            </w:r>
          </w:p>
        </w:tc>
        <w:tc>
          <w:tcPr>
            <w:tcW w:w="5386" w:type="dxa"/>
          </w:tcPr>
          <w:p w14:paraId="65A3EF2E" w14:textId="77777777" w:rsidR="003D639D" w:rsidRPr="00907E6A" w:rsidRDefault="003D639D" w:rsidP="009E3076">
            <w:pPr>
              <w:pStyle w:val="TableParagraph"/>
              <w:spacing w:before="11"/>
              <w:jc w:val="both"/>
              <w:rPr>
                <w:b/>
              </w:rPr>
            </w:pPr>
          </w:p>
          <w:p w14:paraId="5D1B9ED0" w14:textId="77777777" w:rsidR="003D639D" w:rsidRPr="00907E6A" w:rsidRDefault="003D639D" w:rsidP="009E3076">
            <w:pPr>
              <w:pStyle w:val="TableParagraph"/>
              <w:ind w:left="107"/>
              <w:jc w:val="both"/>
            </w:pPr>
            <w:r>
              <w:t xml:space="preserve"> September 2021</w:t>
            </w:r>
          </w:p>
        </w:tc>
      </w:tr>
      <w:tr w:rsidR="003D639D" w:rsidRPr="00907E6A" w14:paraId="3D60AA5B" w14:textId="77777777" w:rsidTr="009E3076">
        <w:trPr>
          <w:trHeight w:val="803"/>
        </w:trPr>
        <w:tc>
          <w:tcPr>
            <w:tcW w:w="3522" w:type="dxa"/>
          </w:tcPr>
          <w:p w14:paraId="62D1243A" w14:textId="77777777" w:rsidR="003D639D" w:rsidRPr="00907E6A" w:rsidRDefault="003D639D" w:rsidP="009E3076">
            <w:pPr>
              <w:pStyle w:val="TableParagraph"/>
              <w:spacing w:before="11"/>
              <w:jc w:val="both"/>
              <w:rPr>
                <w:b/>
              </w:rPr>
            </w:pPr>
          </w:p>
          <w:p w14:paraId="0C67AF3F" w14:textId="77777777" w:rsidR="003D639D" w:rsidRPr="00907E6A" w:rsidRDefault="003D639D" w:rsidP="009E3076">
            <w:pPr>
              <w:pStyle w:val="TableParagraph"/>
              <w:ind w:left="107"/>
              <w:jc w:val="both"/>
            </w:pPr>
            <w:r w:rsidRPr="00907E6A">
              <w:t>Committee/Subcommittee</w:t>
            </w:r>
          </w:p>
        </w:tc>
        <w:tc>
          <w:tcPr>
            <w:tcW w:w="5386" w:type="dxa"/>
          </w:tcPr>
          <w:p w14:paraId="00BAC621" w14:textId="77777777" w:rsidR="003D639D" w:rsidRPr="00907E6A" w:rsidRDefault="003D639D" w:rsidP="009E3076">
            <w:pPr>
              <w:pStyle w:val="TableParagraph"/>
              <w:spacing w:before="11"/>
              <w:jc w:val="both"/>
              <w:rPr>
                <w:b/>
              </w:rPr>
            </w:pPr>
          </w:p>
          <w:p w14:paraId="184F82FC" w14:textId="77777777" w:rsidR="003D639D" w:rsidRPr="00907E6A" w:rsidRDefault="003D639D" w:rsidP="009E3076">
            <w:pPr>
              <w:pStyle w:val="TableParagraph"/>
              <w:ind w:left="107"/>
              <w:jc w:val="both"/>
            </w:pPr>
            <w:r w:rsidRPr="00907E6A">
              <w:t>FunCon</w:t>
            </w:r>
          </w:p>
        </w:tc>
      </w:tr>
      <w:tr w:rsidR="003D639D" w:rsidRPr="00907E6A" w14:paraId="197E4822" w14:textId="77777777" w:rsidTr="009E3076">
        <w:trPr>
          <w:trHeight w:val="801"/>
        </w:trPr>
        <w:tc>
          <w:tcPr>
            <w:tcW w:w="3522" w:type="dxa"/>
          </w:tcPr>
          <w:p w14:paraId="40743BDD" w14:textId="77777777" w:rsidR="003D639D" w:rsidRPr="00907E6A" w:rsidRDefault="003D639D" w:rsidP="009E3076">
            <w:pPr>
              <w:pStyle w:val="TableParagraph"/>
              <w:spacing w:before="12"/>
              <w:jc w:val="both"/>
              <w:rPr>
                <w:b/>
              </w:rPr>
            </w:pPr>
          </w:p>
          <w:p w14:paraId="46296480" w14:textId="77777777" w:rsidR="003D639D" w:rsidRPr="00907E6A" w:rsidRDefault="003D639D" w:rsidP="009E3076">
            <w:pPr>
              <w:pStyle w:val="TableParagraph"/>
              <w:ind w:left="107"/>
              <w:jc w:val="both"/>
            </w:pPr>
            <w:r w:rsidRPr="00907E6A">
              <w:t>Status</w:t>
            </w:r>
          </w:p>
        </w:tc>
        <w:tc>
          <w:tcPr>
            <w:tcW w:w="5386" w:type="dxa"/>
          </w:tcPr>
          <w:p w14:paraId="3D016CD3" w14:textId="77777777" w:rsidR="003D639D" w:rsidRPr="00907E6A" w:rsidRDefault="003D639D" w:rsidP="009E3076">
            <w:pPr>
              <w:pStyle w:val="TableParagraph"/>
              <w:spacing w:before="12"/>
              <w:jc w:val="both"/>
              <w:rPr>
                <w:b/>
              </w:rPr>
            </w:pPr>
          </w:p>
          <w:p w14:paraId="7AB8AAD3" w14:textId="77777777" w:rsidR="003D639D" w:rsidRPr="00907E6A" w:rsidRDefault="003D639D" w:rsidP="009E3076">
            <w:pPr>
              <w:pStyle w:val="TableParagraph"/>
              <w:ind w:left="107"/>
              <w:jc w:val="both"/>
            </w:pPr>
            <w:r>
              <w:t>Not confidential</w:t>
            </w:r>
          </w:p>
        </w:tc>
      </w:tr>
      <w:tr w:rsidR="003D639D" w:rsidRPr="00907E6A" w14:paraId="69250BFE" w14:textId="77777777" w:rsidTr="009E3076">
        <w:trPr>
          <w:trHeight w:val="802"/>
        </w:trPr>
        <w:tc>
          <w:tcPr>
            <w:tcW w:w="3522" w:type="dxa"/>
          </w:tcPr>
          <w:p w14:paraId="1CA1EDFC" w14:textId="77777777" w:rsidR="003D639D" w:rsidRPr="00907E6A" w:rsidRDefault="003D639D" w:rsidP="009E3076">
            <w:pPr>
              <w:pStyle w:val="TableParagraph"/>
              <w:spacing w:before="11"/>
              <w:jc w:val="both"/>
              <w:rPr>
                <w:b/>
              </w:rPr>
            </w:pPr>
          </w:p>
          <w:p w14:paraId="0B33A7C7" w14:textId="77777777" w:rsidR="003D639D" w:rsidRPr="00907E6A" w:rsidRDefault="003D639D" w:rsidP="009E3076">
            <w:pPr>
              <w:pStyle w:val="TableParagraph"/>
              <w:ind w:left="107"/>
              <w:jc w:val="both"/>
            </w:pPr>
            <w:r w:rsidRPr="00907E6A">
              <w:t>Overview</w:t>
            </w:r>
          </w:p>
        </w:tc>
        <w:tc>
          <w:tcPr>
            <w:tcW w:w="5386" w:type="dxa"/>
          </w:tcPr>
          <w:p w14:paraId="57B83EDB" w14:textId="77777777" w:rsidR="003D639D" w:rsidRPr="00907E6A" w:rsidRDefault="003D639D" w:rsidP="009E3076">
            <w:pPr>
              <w:pStyle w:val="TableParagraph"/>
              <w:spacing w:before="11"/>
              <w:jc w:val="both"/>
              <w:rPr>
                <w:b/>
              </w:rPr>
            </w:pPr>
          </w:p>
          <w:p w14:paraId="52502EED" w14:textId="77777777" w:rsidR="003D639D" w:rsidRPr="00907E6A" w:rsidRDefault="003D639D" w:rsidP="009E3076">
            <w:pPr>
              <w:pStyle w:val="TableParagraph"/>
              <w:ind w:left="107"/>
              <w:jc w:val="both"/>
            </w:pPr>
            <w:r w:rsidRPr="00907E6A">
              <w:t>General update on various funding issues</w:t>
            </w:r>
          </w:p>
        </w:tc>
      </w:tr>
      <w:tr w:rsidR="003D639D" w:rsidRPr="00907E6A" w14:paraId="35BD6A50" w14:textId="77777777" w:rsidTr="009E3076">
        <w:trPr>
          <w:trHeight w:val="803"/>
        </w:trPr>
        <w:tc>
          <w:tcPr>
            <w:tcW w:w="3522" w:type="dxa"/>
          </w:tcPr>
          <w:p w14:paraId="4D49FD91" w14:textId="77777777" w:rsidR="003D639D" w:rsidRPr="00907E6A" w:rsidRDefault="003D639D" w:rsidP="009E3076">
            <w:pPr>
              <w:pStyle w:val="TableParagraph"/>
              <w:spacing w:before="11"/>
              <w:jc w:val="both"/>
              <w:rPr>
                <w:b/>
              </w:rPr>
            </w:pPr>
          </w:p>
          <w:p w14:paraId="2A918BE7" w14:textId="77777777" w:rsidR="003D639D" w:rsidRPr="00907E6A" w:rsidRDefault="003D639D" w:rsidP="009E3076">
            <w:pPr>
              <w:pStyle w:val="TableParagraph"/>
              <w:ind w:left="107"/>
              <w:jc w:val="both"/>
            </w:pPr>
            <w:r w:rsidRPr="00907E6A">
              <w:t>Proposed action(s)</w:t>
            </w:r>
          </w:p>
        </w:tc>
        <w:tc>
          <w:tcPr>
            <w:tcW w:w="5386" w:type="dxa"/>
          </w:tcPr>
          <w:p w14:paraId="2CB0E9CC" w14:textId="77777777" w:rsidR="003D639D" w:rsidRPr="00907E6A" w:rsidRDefault="003D639D" w:rsidP="009E3076">
            <w:pPr>
              <w:pStyle w:val="TableParagraph"/>
              <w:spacing w:before="11"/>
              <w:jc w:val="both"/>
              <w:rPr>
                <w:b/>
                <w:bCs/>
              </w:rPr>
            </w:pPr>
          </w:p>
          <w:p w14:paraId="1A05F886" w14:textId="77777777" w:rsidR="003D639D" w:rsidRPr="00907E6A" w:rsidRDefault="003D639D" w:rsidP="009E3076">
            <w:pPr>
              <w:pStyle w:val="TableParagraph"/>
              <w:ind w:left="107"/>
              <w:jc w:val="both"/>
            </w:pPr>
            <w:r>
              <w:t>No action required</w:t>
            </w:r>
          </w:p>
          <w:p w14:paraId="721BF61B" w14:textId="77777777" w:rsidR="003D639D" w:rsidRPr="00907E6A" w:rsidRDefault="003D639D" w:rsidP="009E3076">
            <w:pPr>
              <w:pStyle w:val="TableParagraph"/>
              <w:spacing w:before="11" w:line="259" w:lineRule="auto"/>
              <w:jc w:val="both"/>
              <w:rPr>
                <w:b/>
                <w:bCs/>
              </w:rPr>
            </w:pPr>
          </w:p>
        </w:tc>
      </w:tr>
      <w:tr w:rsidR="003D639D" w:rsidRPr="00907E6A" w14:paraId="7DBD160F" w14:textId="77777777" w:rsidTr="009E3076">
        <w:trPr>
          <w:trHeight w:val="1071"/>
        </w:trPr>
        <w:tc>
          <w:tcPr>
            <w:tcW w:w="3522" w:type="dxa"/>
          </w:tcPr>
          <w:p w14:paraId="3EA44652" w14:textId="77777777" w:rsidR="003D639D" w:rsidRPr="00907E6A" w:rsidRDefault="003D639D" w:rsidP="009E3076">
            <w:pPr>
              <w:pStyle w:val="TableParagraph"/>
              <w:spacing w:before="11"/>
              <w:jc w:val="both"/>
              <w:rPr>
                <w:b/>
              </w:rPr>
            </w:pPr>
          </w:p>
          <w:p w14:paraId="3F2A87AA" w14:textId="77777777" w:rsidR="003D639D" w:rsidRPr="00907E6A" w:rsidRDefault="003D639D" w:rsidP="009E3076">
            <w:pPr>
              <w:pStyle w:val="TableParagraph"/>
              <w:ind w:left="107"/>
              <w:jc w:val="both"/>
            </w:pPr>
            <w:r w:rsidRPr="00907E6A">
              <w:t>Author(s) of the paper</w:t>
            </w:r>
          </w:p>
        </w:tc>
        <w:tc>
          <w:tcPr>
            <w:tcW w:w="5386" w:type="dxa"/>
          </w:tcPr>
          <w:p w14:paraId="5DA3505C" w14:textId="77777777" w:rsidR="003D639D" w:rsidRPr="00907E6A" w:rsidRDefault="003D639D" w:rsidP="009E3076">
            <w:pPr>
              <w:pStyle w:val="TableParagraph"/>
              <w:spacing w:before="11"/>
              <w:jc w:val="both"/>
              <w:rPr>
                <w:b/>
              </w:rPr>
            </w:pPr>
          </w:p>
          <w:p w14:paraId="5D4EBDD3" w14:textId="77777777" w:rsidR="003D639D" w:rsidRDefault="003D639D" w:rsidP="009E3076">
            <w:pPr>
              <w:pStyle w:val="TableParagraph"/>
              <w:ind w:left="107" w:right="1299"/>
              <w:jc w:val="both"/>
            </w:pPr>
            <w:r w:rsidRPr="00907E6A">
              <w:t xml:space="preserve">PSNC </w:t>
            </w:r>
            <w:r>
              <w:t>Dispensing &amp; Supply</w:t>
            </w:r>
            <w:r w:rsidRPr="00907E6A">
              <w:t xml:space="preserve"> Team </w:t>
            </w:r>
          </w:p>
          <w:p w14:paraId="30D530C7" w14:textId="77777777" w:rsidR="003D639D" w:rsidRPr="00907E6A" w:rsidRDefault="003D639D" w:rsidP="009E3076">
            <w:pPr>
              <w:pStyle w:val="TableParagraph"/>
              <w:ind w:left="107" w:right="1299"/>
              <w:jc w:val="both"/>
            </w:pPr>
          </w:p>
        </w:tc>
      </w:tr>
    </w:tbl>
    <w:p w14:paraId="5A04407F" w14:textId="77777777" w:rsidR="003D639D" w:rsidRPr="00907E6A" w:rsidRDefault="003D639D" w:rsidP="003D639D">
      <w:pPr>
        <w:spacing w:before="15"/>
        <w:ind w:right="2880"/>
        <w:jc w:val="both"/>
        <w:rPr>
          <w:b/>
          <w:bCs/>
          <w:color w:val="5B518E"/>
        </w:rPr>
      </w:pPr>
    </w:p>
    <w:p w14:paraId="702B3C7F" w14:textId="77777777" w:rsidR="003D639D" w:rsidRPr="00907E6A" w:rsidRDefault="003D639D" w:rsidP="003D639D">
      <w:pPr>
        <w:spacing w:before="15"/>
        <w:ind w:left="851" w:right="2880"/>
        <w:jc w:val="both"/>
        <w:rPr>
          <w:b/>
          <w:color w:val="5B518E"/>
        </w:rPr>
      </w:pPr>
    </w:p>
    <w:p w14:paraId="45BCD7B6" w14:textId="77777777" w:rsidR="003D639D" w:rsidRPr="00907E6A" w:rsidRDefault="003D639D" w:rsidP="003D639D">
      <w:pPr>
        <w:spacing w:before="15"/>
        <w:ind w:left="851" w:right="2880"/>
        <w:jc w:val="both"/>
        <w:rPr>
          <w:b/>
          <w:color w:val="5B518E"/>
        </w:rPr>
      </w:pPr>
    </w:p>
    <w:p w14:paraId="78AC3974" w14:textId="77777777" w:rsidR="003D639D" w:rsidRPr="00907E6A" w:rsidRDefault="003D639D" w:rsidP="003D639D">
      <w:pPr>
        <w:spacing w:before="15"/>
        <w:ind w:left="851" w:right="2880"/>
        <w:jc w:val="both"/>
        <w:rPr>
          <w:b/>
          <w:color w:val="5B518E"/>
        </w:rPr>
      </w:pPr>
    </w:p>
    <w:p w14:paraId="02251D44" w14:textId="77777777" w:rsidR="003D639D" w:rsidRPr="00907E6A" w:rsidRDefault="003D639D" w:rsidP="003D639D">
      <w:pPr>
        <w:spacing w:before="15"/>
        <w:ind w:left="851" w:right="2880"/>
        <w:jc w:val="both"/>
        <w:rPr>
          <w:b/>
          <w:color w:val="5B518E"/>
        </w:rPr>
      </w:pPr>
    </w:p>
    <w:p w14:paraId="64E07292" w14:textId="77777777" w:rsidR="003D639D" w:rsidRDefault="003D639D" w:rsidP="003D639D">
      <w:pPr>
        <w:spacing w:before="15"/>
        <w:ind w:left="851" w:right="2880"/>
        <w:jc w:val="both"/>
        <w:rPr>
          <w:b/>
          <w:color w:val="5B518E"/>
        </w:rPr>
      </w:pPr>
    </w:p>
    <w:p w14:paraId="11984614" w14:textId="77777777" w:rsidR="003D639D" w:rsidRDefault="003D639D" w:rsidP="003D639D">
      <w:pPr>
        <w:spacing w:before="15"/>
        <w:ind w:left="851" w:right="2880"/>
        <w:jc w:val="both"/>
        <w:rPr>
          <w:b/>
          <w:color w:val="5B518E"/>
        </w:rPr>
      </w:pPr>
    </w:p>
    <w:p w14:paraId="19C51B20" w14:textId="77777777" w:rsidR="003D639D" w:rsidRDefault="003D639D" w:rsidP="003D639D">
      <w:pPr>
        <w:spacing w:before="15"/>
        <w:ind w:left="851" w:right="2880"/>
        <w:jc w:val="both"/>
        <w:rPr>
          <w:b/>
          <w:color w:val="5B518E"/>
        </w:rPr>
      </w:pPr>
    </w:p>
    <w:p w14:paraId="39AE5465" w14:textId="77777777" w:rsidR="003D639D" w:rsidRDefault="003D639D" w:rsidP="003D639D">
      <w:pPr>
        <w:spacing w:before="15"/>
        <w:ind w:left="851" w:right="2880"/>
        <w:jc w:val="both"/>
        <w:rPr>
          <w:b/>
          <w:color w:val="5B518E"/>
        </w:rPr>
      </w:pPr>
    </w:p>
    <w:p w14:paraId="6FE88240" w14:textId="77777777" w:rsidR="003D639D" w:rsidRDefault="003D639D" w:rsidP="003D639D">
      <w:pPr>
        <w:spacing w:before="15"/>
        <w:ind w:left="851" w:right="2880"/>
        <w:jc w:val="both"/>
        <w:rPr>
          <w:b/>
          <w:color w:val="5B518E"/>
        </w:rPr>
      </w:pPr>
    </w:p>
    <w:p w14:paraId="45D9D01B" w14:textId="77777777" w:rsidR="003D639D" w:rsidRDefault="003D639D" w:rsidP="003D639D">
      <w:pPr>
        <w:spacing w:before="15"/>
        <w:ind w:left="851" w:right="2880"/>
        <w:jc w:val="both"/>
        <w:rPr>
          <w:b/>
          <w:color w:val="5B518E"/>
        </w:rPr>
      </w:pPr>
    </w:p>
    <w:p w14:paraId="50116337" w14:textId="77777777" w:rsidR="003D639D" w:rsidRDefault="003D639D" w:rsidP="003D639D">
      <w:pPr>
        <w:spacing w:before="15"/>
        <w:ind w:left="851" w:right="2880"/>
        <w:jc w:val="both"/>
        <w:rPr>
          <w:b/>
          <w:color w:val="5B518E"/>
        </w:rPr>
      </w:pPr>
    </w:p>
    <w:p w14:paraId="461812CA" w14:textId="77777777" w:rsidR="003D639D" w:rsidRPr="00907E6A" w:rsidRDefault="003D639D" w:rsidP="003D639D">
      <w:pPr>
        <w:spacing w:before="15"/>
        <w:ind w:left="851" w:right="2880"/>
        <w:jc w:val="both"/>
        <w:rPr>
          <w:b/>
          <w:color w:val="5B518E"/>
        </w:rPr>
      </w:pPr>
    </w:p>
    <w:p w14:paraId="6AA5ABD7" w14:textId="77777777" w:rsidR="003D639D" w:rsidRDefault="003D639D" w:rsidP="003D639D">
      <w:pPr>
        <w:jc w:val="both"/>
        <w:rPr>
          <w:b/>
          <w:color w:val="5B518E"/>
        </w:rPr>
      </w:pPr>
    </w:p>
    <w:p w14:paraId="4E6BBF76" w14:textId="416C1670" w:rsidR="003D639D" w:rsidRDefault="003D639D" w:rsidP="003D639D">
      <w:pPr>
        <w:jc w:val="center"/>
        <w:rPr>
          <w:b/>
          <w:bCs/>
          <w:color w:val="5B518E"/>
          <w:sz w:val="28"/>
          <w:szCs w:val="28"/>
        </w:rPr>
      </w:pPr>
      <w:r w:rsidRPr="0D643ABA">
        <w:rPr>
          <w:b/>
          <w:bCs/>
          <w:color w:val="5B518E"/>
          <w:sz w:val="28"/>
          <w:szCs w:val="28"/>
        </w:rPr>
        <w:lastRenderedPageBreak/>
        <w:t>General funding update</w:t>
      </w:r>
    </w:p>
    <w:p w14:paraId="169CE2F1" w14:textId="77777777" w:rsidR="003D639D" w:rsidRDefault="003D639D" w:rsidP="003D639D">
      <w:pPr>
        <w:pStyle w:val="BodyText"/>
        <w:ind w:right="937"/>
        <w:jc w:val="both"/>
      </w:pPr>
    </w:p>
    <w:p w14:paraId="1BBAFF8F" w14:textId="77777777" w:rsidR="003D639D" w:rsidRDefault="003D639D" w:rsidP="003D639D">
      <w:pPr>
        <w:pStyle w:val="NoSpacing"/>
      </w:pPr>
      <w:r>
        <w:t>The following items are matters of report:</w:t>
      </w:r>
    </w:p>
    <w:p w14:paraId="6FEAD9C7" w14:textId="77777777" w:rsidR="003D639D" w:rsidRDefault="003D639D" w:rsidP="003D639D">
      <w:pPr>
        <w:pStyle w:val="NoSpacing"/>
      </w:pPr>
    </w:p>
    <w:p w14:paraId="1FB1966A" w14:textId="77777777" w:rsidR="003D639D" w:rsidRPr="00015928" w:rsidRDefault="00F76EBD" w:rsidP="003D639D">
      <w:pPr>
        <w:pStyle w:val="ListParagraph"/>
        <w:widowControl w:val="0"/>
        <w:numPr>
          <w:ilvl w:val="0"/>
          <w:numId w:val="24"/>
        </w:numPr>
        <w:autoSpaceDE w:val="0"/>
        <w:autoSpaceDN w:val="0"/>
        <w:spacing w:before="15" w:after="0" w:line="240" w:lineRule="auto"/>
        <w:ind w:right="-22"/>
        <w:contextualSpacing w:val="0"/>
        <w:rPr>
          <w:color w:val="5B518E"/>
        </w:rPr>
      </w:pPr>
      <w:hyperlink w:anchor="advance_payment" w:history="1">
        <w:r w:rsidR="003D639D" w:rsidRPr="00A65AF0">
          <w:rPr>
            <w:rStyle w:val="Hyperlink"/>
          </w:rPr>
          <w:t>Earlier advance payments for all contractors</w:t>
        </w:r>
      </w:hyperlink>
    </w:p>
    <w:p w14:paraId="7AE4225E" w14:textId="77777777" w:rsidR="003D639D" w:rsidRPr="00015928" w:rsidRDefault="00F76EBD" w:rsidP="003D639D">
      <w:pPr>
        <w:pStyle w:val="ListParagraph"/>
        <w:widowControl w:val="0"/>
        <w:numPr>
          <w:ilvl w:val="0"/>
          <w:numId w:val="24"/>
        </w:numPr>
        <w:autoSpaceDE w:val="0"/>
        <w:autoSpaceDN w:val="0"/>
        <w:spacing w:before="15" w:after="0" w:line="240" w:lineRule="auto"/>
        <w:ind w:right="-22"/>
        <w:contextualSpacing w:val="0"/>
        <w:rPr>
          <w:color w:val="5B518E"/>
        </w:rPr>
      </w:pPr>
      <w:hyperlink w:anchor="signatures" w:history="1">
        <w:r w:rsidR="003D639D" w:rsidRPr="00A65AF0">
          <w:rPr>
            <w:rStyle w:val="Hyperlink"/>
          </w:rPr>
          <w:t>End to temporary suspension of signatures on prescription forms and token submission requirements</w:t>
        </w:r>
      </w:hyperlink>
    </w:p>
    <w:p w14:paraId="1D076364" w14:textId="77777777" w:rsidR="003D639D" w:rsidRPr="00015928" w:rsidRDefault="00F76EBD" w:rsidP="003D639D">
      <w:pPr>
        <w:pStyle w:val="ListParagraph"/>
        <w:widowControl w:val="0"/>
        <w:numPr>
          <w:ilvl w:val="0"/>
          <w:numId w:val="24"/>
        </w:numPr>
        <w:autoSpaceDE w:val="0"/>
        <w:autoSpaceDN w:val="0"/>
        <w:spacing w:before="15" w:after="0" w:line="240" w:lineRule="auto"/>
        <w:ind w:right="-22"/>
        <w:contextualSpacing w:val="0"/>
        <w:rPr>
          <w:color w:val="5B518E"/>
        </w:rPr>
      </w:pPr>
      <w:hyperlink w:anchor="PARTVIIIC" w:history="1">
        <w:r w:rsidR="003D639D" w:rsidRPr="00A65AF0">
          <w:rPr>
            <w:rStyle w:val="Hyperlink"/>
          </w:rPr>
          <w:t>Inclisiran (Leqvio®) added to a new section in the Drug Tariff (Part VIIIC)</w:t>
        </w:r>
      </w:hyperlink>
    </w:p>
    <w:p w14:paraId="3F7CB4E4" w14:textId="77777777" w:rsidR="003D639D" w:rsidRPr="00015928" w:rsidRDefault="00F76EBD" w:rsidP="003D639D">
      <w:pPr>
        <w:pStyle w:val="ListParagraph"/>
        <w:widowControl w:val="0"/>
        <w:numPr>
          <w:ilvl w:val="0"/>
          <w:numId w:val="24"/>
        </w:numPr>
        <w:autoSpaceDE w:val="0"/>
        <w:autoSpaceDN w:val="0"/>
        <w:spacing w:before="15" w:after="0" w:line="240" w:lineRule="auto"/>
        <w:ind w:right="-22"/>
        <w:contextualSpacing w:val="0"/>
        <w:rPr>
          <w:color w:val="5B518E"/>
        </w:rPr>
      </w:pPr>
      <w:hyperlink w:anchor="SAF" w:history="1">
        <w:r w:rsidR="003D639D" w:rsidRPr="00A65AF0">
          <w:rPr>
            <w:rStyle w:val="Hyperlink"/>
          </w:rPr>
          <w:t>Single Activity Fee to increase to £1.29 from 1st August</w:t>
        </w:r>
      </w:hyperlink>
    </w:p>
    <w:p w14:paraId="2E346632" w14:textId="77777777" w:rsidR="003D639D" w:rsidRPr="00015928" w:rsidRDefault="00F76EBD" w:rsidP="003D639D">
      <w:pPr>
        <w:pStyle w:val="ListParagraph"/>
        <w:widowControl w:val="0"/>
        <w:numPr>
          <w:ilvl w:val="0"/>
          <w:numId w:val="24"/>
        </w:numPr>
        <w:autoSpaceDE w:val="0"/>
        <w:autoSpaceDN w:val="0"/>
        <w:spacing w:before="15" w:after="0" w:line="240" w:lineRule="auto"/>
        <w:ind w:right="-22"/>
        <w:contextualSpacing w:val="0"/>
        <w:rPr>
          <w:color w:val="5B518E"/>
        </w:rPr>
      </w:pPr>
      <w:hyperlink w:anchor="july_cat_m" w:history="1">
        <w:r w:rsidR="003D639D" w:rsidRPr="00A65AF0">
          <w:rPr>
            <w:rStyle w:val="Hyperlink"/>
          </w:rPr>
          <w:t xml:space="preserve">July 2021 Category M </w:t>
        </w:r>
        <w:r w:rsidR="003D639D">
          <w:rPr>
            <w:rStyle w:val="Hyperlink"/>
          </w:rPr>
          <w:t>p</w:t>
        </w:r>
        <w:r w:rsidR="003D639D" w:rsidRPr="00A65AF0">
          <w:rPr>
            <w:rStyle w:val="Hyperlink"/>
          </w:rPr>
          <w:t xml:space="preserve">rices </w:t>
        </w:r>
        <w:r w:rsidR="003D639D">
          <w:rPr>
            <w:rStyle w:val="Hyperlink"/>
          </w:rPr>
          <w:t>a</w:t>
        </w:r>
        <w:r w:rsidR="003D639D" w:rsidRPr="00A65AF0">
          <w:rPr>
            <w:rStyle w:val="Hyperlink"/>
          </w:rPr>
          <w:t>nnounced</w:t>
        </w:r>
      </w:hyperlink>
    </w:p>
    <w:p w14:paraId="2B415E10" w14:textId="77777777" w:rsidR="003D639D" w:rsidRPr="00015928" w:rsidRDefault="00F76EBD" w:rsidP="003D639D">
      <w:pPr>
        <w:pStyle w:val="ListParagraph"/>
        <w:widowControl w:val="0"/>
        <w:numPr>
          <w:ilvl w:val="0"/>
          <w:numId w:val="24"/>
        </w:numPr>
        <w:autoSpaceDE w:val="0"/>
        <w:autoSpaceDN w:val="0"/>
        <w:spacing w:before="15" w:after="0" w:line="240" w:lineRule="auto"/>
        <w:ind w:right="-22"/>
        <w:contextualSpacing w:val="0"/>
        <w:rPr>
          <w:color w:val="5B518E"/>
        </w:rPr>
      </w:pPr>
      <w:hyperlink w:anchor="SSP_endorsement" w:history="1">
        <w:r w:rsidR="003D639D" w:rsidRPr="00A65AF0">
          <w:rPr>
            <w:rStyle w:val="Hyperlink"/>
          </w:rPr>
          <w:t>SSP endorsement errors</w:t>
        </w:r>
      </w:hyperlink>
    </w:p>
    <w:p w14:paraId="05C253BF" w14:textId="77777777" w:rsidR="003D639D" w:rsidRPr="00015928" w:rsidRDefault="00F76EBD" w:rsidP="003D639D">
      <w:pPr>
        <w:pStyle w:val="ListParagraph"/>
        <w:widowControl w:val="0"/>
        <w:numPr>
          <w:ilvl w:val="0"/>
          <w:numId w:val="24"/>
        </w:numPr>
        <w:autoSpaceDE w:val="0"/>
        <w:autoSpaceDN w:val="0"/>
        <w:spacing w:before="15" w:after="0" w:line="240" w:lineRule="auto"/>
        <w:ind w:right="-22"/>
        <w:contextualSpacing w:val="0"/>
        <w:rPr>
          <w:color w:val="5B518E"/>
        </w:rPr>
      </w:pPr>
      <w:hyperlink w:anchor="levothyroxine" w:history="1">
        <w:r w:rsidR="003D639D" w:rsidRPr="00A65AF0">
          <w:rPr>
            <w:rStyle w:val="Hyperlink"/>
          </w:rPr>
          <w:t>Levothyroxine: new prescribing advice if specific product required by patient</w:t>
        </w:r>
      </w:hyperlink>
    </w:p>
    <w:p w14:paraId="0B138841" w14:textId="77777777" w:rsidR="003D639D" w:rsidRPr="00015928" w:rsidRDefault="00F76EBD" w:rsidP="003D639D">
      <w:pPr>
        <w:pStyle w:val="ListParagraph"/>
        <w:widowControl w:val="0"/>
        <w:numPr>
          <w:ilvl w:val="0"/>
          <w:numId w:val="24"/>
        </w:numPr>
        <w:autoSpaceDE w:val="0"/>
        <w:autoSpaceDN w:val="0"/>
        <w:spacing w:before="15" w:after="0" w:line="240" w:lineRule="auto"/>
        <w:ind w:right="-22"/>
        <w:contextualSpacing w:val="0"/>
        <w:rPr>
          <w:color w:val="5B518E"/>
        </w:rPr>
      </w:pPr>
      <w:hyperlink w:anchor="eps_rx" w:history="1">
        <w:r w:rsidR="003D639D" w:rsidRPr="00A65AF0">
          <w:rPr>
            <w:rStyle w:val="Hyperlink"/>
          </w:rPr>
          <w:t>EPS scripts now over 95% of total items</w:t>
        </w:r>
      </w:hyperlink>
    </w:p>
    <w:p w14:paraId="075ECC21" w14:textId="77777777" w:rsidR="003D639D" w:rsidRPr="00015928" w:rsidRDefault="00F76EBD" w:rsidP="003D639D">
      <w:pPr>
        <w:pStyle w:val="ListParagraph"/>
        <w:widowControl w:val="0"/>
        <w:numPr>
          <w:ilvl w:val="0"/>
          <w:numId w:val="24"/>
        </w:numPr>
        <w:autoSpaceDE w:val="0"/>
        <w:autoSpaceDN w:val="0"/>
        <w:spacing w:before="15" w:after="0" w:line="240" w:lineRule="auto"/>
        <w:ind w:right="-22"/>
        <w:contextualSpacing w:val="0"/>
        <w:rPr>
          <w:color w:val="5B518E"/>
        </w:rPr>
      </w:pPr>
      <w:hyperlink w:anchor="rtec" w:history="1">
        <w:r w:rsidR="003D639D" w:rsidRPr="00A65AF0">
          <w:rPr>
            <w:rStyle w:val="Hyperlink"/>
          </w:rPr>
          <w:t>More than three quarters of pharmacy organisations register for RTEC</w:t>
        </w:r>
      </w:hyperlink>
    </w:p>
    <w:p w14:paraId="5AC9CF66" w14:textId="77777777" w:rsidR="003D639D" w:rsidRPr="00015928" w:rsidRDefault="00F76EBD" w:rsidP="003D639D">
      <w:pPr>
        <w:pStyle w:val="ListParagraph"/>
        <w:widowControl w:val="0"/>
        <w:numPr>
          <w:ilvl w:val="0"/>
          <w:numId w:val="24"/>
        </w:numPr>
        <w:autoSpaceDE w:val="0"/>
        <w:autoSpaceDN w:val="0"/>
        <w:spacing w:before="15" w:after="0" w:line="240" w:lineRule="auto"/>
        <w:ind w:right="-22"/>
        <w:contextualSpacing w:val="0"/>
        <w:rPr>
          <w:color w:val="5B518E"/>
        </w:rPr>
      </w:pPr>
      <w:hyperlink w:anchor="payment_table" w:history="1">
        <w:r w:rsidR="003D639D" w:rsidRPr="00A65AF0">
          <w:rPr>
            <w:rStyle w:val="Hyperlink"/>
          </w:rPr>
          <w:t>Summary of new payments including claiming deadlines</w:t>
        </w:r>
      </w:hyperlink>
    </w:p>
    <w:p w14:paraId="0B266BDA" w14:textId="77777777" w:rsidR="003D639D" w:rsidRPr="00015928" w:rsidRDefault="00F76EBD" w:rsidP="003D639D">
      <w:pPr>
        <w:pStyle w:val="ListParagraph"/>
        <w:widowControl w:val="0"/>
        <w:numPr>
          <w:ilvl w:val="0"/>
          <w:numId w:val="24"/>
        </w:numPr>
        <w:autoSpaceDE w:val="0"/>
        <w:autoSpaceDN w:val="0"/>
        <w:spacing w:before="15" w:after="0" w:line="240" w:lineRule="auto"/>
        <w:ind w:right="-22"/>
        <w:contextualSpacing w:val="0"/>
        <w:rPr>
          <w:color w:val="5B518E"/>
        </w:rPr>
      </w:pPr>
      <w:hyperlink w:anchor="sc" w:history="1">
        <w:r w:rsidR="003D639D" w:rsidRPr="00A65AF0">
          <w:rPr>
            <w:rStyle w:val="Hyperlink"/>
          </w:rPr>
          <w:t>Update summary of applications submitted to DHSC for re-determination of special container status</w:t>
        </w:r>
      </w:hyperlink>
    </w:p>
    <w:p w14:paraId="5C043DF8" w14:textId="77777777" w:rsidR="003D639D" w:rsidRPr="00015928" w:rsidRDefault="00F76EBD" w:rsidP="003D639D">
      <w:pPr>
        <w:pStyle w:val="ListParagraph"/>
        <w:widowControl w:val="0"/>
        <w:numPr>
          <w:ilvl w:val="0"/>
          <w:numId w:val="24"/>
        </w:numPr>
        <w:autoSpaceDE w:val="0"/>
        <w:autoSpaceDN w:val="0"/>
        <w:spacing w:before="15" w:after="0" w:line="240" w:lineRule="auto"/>
        <w:ind w:right="-22"/>
        <w:contextualSpacing w:val="0"/>
        <w:rPr>
          <w:color w:val="5B518E"/>
        </w:rPr>
      </w:pPr>
      <w:hyperlink w:anchor="dnd" w:history="1">
        <w:r w:rsidR="003D639D" w:rsidRPr="006C1094">
          <w:rPr>
            <w:rStyle w:val="Hyperlink"/>
          </w:rPr>
          <w:t>Further additions to the Discount Not Deducted (DND) list</w:t>
        </w:r>
      </w:hyperlink>
    </w:p>
    <w:p w14:paraId="29CA40A4" w14:textId="77777777" w:rsidR="003D639D" w:rsidRPr="00015928" w:rsidRDefault="00F76EBD" w:rsidP="003D639D">
      <w:pPr>
        <w:pStyle w:val="ListParagraph"/>
        <w:widowControl w:val="0"/>
        <w:numPr>
          <w:ilvl w:val="0"/>
          <w:numId w:val="24"/>
        </w:numPr>
        <w:autoSpaceDE w:val="0"/>
        <w:autoSpaceDN w:val="0"/>
        <w:spacing w:before="15" w:after="0" w:line="240" w:lineRule="auto"/>
        <w:ind w:right="-22"/>
        <w:contextualSpacing w:val="0"/>
        <w:rPr>
          <w:color w:val="5B518E"/>
        </w:rPr>
      </w:pPr>
      <w:hyperlink w:anchor="supply" w:history="1">
        <w:r w:rsidR="003D639D" w:rsidRPr="006C1094">
          <w:rPr>
            <w:rStyle w:val="Hyperlink"/>
          </w:rPr>
          <w:t>Market movements with implications for supply</w:t>
        </w:r>
      </w:hyperlink>
    </w:p>
    <w:p w14:paraId="4F1E9C7C" w14:textId="77777777" w:rsidR="003D639D" w:rsidRPr="00015928" w:rsidRDefault="00F76EBD" w:rsidP="003D639D">
      <w:pPr>
        <w:pStyle w:val="ListParagraph"/>
        <w:widowControl w:val="0"/>
        <w:numPr>
          <w:ilvl w:val="0"/>
          <w:numId w:val="24"/>
        </w:numPr>
        <w:autoSpaceDE w:val="0"/>
        <w:autoSpaceDN w:val="0"/>
        <w:spacing w:before="15" w:after="0" w:line="240" w:lineRule="auto"/>
        <w:ind w:right="-22"/>
        <w:contextualSpacing w:val="0"/>
        <w:rPr>
          <w:color w:val="5B518E"/>
        </w:rPr>
      </w:pPr>
      <w:hyperlink w:anchor="cd_webinar">
        <w:r w:rsidR="003D639D" w:rsidRPr="4261BE40">
          <w:rPr>
            <w:rStyle w:val="Hyperlink"/>
          </w:rPr>
          <w:t>Dispensing Controlled drugs webinar</w:t>
        </w:r>
      </w:hyperlink>
    </w:p>
    <w:p w14:paraId="646610C5" w14:textId="77777777" w:rsidR="003D639D" w:rsidRPr="00015928" w:rsidRDefault="00F76EBD" w:rsidP="003D639D">
      <w:pPr>
        <w:pStyle w:val="ListParagraph"/>
        <w:widowControl w:val="0"/>
        <w:numPr>
          <w:ilvl w:val="0"/>
          <w:numId w:val="24"/>
        </w:numPr>
        <w:autoSpaceDE w:val="0"/>
        <w:autoSpaceDN w:val="0"/>
        <w:spacing w:before="15" w:after="0" w:line="240" w:lineRule="auto"/>
        <w:ind w:right="-22"/>
        <w:contextualSpacing w:val="0"/>
        <w:rPr>
          <w:color w:val="5B518E"/>
        </w:rPr>
      </w:pPr>
      <w:hyperlink w:anchor="factsheets">
        <w:r w:rsidR="003D639D" w:rsidRPr="541BB74F">
          <w:rPr>
            <w:rStyle w:val="Hyperlink"/>
          </w:rPr>
          <w:t>Pharmacy factsheets for community pharmacy</w:t>
        </w:r>
      </w:hyperlink>
    </w:p>
    <w:p w14:paraId="3A9E3999" w14:textId="77777777" w:rsidR="003D639D" w:rsidRDefault="003D639D" w:rsidP="003D639D">
      <w:pPr>
        <w:pStyle w:val="Heading1"/>
        <w:spacing w:before="161" w:after="161"/>
        <w:ind w:left="0"/>
        <w:jc w:val="left"/>
        <w:rPr>
          <w:rFonts w:ascii="Calibri Light" w:hAnsi="Calibri Light" w:cs="Calibri Light"/>
          <w:b w:val="0"/>
          <w:bCs w:val="0"/>
          <w:color w:val="2F5496" w:themeColor="accent1" w:themeShade="BF"/>
          <w:sz w:val="32"/>
          <w:szCs w:val="32"/>
        </w:rPr>
      </w:pPr>
    </w:p>
    <w:p w14:paraId="631468DD" w14:textId="77777777" w:rsidR="003D639D" w:rsidRPr="00BA0FA9" w:rsidRDefault="003D639D" w:rsidP="003D639D">
      <w:pPr>
        <w:pStyle w:val="Heading1"/>
        <w:spacing w:before="161" w:after="161"/>
        <w:ind w:left="0"/>
        <w:jc w:val="left"/>
        <w:rPr>
          <w:rFonts w:ascii="Calibri Light" w:eastAsia="Times New Roman" w:hAnsi="Calibri Light" w:cs="Calibri Light"/>
          <w:b w:val="0"/>
          <w:bCs w:val="0"/>
          <w:color w:val="2F5496" w:themeColor="accent1" w:themeShade="BF"/>
          <w:sz w:val="32"/>
          <w:szCs w:val="32"/>
          <w:lang w:bidi="ar-SA"/>
        </w:rPr>
      </w:pPr>
      <w:bookmarkStart w:id="0" w:name="advance_payment"/>
      <w:r w:rsidRPr="38CAA271">
        <w:rPr>
          <w:rFonts w:ascii="Calibri Light" w:hAnsi="Calibri Light" w:cs="Calibri Light"/>
          <w:b w:val="0"/>
          <w:bCs w:val="0"/>
          <w:color w:val="2F5496" w:themeColor="accent1" w:themeShade="BF"/>
          <w:sz w:val="32"/>
          <w:szCs w:val="32"/>
        </w:rPr>
        <w:t>Earlier</w:t>
      </w:r>
      <w:r w:rsidRPr="735D1721">
        <w:rPr>
          <w:rFonts w:ascii="Calibri Light" w:hAnsi="Calibri Light" w:cs="Calibri Light"/>
          <w:b w:val="0"/>
          <w:bCs w:val="0"/>
          <w:color w:val="2F5496" w:themeColor="accent1" w:themeShade="BF"/>
          <w:sz w:val="32"/>
          <w:szCs w:val="32"/>
        </w:rPr>
        <w:t xml:space="preserve"> advance payments for all contractors</w:t>
      </w:r>
    </w:p>
    <w:bookmarkEnd w:id="0"/>
    <w:p w14:paraId="2107CEAA" w14:textId="77777777" w:rsidR="003D639D" w:rsidRPr="002C3266" w:rsidRDefault="003D639D" w:rsidP="003D639D">
      <w:pPr>
        <w:pStyle w:val="NormalWeb"/>
        <w:spacing w:before="240"/>
        <w:jc w:val="both"/>
        <w:rPr>
          <w:rFonts w:asciiTheme="minorHAnsi" w:eastAsia="Times New Roman" w:hAnsiTheme="minorHAnsi" w:cstheme="minorHAnsi"/>
          <w:color w:val="444444"/>
          <w:sz w:val="22"/>
          <w:szCs w:val="22"/>
          <w:lang w:bidi="ar-SA"/>
        </w:rPr>
      </w:pPr>
      <w:r w:rsidRPr="00F41BCE">
        <w:rPr>
          <w:rFonts w:asciiTheme="minorHAnsi" w:hAnsiTheme="minorHAnsi" w:cstheme="minorHAnsi"/>
          <w:sz w:val="22"/>
          <w:szCs w:val="22"/>
        </w:rPr>
        <w:t>From November 2021, all community pharmacy contractors will have the chance to receive earlier advance payments, following agreement between PSNC and the Department of Health and Social Care (DHSC).  Advance payments will be made approximately</w:t>
      </w:r>
      <w:r w:rsidRPr="00F41BCE">
        <w:rPr>
          <w:rStyle w:val="Strong"/>
          <w:rFonts w:asciiTheme="minorHAnsi" w:hAnsiTheme="minorHAnsi" w:cstheme="minorHAnsi"/>
          <w:sz w:val="22"/>
          <w:szCs w:val="22"/>
        </w:rPr>
        <w:t> 20 days earlier</w:t>
      </w:r>
      <w:r w:rsidRPr="00F41BCE">
        <w:rPr>
          <w:rFonts w:asciiTheme="minorHAnsi" w:hAnsiTheme="minorHAnsi" w:cstheme="minorHAnsi"/>
          <w:sz w:val="22"/>
          <w:szCs w:val="22"/>
        </w:rPr>
        <w:t> than the current payment timetable for contractor who make their monthly FP34C submissions through </w:t>
      </w:r>
      <w:r w:rsidRPr="00F41BCE">
        <w:rPr>
          <w:rStyle w:val="normaltextrun"/>
          <w:rFonts w:asciiTheme="minorHAnsi" w:hAnsiTheme="minorHAnsi" w:cstheme="minorHAnsi"/>
          <w:sz w:val="22"/>
          <w:szCs w:val="22"/>
        </w:rPr>
        <w:t>the </w:t>
      </w:r>
      <w:hyperlink r:id="rId10" w:tgtFrame="_blank" w:history="1">
        <w:r w:rsidRPr="002C3266">
          <w:rPr>
            <w:rStyle w:val="normaltextrun"/>
            <w:rFonts w:asciiTheme="minorHAnsi" w:hAnsiTheme="minorHAnsi" w:cstheme="minorHAnsi"/>
            <w:b/>
            <w:bCs/>
            <w:color w:val="0000FF"/>
            <w:sz w:val="22"/>
            <w:szCs w:val="22"/>
            <w:u w:val="single"/>
          </w:rPr>
          <w:t>Manage Your Service (MYS) portal</w:t>
        </w:r>
      </w:hyperlink>
      <w:r w:rsidRPr="002C3266">
        <w:rPr>
          <w:rFonts w:asciiTheme="minorHAnsi" w:hAnsiTheme="minorHAnsi" w:cstheme="minorHAnsi"/>
          <w:color w:val="444444"/>
          <w:sz w:val="22"/>
          <w:szCs w:val="22"/>
        </w:rPr>
        <w:t> </w:t>
      </w:r>
      <w:r w:rsidRPr="00F41BCE">
        <w:rPr>
          <w:rFonts w:asciiTheme="minorHAnsi" w:hAnsiTheme="minorHAnsi" w:cstheme="minorHAnsi"/>
          <w:sz w:val="22"/>
          <w:szCs w:val="22"/>
        </w:rPr>
        <w:t>by the 5th of the month.</w:t>
      </w:r>
    </w:p>
    <w:p w14:paraId="43900435" w14:textId="77777777" w:rsidR="003D639D" w:rsidRPr="00F41BCE" w:rsidRDefault="003D639D" w:rsidP="003D639D">
      <w:pPr>
        <w:pStyle w:val="NormalWeb"/>
        <w:spacing w:before="240"/>
        <w:jc w:val="both"/>
        <w:rPr>
          <w:rFonts w:asciiTheme="minorHAnsi" w:hAnsiTheme="minorHAnsi" w:cstheme="minorHAnsi"/>
          <w:sz w:val="22"/>
          <w:szCs w:val="22"/>
        </w:rPr>
      </w:pPr>
      <w:r w:rsidRPr="00F41BCE">
        <w:rPr>
          <w:rStyle w:val="eop"/>
          <w:rFonts w:asciiTheme="minorHAnsi" w:hAnsiTheme="minorHAnsi" w:cstheme="minorHAnsi"/>
          <w:sz w:val="22"/>
          <w:szCs w:val="22"/>
        </w:rPr>
        <w:t>The paper FP34C submission document will only be available until March 2022 (for February 2022 prescriptions) after which MYS will be the only route for all monthly submissions. Contractors who continue to use the paper FP34C submission document (from November 2021 to March 2022) will </w:t>
      </w:r>
      <w:r w:rsidRPr="00F41BCE">
        <w:rPr>
          <w:rStyle w:val="Strong"/>
          <w:rFonts w:asciiTheme="minorHAnsi" w:hAnsiTheme="minorHAnsi" w:cstheme="minorHAnsi"/>
          <w:sz w:val="22"/>
          <w:szCs w:val="22"/>
        </w:rPr>
        <w:t>NOT</w:t>
      </w:r>
      <w:r w:rsidRPr="00F41BCE">
        <w:rPr>
          <w:rStyle w:val="eop"/>
          <w:rFonts w:asciiTheme="minorHAnsi" w:hAnsiTheme="minorHAnsi" w:cstheme="minorHAnsi"/>
          <w:sz w:val="22"/>
          <w:szCs w:val="22"/>
        </w:rPr>
        <w:t> receive any earlier advance payments but instead will receive advance payments in accordance with the current payment timetable i.e on or around the 1st of the month following submission. </w:t>
      </w:r>
      <w:r w:rsidRPr="00F41BCE">
        <w:rPr>
          <w:rStyle w:val="Strong"/>
          <w:rFonts w:asciiTheme="minorHAnsi" w:hAnsiTheme="minorHAnsi" w:cstheme="minorHAnsi"/>
          <w:sz w:val="22"/>
          <w:szCs w:val="22"/>
        </w:rPr>
        <w:t>Therefore, contractors who use paper FP34Cs for their monthly submissions are strongly encouraged to start using the MYS portal to make their declarations.</w:t>
      </w:r>
    </w:p>
    <w:p w14:paraId="06FE44CB" w14:textId="77777777" w:rsidR="003D639D" w:rsidRDefault="003D639D" w:rsidP="003D639D">
      <w:pPr>
        <w:pStyle w:val="NormalWeb"/>
        <w:spacing w:before="240"/>
        <w:jc w:val="both"/>
        <w:rPr>
          <w:rStyle w:val="eop"/>
          <w:rFonts w:asciiTheme="minorHAnsi" w:hAnsiTheme="minorHAnsi" w:cstheme="minorHAnsi"/>
          <w:sz w:val="22"/>
          <w:szCs w:val="22"/>
        </w:rPr>
      </w:pPr>
      <w:r w:rsidRPr="00F41BCE">
        <w:rPr>
          <w:rStyle w:val="normaltextrun"/>
          <w:rFonts w:asciiTheme="minorHAnsi" w:hAnsiTheme="minorHAnsi" w:cstheme="minorHAnsi"/>
          <w:b/>
          <w:bCs/>
          <w:sz w:val="22"/>
          <w:szCs w:val="22"/>
        </w:rPr>
        <w:t>The final reconciliation payment date remains</w:t>
      </w:r>
      <w:r w:rsidRPr="00F41BCE">
        <w:rPr>
          <w:rStyle w:val="Strong"/>
          <w:rFonts w:asciiTheme="minorHAnsi" w:hAnsiTheme="minorHAnsi" w:cstheme="minorHAnsi"/>
          <w:sz w:val="22"/>
          <w:szCs w:val="22"/>
        </w:rPr>
        <w:t> unchanged</w:t>
      </w:r>
      <w:r w:rsidRPr="00F41BCE">
        <w:rPr>
          <w:rStyle w:val="normaltextrun"/>
          <w:rFonts w:asciiTheme="minorHAnsi" w:hAnsiTheme="minorHAnsi" w:cstheme="minorHAnsi"/>
          <w:sz w:val="22"/>
          <w:szCs w:val="22"/>
        </w:rPr>
        <w:t> i.e. this will continue to be paid on the 1st working day of the month approximately two months after contractors have submitted the appropriate FP34C form and prescriptions for pricing. </w:t>
      </w:r>
      <w:r w:rsidRPr="00F41BCE">
        <w:rPr>
          <w:rStyle w:val="eop"/>
          <w:rFonts w:asciiTheme="minorHAnsi" w:hAnsiTheme="minorHAnsi" w:cstheme="minorHAnsi"/>
          <w:sz w:val="22"/>
          <w:szCs w:val="22"/>
        </w:rPr>
        <w:t> </w:t>
      </w:r>
    </w:p>
    <w:p w14:paraId="63A1C38F" w14:textId="77777777" w:rsidR="003D639D" w:rsidRPr="00635C93" w:rsidRDefault="003D639D" w:rsidP="003D639D">
      <w:pPr>
        <w:pStyle w:val="NormalWeb"/>
        <w:spacing w:before="240"/>
        <w:jc w:val="both"/>
        <w:rPr>
          <w:rFonts w:asciiTheme="minorHAnsi" w:eastAsia="Times New Roman" w:hAnsiTheme="minorHAnsi" w:cstheme="minorHAnsi"/>
          <w:color w:val="000000" w:themeColor="text1"/>
          <w:sz w:val="22"/>
          <w:szCs w:val="22"/>
          <w:lang w:bidi="ar-SA"/>
        </w:rPr>
      </w:pPr>
      <w:r w:rsidRPr="00635C93">
        <w:rPr>
          <w:rFonts w:asciiTheme="minorHAnsi" w:hAnsiTheme="minorHAnsi" w:cstheme="minorHAnsi"/>
          <w:color w:val="000000" w:themeColor="text1"/>
          <w:sz w:val="22"/>
          <w:szCs w:val="22"/>
        </w:rPr>
        <w:t>Over </w:t>
      </w:r>
      <w:r w:rsidRPr="00635C93">
        <w:rPr>
          <w:rStyle w:val="Strong"/>
          <w:rFonts w:asciiTheme="minorHAnsi" w:hAnsiTheme="minorHAnsi" w:cstheme="minorHAnsi"/>
          <w:color w:val="000000" w:themeColor="text1"/>
          <w:sz w:val="22"/>
          <w:szCs w:val="22"/>
        </w:rPr>
        <w:t>50%</w:t>
      </w:r>
      <w:r w:rsidRPr="00635C93">
        <w:rPr>
          <w:rFonts w:asciiTheme="minorHAnsi" w:hAnsiTheme="minorHAnsi" w:cstheme="minorHAnsi"/>
          <w:color w:val="000000" w:themeColor="text1"/>
          <w:sz w:val="22"/>
          <w:szCs w:val="22"/>
        </w:rPr>
        <w:t> of pharmacy contractors are now using </w:t>
      </w:r>
      <w:hyperlink r:id="rId11" w:history="1">
        <w:r w:rsidRPr="00635C93">
          <w:rPr>
            <w:rStyle w:val="Hyperlink"/>
            <w:rFonts w:asciiTheme="minorHAnsi" w:hAnsiTheme="minorHAnsi" w:cstheme="minorHAnsi"/>
            <w:sz w:val="22"/>
            <w:szCs w:val="22"/>
          </w:rPr>
          <w:t>Manage Your Service (MYS) </w:t>
        </w:r>
      </w:hyperlink>
      <w:r w:rsidRPr="00635C93">
        <w:rPr>
          <w:rFonts w:asciiTheme="minorHAnsi" w:hAnsiTheme="minorHAnsi" w:cstheme="minorHAnsi"/>
          <w:color w:val="000000" w:themeColor="text1"/>
          <w:sz w:val="22"/>
          <w:szCs w:val="22"/>
        </w:rPr>
        <w:t>to submit their end-of-month FP34C figures digitally. In June 2021, the NHS Business Services Authority (NHSBSA) confirmed that </w:t>
      </w:r>
      <w:r w:rsidRPr="00635C93">
        <w:rPr>
          <w:rStyle w:val="Strong"/>
          <w:rFonts w:asciiTheme="minorHAnsi" w:hAnsiTheme="minorHAnsi" w:cstheme="minorHAnsi"/>
          <w:color w:val="000000" w:themeColor="text1"/>
          <w:sz w:val="22"/>
          <w:szCs w:val="22"/>
        </w:rPr>
        <w:t>over 6,000</w:t>
      </w:r>
      <w:r w:rsidRPr="00635C93">
        <w:rPr>
          <w:rFonts w:asciiTheme="minorHAnsi" w:hAnsiTheme="minorHAnsi" w:cstheme="minorHAnsi"/>
          <w:color w:val="000000" w:themeColor="text1"/>
          <w:sz w:val="22"/>
          <w:szCs w:val="22"/>
        </w:rPr>
        <w:t> contractors used the MYS portal for their end-of-month submissions.</w:t>
      </w:r>
    </w:p>
    <w:p w14:paraId="4FD83E68" w14:textId="77777777" w:rsidR="003D639D" w:rsidRPr="002C3266" w:rsidRDefault="003D639D" w:rsidP="003D639D">
      <w:pPr>
        <w:pStyle w:val="NormalWeb"/>
        <w:spacing w:before="240"/>
        <w:jc w:val="both"/>
        <w:rPr>
          <w:rFonts w:asciiTheme="minorHAnsi" w:hAnsiTheme="minorHAnsi" w:cstheme="minorHAnsi"/>
          <w:color w:val="444444"/>
          <w:sz w:val="22"/>
          <w:szCs w:val="22"/>
        </w:rPr>
      </w:pPr>
      <w:r w:rsidRPr="00F41BCE">
        <w:rPr>
          <w:rFonts w:asciiTheme="minorHAnsi" w:hAnsiTheme="minorHAnsi" w:cstheme="minorHAnsi"/>
          <w:sz w:val="22"/>
          <w:szCs w:val="22"/>
        </w:rPr>
        <w:t xml:space="preserve">In addition to the notice of the end of PEPS, the changes to the advance payment timetable and </w:t>
      </w:r>
      <w:r w:rsidRPr="00F41BCE">
        <w:rPr>
          <w:rFonts w:asciiTheme="minorHAnsi" w:hAnsiTheme="minorHAnsi" w:cstheme="minorHAnsi"/>
          <w:sz w:val="22"/>
          <w:szCs w:val="22"/>
        </w:rPr>
        <w:lastRenderedPageBreak/>
        <w:t>submission requirements, the published </w:t>
      </w:r>
      <w:hyperlink r:id="rId12" w:history="1">
        <w:r w:rsidRPr="002C3266">
          <w:rPr>
            <w:rStyle w:val="Hyperlink"/>
            <w:rFonts w:asciiTheme="minorHAnsi" w:hAnsiTheme="minorHAnsi" w:cstheme="minorHAnsi"/>
            <w:color w:val="0000FF"/>
            <w:sz w:val="22"/>
            <w:szCs w:val="22"/>
          </w:rPr>
          <w:t>Drug Tariff determination for September 2021</w:t>
        </w:r>
      </w:hyperlink>
      <w:r w:rsidRPr="002C3266">
        <w:rPr>
          <w:rFonts w:asciiTheme="minorHAnsi" w:hAnsiTheme="minorHAnsi" w:cstheme="minorHAnsi"/>
          <w:color w:val="444444"/>
          <w:sz w:val="22"/>
          <w:szCs w:val="22"/>
        </w:rPr>
        <w:t> </w:t>
      </w:r>
      <w:r w:rsidRPr="00F41BCE">
        <w:rPr>
          <w:rFonts w:asciiTheme="minorHAnsi" w:hAnsiTheme="minorHAnsi" w:cstheme="minorHAnsi"/>
          <w:sz w:val="22"/>
          <w:szCs w:val="22"/>
        </w:rPr>
        <w:t>also outlines: </w:t>
      </w:r>
    </w:p>
    <w:p w14:paraId="35DF067B" w14:textId="77777777" w:rsidR="003D639D" w:rsidRPr="00F41BCE" w:rsidRDefault="003D639D" w:rsidP="003D639D">
      <w:pPr>
        <w:numPr>
          <w:ilvl w:val="0"/>
          <w:numId w:val="23"/>
        </w:numPr>
        <w:spacing w:before="100" w:beforeAutospacing="1" w:after="100" w:afterAutospacing="1" w:line="240" w:lineRule="auto"/>
        <w:jc w:val="both"/>
        <w:rPr>
          <w:rFonts w:cstheme="minorHAnsi"/>
        </w:rPr>
      </w:pPr>
      <w:r w:rsidRPr="00F41BCE">
        <w:rPr>
          <w:rFonts w:cstheme="minorHAnsi"/>
        </w:rPr>
        <w:t>different payment arrangements for late submissions which will also incur administrative charges; </w:t>
      </w:r>
    </w:p>
    <w:p w14:paraId="48086956" w14:textId="77777777" w:rsidR="003D639D" w:rsidRPr="00F41BCE" w:rsidRDefault="003D639D" w:rsidP="003D639D">
      <w:pPr>
        <w:numPr>
          <w:ilvl w:val="0"/>
          <w:numId w:val="23"/>
        </w:numPr>
        <w:spacing w:before="100" w:beforeAutospacing="1" w:after="100" w:afterAutospacing="1" w:line="240" w:lineRule="auto"/>
        <w:jc w:val="both"/>
        <w:rPr>
          <w:rFonts w:cstheme="minorHAnsi"/>
        </w:rPr>
      </w:pPr>
      <w:r w:rsidRPr="00F41BCE">
        <w:rPr>
          <w:rFonts w:cstheme="minorHAnsi"/>
        </w:rPr>
        <w:t>an extension to the deadlines for submission of FP34C and dispatch of prescription bundle in months where a bank holiday occurs during the first five days of the month;</w:t>
      </w:r>
    </w:p>
    <w:p w14:paraId="05BDDB1E" w14:textId="77777777" w:rsidR="003D639D" w:rsidRPr="00F41BCE" w:rsidRDefault="003D639D" w:rsidP="003D639D">
      <w:pPr>
        <w:numPr>
          <w:ilvl w:val="0"/>
          <w:numId w:val="23"/>
        </w:numPr>
        <w:spacing w:before="100" w:beforeAutospacing="1" w:after="100" w:afterAutospacing="1" w:line="240" w:lineRule="auto"/>
        <w:jc w:val="both"/>
        <w:rPr>
          <w:rFonts w:cstheme="minorHAnsi"/>
        </w:rPr>
      </w:pPr>
      <w:r w:rsidRPr="00F41BCE">
        <w:rPr>
          <w:rFonts w:cstheme="minorHAnsi"/>
        </w:rPr>
        <w:t>contingency arrangements for contractors who are unable to submit FP34C through MYS; and</w:t>
      </w:r>
    </w:p>
    <w:p w14:paraId="5F8BBD54" w14:textId="77777777" w:rsidR="003D639D" w:rsidRPr="00F41BCE" w:rsidRDefault="003D639D" w:rsidP="003D639D">
      <w:pPr>
        <w:numPr>
          <w:ilvl w:val="0"/>
          <w:numId w:val="23"/>
        </w:numPr>
        <w:spacing w:before="100" w:beforeAutospacing="1" w:after="100" w:afterAutospacing="1" w:line="240" w:lineRule="auto"/>
        <w:jc w:val="both"/>
        <w:rPr>
          <w:rFonts w:cstheme="minorHAnsi"/>
        </w:rPr>
      </w:pPr>
      <w:r w:rsidRPr="00F41BCE">
        <w:rPr>
          <w:rFonts w:cstheme="minorHAnsi"/>
        </w:rPr>
        <w:t>requirements for prescriptions issued via Electronic Prescription Service (EPS) and token submission.  </w:t>
      </w:r>
    </w:p>
    <w:p w14:paraId="0EEB1889" w14:textId="77777777" w:rsidR="003D639D" w:rsidRPr="002C3266" w:rsidRDefault="003D639D" w:rsidP="003D639D">
      <w:pPr>
        <w:pStyle w:val="NormalWeb"/>
        <w:spacing w:before="240"/>
        <w:jc w:val="both"/>
        <w:rPr>
          <w:rFonts w:asciiTheme="minorHAnsi" w:hAnsiTheme="minorHAnsi" w:cstheme="minorBidi"/>
          <w:color w:val="444444"/>
          <w:sz w:val="22"/>
          <w:szCs w:val="22"/>
        </w:rPr>
      </w:pPr>
      <w:r w:rsidRPr="541BB74F">
        <w:rPr>
          <w:rFonts w:asciiTheme="minorHAnsi" w:hAnsiTheme="minorHAnsi" w:cstheme="minorBidi"/>
          <w:sz w:val="22"/>
          <w:szCs w:val="22"/>
        </w:rPr>
        <w:t>Please note that the changes above are not reflected in the published version of the</w:t>
      </w:r>
      <w:r w:rsidRPr="541BB74F">
        <w:rPr>
          <w:rFonts w:asciiTheme="minorHAnsi" w:hAnsiTheme="minorHAnsi" w:cstheme="minorBidi"/>
          <w:color w:val="444444"/>
          <w:sz w:val="22"/>
          <w:szCs w:val="22"/>
        </w:rPr>
        <w:t> </w:t>
      </w:r>
      <w:hyperlink r:id="rId13">
        <w:r w:rsidRPr="541BB74F">
          <w:rPr>
            <w:rStyle w:val="Hyperlink"/>
            <w:rFonts w:asciiTheme="minorHAnsi" w:hAnsiTheme="minorHAnsi" w:cstheme="minorBidi"/>
            <w:color w:val="0000FF"/>
            <w:sz w:val="22"/>
            <w:szCs w:val="22"/>
          </w:rPr>
          <w:t>September 2021 Drug Tariff</w:t>
        </w:r>
      </w:hyperlink>
      <w:r w:rsidRPr="541BB74F">
        <w:rPr>
          <w:rFonts w:asciiTheme="minorHAnsi" w:hAnsiTheme="minorHAnsi" w:cstheme="minorBidi"/>
          <w:color w:val="0000FF"/>
          <w:sz w:val="22"/>
          <w:szCs w:val="22"/>
        </w:rPr>
        <w:t>.</w:t>
      </w:r>
    </w:p>
    <w:p w14:paraId="6C18EB27" w14:textId="77777777" w:rsidR="003D639D" w:rsidRPr="002C3266" w:rsidRDefault="003D639D" w:rsidP="003D639D">
      <w:pPr>
        <w:pStyle w:val="NoSpacing"/>
        <w:spacing w:before="240"/>
        <w:rPr>
          <w:color w:val="444444"/>
        </w:rPr>
      </w:pPr>
      <w:r>
        <w:t xml:space="preserve">Click </w:t>
      </w:r>
      <w:hyperlink r:id="rId14">
        <w:r w:rsidRPr="541BB74F">
          <w:rPr>
            <w:rStyle w:val="Hyperlink"/>
          </w:rPr>
          <w:t>here</w:t>
        </w:r>
      </w:hyperlink>
      <w:r>
        <w:t xml:space="preserve"> to view the full story.</w:t>
      </w:r>
      <w:r w:rsidRPr="541BB74F">
        <w:t xml:space="preserve"> Further details for contractors are outlined in this </w:t>
      </w:r>
      <w:hyperlink r:id="rId15">
        <w:r w:rsidRPr="541BB74F">
          <w:rPr>
            <w:rStyle w:val="Hyperlink"/>
            <w:color w:val="0000FF"/>
          </w:rPr>
          <w:t>PSNC Briefing</w:t>
        </w:r>
      </w:hyperlink>
    </w:p>
    <w:p w14:paraId="13021787" w14:textId="77777777" w:rsidR="003D639D" w:rsidRPr="00F41BCE" w:rsidRDefault="003D639D" w:rsidP="003D639D">
      <w:pPr>
        <w:pStyle w:val="NormalWeb"/>
        <w:spacing w:before="240"/>
        <w:jc w:val="both"/>
        <w:rPr>
          <w:rFonts w:asciiTheme="minorHAnsi" w:hAnsiTheme="minorHAnsi" w:cstheme="minorHAnsi"/>
          <w:sz w:val="22"/>
          <w:szCs w:val="22"/>
        </w:rPr>
      </w:pPr>
      <w:r w:rsidRPr="00F41BCE">
        <w:rPr>
          <w:rFonts w:asciiTheme="minorHAnsi" w:hAnsiTheme="minorHAnsi" w:cstheme="minorHAnsi"/>
          <w:sz w:val="22"/>
          <w:szCs w:val="22"/>
        </w:rPr>
        <w:t>PSNC also plan to hold a webinar for contractors to explain the changes and offer further practical support. Details on the webinar to</w:t>
      </w:r>
      <w:r w:rsidRPr="00F41BCE">
        <w:rPr>
          <w:rFonts w:asciiTheme="minorHAnsi" w:hAnsiTheme="minorHAnsi" w:cstheme="minorHAnsi"/>
          <w:sz w:val="22"/>
          <w:szCs w:val="22"/>
          <w:shd w:val="clear" w:color="auto" w:fill="FFFFFF"/>
        </w:rPr>
        <w:t> follow. </w:t>
      </w:r>
    </w:p>
    <w:p w14:paraId="524D604C" w14:textId="77777777" w:rsidR="003D639D" w:rsidRDefault="003D639D" w:rsidP="003D639D">
      <w:pPr>
        <w:pStyle w:val="NoSpacing"/>
      </w:pPr>
    </w:p>
    <w:p w14:paraId="7D741DAB" w14:textId="77777777" w:rsidR="003D639D" w:rsidRDefault="003D639D" w:rsidP="003D639D">
      <w:pPr>
        <w:pStyle w:val="NoSpacing"/>
      </w:pPr>
    </w:p>
    <w:p w14:paraId="6AA3360F" w14:textId="77777777" w:rsidR="003D639D" w:rsidRDefault="003D639D" w:rsidP="003D639D">
      <w:pPr>
        <w:pStyle w:val="NoSpacing"/>
      </w:pPr>
    </w:p>
    <w:p w14:paraId="125DD0EB" w14:textId="77777777" w:rsidR="003D639D" w:rsidRPr="00CE65C9" w:rsidRDefault="003D639D" w:rsidP="003D639D">
      <w:pPr>
        <w:pStyle w:val="NoSpacing"/>
        <w:rPr>
          <w:rFonts w:ascii="Calibri Light" w:eastAsia="Calibri Light" w:hAnsi="Calibri Light" w:cs="Calibri Light"/>
          <w:color w:val="1F487C"/>
          <w:sz w:val="32"/>
          <w:szCs w:val="32"/>
          <w:lang w:bidi="en-US"/>
        </w:rPr>
      </w:pPr>
      <w:bookmarkStart w:id="1" w:name="signatures"/>
      <w:r w:rsidRPr="00545B43">
        <w:rPr>
          <w:rFonts w:ascii="Calibri Light" w:eastAsia="Calibri Light" w:hAnsi="Calibri Light" w:cs="Calibri Light"/>
          <w:color w:val="1F487C"/>
          <w:sz w:val="32"/>
          <w:szCs w:val="32"/>
          <w:lang w:bidi="en-US"/>
        </w:rPr>
        <w:t>End to temporary suspension of signatures on prescription forms and token submission requirements</w:t>
      </w:r>
    </w:p>
    <w:bookmarkEnd w:id="1"/>
    <w:p w14:paraId="34247754" w14:textId="77777777" w:rsidR="003D639D" w:rsidRPr="00086B0B" w:rsidRDefault="003D639D" w:rsidP="003D639D">
      <w:pPr>
        <w:pStyle w:val="NormalWeb"/>
        <w:spacing w:before="240"/>
        <w:jc w:val="both"/>
        <w:rPr>
          <w:rFonts w:asciiTheme="minorHAnsi" w:eastAsia="Times New Roman" w:hAnsiTheme="minorHAnsi" w:cstheme="minorHAnsi"/>
          <w:color w:val="000000" w:themeColor="text1"/>
          <w:sz w:val="22"/>
          <w:szCs w:val="22"/>
          <w:lang w:bidi="ar-SA"/>
        </w:rPr>
      </w:pPr>
      <w:r w:rsidRPr="00086B0B">
        <w:rPr>
          <w:rFonts w:asciiTheme="minorHAnsi" w:hAnsiTheme="minorHAnsi" w:cstheme="minorHAnsi"/>
          <w:color w:val="000000" w:themeColor="text1"/>
          <w:sz w:val="22"/>
          <w:szCs w:val="22"/>
        </w:rPr>
        <w:t>On 31 August 2021, the temporary suspension of the need for signatures on prescription forms and/or EPS tokens comes to an end, ten months after it was first introduced. This will also mean an end to the temporary suspension of the requirement to submit certain EPS tokens to the NHS Business Services Authority (NHSBSA). As Ministers remain keen for public policy priorities to return to normal, the easing of wider COVID-19 restrictions coupled with the slowing in the number of infections did not support a case for any further extensions to this suspension period.</w:t>
      </w:r>
    </w:p>
    <w:p w14:paraId="76028E94" w14:textId="77777777" w:rsidR="003D639D" w:rsidRPr="00086B0B" w:rsidRDefault="003D639D" w:rsidP="003D639D">
      <w:pPr>
        <w:pStyle w:val="NormalWeb"/>
        <w:spacing w:before="240"/>
        <w:jc w:val="both"/>
        <w:rPr>
          <w:rFonts w:asciiTheme="minorHAnsi" w:hAnsiTheme="minorHAnsi" w:cstheme="minorHAnsi"/>
          <w:color w:val="000000" w:themeColor="text1"/>
          <w:sz w:val="22"/>
          <w:szCs w:val="22"/>
        </w:rPr>
      </w:pPr>
      <w:r w:rsidRPr="00086B0B">
        <w:rPr>
          <w:rStyle w:val="Strong"/>
          <w:rFonts w:asciiTheme="minorHAnsi" w:hAnsiTheme="minorHAnsi" w:cstheme="minorHAnsi"/>
          <w:color w:val="000000" w:themeColor="text1"/>
          <w:sz w:val="22"/>
          <w:szCs w:val="22"/>
        </w:rPr>
        <w:t>From September 2021, </w:t>
      </w:r>
      <w:r w:rsidRPr="00086B0B">
        <w:rPr>
          <w:rFonts w:asciiTheme="minorHAnsi" w:hAnsiTheme="minorHAnsi" w:cstheme="minorHAnsi"/>
          <w:b/>
          <w:bCs/>
          <w:color w:val="000000" w:themeColor="text1"/>
          <w:sz w:val="22"/>
          <w:szCs w:val="22"/>
        </w:rPr>
        <w:t>patients (or their representatives) will be required to sign the reverse of NHS prescription forms or tokens for all prescriptions presented at the pharmacy on or after 1 September 2021. </w:t>
      </w:r>
      <w:r w:rsidRPr="00086B0B">
        <w:rPr>
          <w:rFonts w:asciiTheme="minorHAnsi" w:hAnsiTheme="minorHAnsi" w:cstheme="minorHAnsi"/>
          <w:color w:val="000000" w:themeColor="text1"/>
          <w:sz w:val="22"/>
          <w:szCs w:val="22"/>
        </w:rPr>
        <w:t>In preparation for the end of the temporary suspension period, contractors are advised to make plans to return to capturing of signatures on NHS prescriptions/tokens and review current submission processes to include relevant tokens with monthly bundles from September.</w:t>
      </w:r>
    </w:p>
    <w:p w14:paraId="5B24C564" w14:textId="77777777" w:rsidR="003D639D" w:rsidRPr="00086B0B" w:rsidRDefault="003D639D" w:rsidP="003D639D">
      <w:pPr>
        <w:pStyle w:val="NormalWeb"/>
        <w:spacing w:before="240"/>
        <w:jc w:val="both"/>
        <w:rPr>
          <w:rFonts w:asciiTheme="minorHAnsi" w:hAnsiTheme="minorHAnsi" w:cstheme="minorHAnsi"/>
          <w:color w:val="000000" w:themeColor="text1"/>
          <w:sz w:val="22"/>
          <w:szCs w:val="22"/>
        </w:rPr>
      </w:pPr>
      <w:r w:rsidRPr="00086B0B">
        <w:rPr>
          <w:rStyle w:val="Strong"/>
          <w:rFonts w:asciiTheme="minorHAnsi" w:hAnsiTheme="minorHAnsi" w:cstheme="minorHAnsi"/>
          <w:color w:val="000000" w:themeColor="text1"/>
          <w:sz w:val="22"/>
          <w:szCs w:val="22"/>
        </w:rPr>
        <w:t>Contractors should check their current stock levels of tokens and only order additional tokens if required. </w:t>
      </w:r>
      <w:r w:rsidRPr="00086B0B">
        <w:rPr>
          <w:rFonts w:asciiTheme="minorHAnsi" w:hAnsiTheme="minorHAnsi" w:cstheme="minorHAnsi"/>
          <w:color w:val="000000" w:themeColor="text1"/>
          <w:sz w:val="22"/>
          <w:szCs w:val="22"/>
        </w:rPr>
        <w:t>Tokens can be ordered from Primary Care Support England (PCSE) by following the token ordering process outlined </w:t>
      </w:r>
      <w:hyperlink r:id="rId16" w:tgtFrame="_blank" w:tooltip="https://psnc.org.uk/wp-content/uploads/2021/02/EPS-token-ordering-and-escalation-factsheet-.pdf" w:history="1">
        <w:r w:rsidRPr="00086B0B">
          <w:rPr>
            <w:rStyle w:val="Hyperlink"/>
            <w:rFonts w:asciiTheme="minorHAnsi" w:hAnsiTheme="minorHAnsi" w:cstheme="minorHAnsi"/>
            <w:color w:val="000000" w:themeColor="text1"/>
            <w:sz w:val="22"/>
            <w:szCs w:val="22"/>
          </w:rPr>
          <w:t>here</w:t>
        </w:r>
      </w:hyperlink>
      <w:r w:rsidRPr="00086B0B">
        <w:rPr>
          <w:rFonts w:asciiTheme="minorHAnsi" w:hAnsiTheme="minorHAnsi" w:cstheme="minorHAnsi"/>
          <w:color w:val="000000" w:themeColor="text1"/>
          <w:sz w:val="22"/>
          <w:szCs w:val="22"/>
        </w:rPr>
        <w:t>.</w:t>
      </w:r>
    </w:p>
    <w:p w14:paraId="2CB57076" w14:textId="77777777" w:rsidR="003D639D" w:rsidRPr="00086B0B" w:rsidRDefault="003D639D" w:rsidP="003D639D">
      <w:pPr>
        <w:pStyle w:val="NormalWeb"/>
        <w:spacing w:before="240"/>
        <w:jc w:val="both"/>
        <w:rPr>
          <w:rFonts w:asciiTheme="minorHAnsi" w:hAnsiTheme="minorHAnsi" w:cstheme="minorHAnsi"/>
          <w:color w:val="000000" w:themeColor="text1"/>
          <w:sz w:val="22"/>
          <w:szCs w:val="22"/>
        </w:rPr>
      </w:pPr>
      <w:r w:rsidRPr="00086B0B">
        <w:rPr>
          <w:rFonts w:asciiTheme="minorHAnsi" w:hAnsiTheme="minorHAnsi" w:cstheme="minorHAnsi"/>
          <w:color w:val="000000" w:themeColor="text1"/>
          <w:sz w:val="22"/>
          <w:szCs w:val="22"/>
        </w:rPr>
        <w:t>For more information on the return to capturing patient signatures on prescription forms and token submission requirements, see our full story </w:t>
      </w:r>
      <w:hyperlink r:id="rId17" w:history="1">
        <w:r w:rsidRPr="00086B0B">
          <w:rPr>
            <w:rStyle w:val="Hyperlink"/>
            <w:rFonts w:asciiTheme="minorHAnsi" w:hAnsiTheme="minorHAnsi" w:cstheme="minorHAnsi"/>
            <w:color w:val="000000" w:themeColor="text1"/>
            <w:sz w:val="22"/>
            <w:szCs w:val="22"/>
          </w:rPr>
          <w:t>here</w:t>
        </w:r>
      </w:hyperlink>
      <w:r w:rsidRPr="00086B0B">
        <w:rPr>
          <w:rFonts w:asciiTheme="minorHAnsi" w:hAnsiTheme="minorHAnsi" w:cstheme="minorHAnsi"/>
          <w:color w:val="000000" w:themeColor="text1"/>
          <w:sz w:val="22"/>
          <w:szCs w:val="22"/>
        </w:rPr>
        <w:t>.</w:t>
      </w:r>
    </w:p>
    <w:p w14:paraId="47A81E42" w14:textId="77777777" w:rsidR="003D639D" w:rsidRDefault="003D639D" w:rsidP="003D639D">
      <w:pPr>
        <w:pStyle w:val="NoSpacing"/>
      </w:pPr>
    </w:p>
    <w:p w14:paraId="179D9715" w14:textId="77777777" w:rsidR="003D639D" w:rsidRPr="00B94AB0" w:rsidRDefault="003D639D" w:rsidP="003D639D">
      <w:pPr>
        <w:pStyle w:val="NoSpacing"/>
      </w:pPr>
    </w:p>
    <w:p w14:paraId="13B9B096" w14:textId="77777777" w:rsidR="003D639D" w:rsidRPr="00924D1D" w:rsidRDefault="003D639D" w:rsidP="003D639D">
      <w:pPr>
        <w:pStyle w:val="NoSpacing"/>
        <w:rPr>
          <w:rFonts w:ascii="Calibri Light" w:eastAsia="Calibri Light" w:hAnsi="Calibri Light" w:cs="Calibri Light"/>
          <w:color w:val="1F487C"/>
          <w:sz w:val="32"/>
          <w:szCs w:val="32"/>
        </w:rPr>
      </w:pPr>
      <w:bookmarkStart w:id="2" w:name="PARTVIIIC"/>
      <w:r w:rsidRPr="00924D1D">
        <w:rPr>
          <w:rFonts w:ascii="Calibri Light" w:eastAsia="Calibri Light" w:hAnsi="Calibri Light" w:cs="Calibri Light"/>
          <w:color w:val="1F487C"/>
          <w:sz w:val="32"/>
          <w:szCs w:val="32"/>
        </w:rPr>
        <w:t>Inclisiran (Leqvio®) added to a new section in the Drug Tariff (Part VIIIC)</w:t>
      </w:r>
    </w:p>
    <w:bookmarkEnd w:id="2"/>
    <w:p w14:paraId="55B8278F" w14:textId="77777777" w:rsidR="003D639D" w:rsidRPr="00654610" w:rsidRDefault="003D639D" w:rsidP="003D639D">
      <w:pPr>
        <w:pStyle w:val="NormalWeb"/>
        <w:spacing w:before="240"/>
        <w:jc w:val="both"/>
        <w:rPr>
          <w:rFonts w:asciiTheme="minorHAnsi" w:eastAsia="Times New Roman" w:hAnsiTheme="minorHAnsi" w:cstheme="minorHAnsi"/>
          <w:color w:val="000000" w:themeColor="text1"/>
          <w:sz w:val="22"/>
          <w:szCs w:val="22"/>
          <w:lang w:bidi="ar-SA"/>
        </w:rPr>
      </w:pPr>
      <w:r w:rsidRPr="00654610">
        <w:rPr>
          <w:rStyle w:val="Strong"/>
          <w:rFonts w:asciiTheme="minorHAnsi" w:hAnsiTheme="minorHAnsi" w:cstheme="minorHAnsi"/>
          <w:color w:val="000000" w:themeColor="text1"/>
          <w:sz w:val="22"/>
          <w:szCs w:val="22"/>
        </w:rPr>
        <w:t>From September 2021, the </w:t>
      </w:r>
      <w:hyperlink r:id="rId18" w:history="1">
        <w:r w:rsidRPr="00654610">
          <w:rPr>
            <w:rStyle w:val="Hyperlink"/>
            <w:rFonts w:asciiTheme="minorHAnsi" w:hAnsiTheme="minorHAnsi" w:cstheme="minorHAnsi"/>
            <w:color w:val="000000" w:themeColor="text1"/>
            <w:sz w:val="22"/>
            <w:szCs w:val="22"/>
          </w:rPr>
          <w:t>Drug Tariff</w:t>
        </w:r>
      </w:hyperlink>
      <w:r w:rsidRPr="00654610">
        <w:rPr>
          <w:rStyle w:val="Strong"/>
          <w:rFonts w:asciiTheme="minorHAnsi" w:hAnsiTheme="minorHAnsi" w:cstheme="minorHAnsi"/>
          <w:color w:val="000000" w:themeColor="text1"/>
          <w:sz w:val="22"/>
          <w:szCs w:val="22"/>
        </w:rPr>
        <w:t> includes a new section, Part VIIIC, which sets out arrangements of payment for products with a nominal price (i.e where the purchase price of the product is significantly lower than its NHS list price).</w:t>
      </w:r>
    </w:p>
    <w:p w14:paraId="14D27437" w14:textId="77777777" w:rsidR="003D639D" w:rsidRPr="00654610" w:rsidRDefault="003D639D" w:rsidP="003D639D">
      <w:pPr>
        <w:pStyle w:val="NormalWeb"/>
        <w:spacing w:before="240"/>
        <w:jc w:val="both"/>
        <w:rPr>
          <w:rFonts w:asciiTheme="minorHAnsi" w:hAnsiTheme="minorHAnsi" w:cstheme="minorHAnsi"/>
          <w:color w:val="000000" w:themeColor="text1"/>
          <w:sz w:val="22"/>
          <w:szCs w:val="22"/>
        </w:rPr>
      </w:pPr>
      <w:r w:rsidRPr="00654610">
        <w:rPr>
          <w:rFonts w:asciiTheme="minorHAnsi" w:hAnsiTheme="minorHAnsi" w:cstheme="minorHAnsi"/>
          <w:color w:val="000000" w:themeColor="text1"/>
          <w:sz w:val="22"/>
          <w:szCs w:val="22"/>
        </w:rPr>
        <w:lastRenderedPageBreak/>
        <w:t>Products listed in Part VIIIC are available at nominal prices because of commercial deals in place between the manufacturer or supplier and the NHS England and NHS Improvement (NHSE&amp;I) which allows manufacturers to supply a drug to the NHS at a reduced cost compared to its published NHS list prices as authored in the </w:t>
      </w:r>
      <w:hyperlink r:id="rId19" w:history="1">
        <w:r w:rsidRPr="00654610">
          <w:rPr>
            <w:rStyle w:val="Hyperlink"/>
            <w:rFonts w:asciiTheme="minorHAnsi" w:hAnsiTheme="minorHAnsi" w:cstheme="minorHAnsi"/>
            <w:color w:val="000000" w:themeColor="text1"/>
            <w:sz w:val="22"/>
            <w:szCs w:val="22"/>
          </w:rPr>
          <w:t>NHS Dictionary of Medicines and Devices (dm+d)</w:t>
        </w:r>
      </w:hyperlink>
      <w:r w:rsidRPr="00654610">
        <w:rPr>
          <w:rFonts w:asciiTheme="minorHAnsi" w:hAnsiTheme="minorHAnsi" w:cstheme="minorHAnsi"/>
          <w:color w:val="000000" w:themeColor="text1"/>
          <w:sz w:val="22"/>
          <w:szCs w:val="22"/>
        </w:rPr>
        <w:t>. Part VIIIC outlines the reimbursement price of one product, Inclisiran, under such a commercial arrangement.</w:t>
      </w:r>
    </w:p>
    <w:p w14:paraId="68C11E98" w14:textId="77777777" w:rsidR="003D639D" w:rsidRPr="00654610" w:rsidRDefault="003D639D" w:rsidP="003D639D">
      <w:pPr>
        <w:pStyle w:val="NormalWeb"/>
        <w:spacing w:before="240"/>
        <w:jc w:val="both"/>
        <w:rPr>
          <w:rFonts w:asciiTheme="minorHAnsi" w:hAnsiTheme="minorHAnsi" w:cstheme="minorHAnsi"/>
          <w:color w:val="000000" w:themeColor="text1"/>
          <w:sz w:val="22"/>
          <w:szCs w:val="22"/>
        </w:rPr>
      </w:pPr>
      <w:r w:rsidRPr="00654610">
        <w:rPr>
          <w:rFonts w:asciiTheme="minorHAnsi" w:hAnsiTheme="minorHAnsi" w:cstheme="minorHAnsi"/>
          <w:color w:val="000000" w:themeColor="text1"/>
          <w:sz w:val="22"/>
          <w:szCs w:val="22"/>
        </w:rPr>
        <w:t>For more information on Part VIIIC and Inclisiran see our full story </w:t>
      </w:r>
      <w:hyperlink r:id="rId20" w:history="1">
        <w:r w:rsidRPr="00654610">
          <w:rPr>
            <w:rStyle w:val="Hyperlink"/>
            <w:rFonts w:asciiTheme="minorHAnsi" w:hAnsiTheme="minorHAnsi" w:cstheme="minorHAnsi"/>
            <w:color w:val="000000" w:themeColor="text1"/>
            <w:sz w:val="22"/>
            <w:szCs w:val="22"/>
          </w:rPr>
          <w:t>here</w:t>
        </w:r>
      </w:hyperlink>
      <w:r w:rsidRPr="00654610">
        <w:rPr>
          <w:rFonts w:asciiTheme="minorHAnsi" w:hAnsiTheme="minorHAnsi" w:cstheme="minorHAnsi"/>
          <w:color w:val="000000" w:themeColor="text1"/>
          <w:sz w:val="22"/>
          <w:szCs w:val="22"/>
        </w:rPr>
        <w:t>.</w:t>
      </w:r>
    </w:p>
    <w:p w14:paraId="53BFAB66" w14:textId="77777777" w:rsidR="003D639D" w:rsidRPr="00375E8B" w:rsidRDefault="003D639D" w:rsidP="003D639D">
      <w:pPr>
        <w:pStyle w:val="NoSpacing"/>
      </w:pPr>
    </w:p>
    <w:p w14:paraId="7B1F3D65" w14:textId="77777777" w:rsidR="003D639D" w:rsidRPr="00B94AB0" w:rsidRDefault="003D639D" w:rsidP="003D639D">
      <w:pPr>
        <w:pStyle w:val="NoSpacing"/>
      </w:pPr>
    </w:p>
    <w:p w14:paraId="7883479F" w14:textId="77777777" w:rsidR="003D639D" w:rsidRDefault="003D639D" w:rsidP="003D639D">
      <w:pPr>
        <w:pStyle w:val="NoSpacing"/>
        <w:rPr>
          <w:rFonts w:ascii="Calibri Light" w:eastAsia="Calibri Light" w:hAnsi="Calibri Light" w:cs="Calibri Light"/>
          <w:color w:val="1F487C"/>
          <w:sz w:val="32"/>
          <w:szCs w:val="32"/>
        </w:rPr>
      </w:pPr>
      <w:bookmarkStart w:id="3" w:name="SAF"/>
      <w:r w:rsidRPr="00944648">
        <w:rPr>
          <w:rFonts w:ascii="Calibri Light" w:eastAsia="Calibri Light" w:hAnsi="Calibri Light" w:cs="Calibri Light"/>
          <w:color w:val="1F487C"/>
          <w:sz w:val="32"/>
          <w:szCs w:val="32"/>
        </w:rPr>
        <w:t>Single Activity Fee to increase to £1.29 from 1st August</w:t>
      </w:r>
    </w:p>
    <w:bookmarkEnd w:id="3"/>
    <w:p w14:paraId="5F5F8962" w14:textId="77777777" w:rsidR="003D639D" w:rsidRPr="00654610" w:rsidRDefault="003D639D" w:rsidP="003D639D">
      <w:pPr>
        <w:pStyle w:val="NormalWeb"/>
        <w:spacing w:before="240"/>
        <w:jc w:val="both"/>
        <w:rPr>
          <w:rFonts w:asciiTheme="minorHAnsi" w:hAnsiTheme="minorHAnsi" w:cstheme="minorBidi"/>
          <w:color w:val="000000" w:themeColor="text1"/>
          <w:sz w:val="22"/>
          <w:szCs w:val="22"/>
        </w:rPr>
      </w:pPr>
      <w:r w:rsidRPr="541BB74F">
        <w:rPr>
          <w:rFonts w:asciiTheme="minorHAnsi" w:hAnsiTheme="minorHAnsi" w:cstheme="minorBidi"/>
          <w:color w:val="000000" w:themeColor="text1"/>
          <w:sz w:val="22"/>
          <w:szCs w:val="22"/>
        </w:rPr>
        <w:t>In order to ensure delivery of £1.792bn in fees and allowances in the financial year 2021/22, the value of the Single Activity Fee will increase to £1.29 from 1st August 2021. You can view the August 2021 Drug Tariff now on the </w:t>
      </w:r>
      <w:hyperlink r:id="rId21">
        <w:r w:rsidRPr="541BB74F">
          <w:rPr>
            <w:rStyle w:val="Hyperlink"/>
            <w:rFonts w:asciiTheme="minorHAnsi" w:hAnsiTheme="minorHAnsi" w:cstheme="minorBidi"/>
            <w:color w:val="000000" w:themeColor="text1"/>
            <w:sz w:val="22"/>
            <w:szCs w:val="22"/>
          </w:rPr>
          <w:t>NHSBSA website</w:t>
        </w:r>
      </w:hyperlink>
      <w:r w:rsidRPr="541BB74F">
        <w:rPr>
          <w:rFonts w:asciiTheme="minorHAnsi" w:hAnsiTheme="minorHAnsi" w:cstheme="minorBidi"/>
          <w:color w:val="000000" w:themeColor="text1"/>
          <w:sz w:val="22"/>
          <w:szCs w:val="22"/>
        </w:rPr>
        <w:t>.</w:t>
      </w:r>
    </w:p>
    <w:p w14:paraId="6F2660B8" w14:textId="77777777" w:rsidR="003D639D" w:rsidRPr="00654610" w:rsidRDefault="003D639D" w:rsidP="003D639D">
      <w:pPr>
        <w:pStyle w:val="NormalWeb"/>
        <w:spacing w:before="240"/>
        <w:jc w:val="both"/>
        <w:rPr>
          <w:rFonts w:asciiTheme="minorHAnsi" w:hAnsiTheme="minorHAnsi" w:cstheme="minorHAnsi"/>
          <w:color w:val="000000" w:themeColor="text1"/>
          <w:sz w:val="22"/>
          <w:szCs w:val="22"/>
        </w:rPr>
      </w:pPr>
      <w:r w:rsidRPr="00654610">
        <w:rPr>
          <w:rFonts w:asciiTheme="minorHAnsi" w:hAnsiTheme="minorHAnsi" w:cstheme="minorHAnsi"/>
          <w:color w:val="000000" w:themeColor="text1"/>
          <w:sz w:val="22"/>
          <w:szCs w:val="22"/>
        </w:rPr>
        <w:t>PSNC has agreed the increase based on our analysis of funding delivery and the latest projections for the year. Fee levels are kept under constant review in order to ensure the full delivery of funding agreed under the Community Pharmacy Contractual Framework.</w:t>
      </w:r>
    </w:p>
    <w:p w14:paraId="2E59772B" w14:textId="77777777" w:rsidR="003D639D" w:rsidRPr="0028580E" w:rsidRDefault="003D639D" w:rsidP="003D639D">
      <w:pPr>
        <w:pStyle w:val="NoSpacing"/>
        <w:rPr>
          <w:rFonts w:ascii="Calibri Light" w:eastAsia="Calibri Light" w:hAnsi="Calibri Light" w:cs="Calibri Light"/>
          <w:color w:val="1F487C"/>
        </w:rPr>
      </w:pPr>
      <w:r>
        <w:rPr>
          <w:rFonts w:ascii="Calibri Light" w:eastAsia="Calibri Light" w:hAnsi="Calibri Light" w:cs="Calibri Light"/>
          <w:color w:val="1F487C"/>
        </w:rPr>
        <w:br/>
      </w:r>
    </w:p>
    <w:p w14:paraId="393D7E12" w14:textId="77777777" w:rsidR="003D639D" w:rsidRPr="00AD2ECF" w:rsidRDefault="003D639D" w:rsidP="003D639D">
      <w:pPr>
        <w:pStyle w:val="NoSpacing"/>
        <w:rPr>
          <w:rFonts w:ascii="Calibri Light" w:eastAsia="Calibri Light" w:hAnsi="Calibri Light" w:cs="Calibri Light"/>
          <w:color w:val="1F487C"/>
          <w:sz w:val="32"/>
          <w:szCs w:val="32"/>
        </w:rPr>
      </w:pPr>
      <w:bookmarkStart w:id="4" w:name="july_cat_m"/>
      <w:r w:rsidRPr="541BB74F">
        <w:rPr>
          <w:rFonts w:ascii="Calibri Light" w:eastAsia="Calibri Light" w:hAnsi="Calibri Light" w:cs="Calibri Light"/>
          <w:color w:val="1F487C"/>
          <w:sz w:val="32"/>
          <w:szCs w:val="32"/>
        </w:rPr>
        <w:t>July 2021 Category M prices announced</w:t>
      </w:r>
      <w:bookmarkEnd w:id="4"/>
    </w:p>
    <w:p w14:paraId="071A3D07" w14:textId="77777777" w:rsidR="003D639D" w:rsidRPr="00654610" w:rsidRDefault="003D639D" w:rsidP="003D639D">
      <w:pPr>
        <w:spacing w:before="240"/>
        <w:jc w:val="both"/>
        <w:rPr>
          <w:rFonts w:eastAsia="Times New Roman" w:cstheme="minorHAnsi"/>
          <w:color w:val="000000" w:themeColor="text1"/>
          <w:lang w:eastAsia="en-GB"/>
        </w:rPr>
      </w:pPr>
      <w:r w:rsidRPr="00654610">
        <w:rPr>
          <w:rFonts w:eastAsia="Times New Roman" w:cstheme="minorHAnsi"/>
          <w:color w:val="000000" w:themeColor="text1"/>
          <w:lang w:eastAsia="en-GB"/>
        </w:rPr>
        <w:t>The Drug Tariff Category M pricelist for July 2021 has been published on the </w:t>
      </w:r>
      <w:hyperlink r:id="rId22" w:history="1">
        <w:r w:rsidRPr="00654610">
          <w:rPr>
            <w:rStyle w:val="Hyperlink"/>
            <w:rFonts w:eastAsia="Times New Roman" w:cstheme="minorHAnsi"/>
            <w:color w:val="000000" w:themeColor="text1"/>
            <w:lang w:eastAsia="en-GB"/>
          </w:rPr>
          <w:t>NHS Business Services Authority (NHSBSA) website</w:t>
        </w:r>
      </w:hyperlink>
      <w:r w:rsidRPr="00654610">
        <w:rPr>
          <w:rFonts w:eastAsia="Times New Roman" w:cstheme="minorHAnsi"/>
          <w:color w:val="000000" w:themeColor="text1"/>
          <w:lang w:eastAsia="en-GB"/>
        </w:rPr>
        <w:t>.</w:t>
      </w:r>
    </w:p>
    <w:p w14:paraId="14A3E9C5" w14:textId="77777777" w:rsidR="003D639D" w:rsidRPr="00654610" w:rsidRDefault="003D639D" w:rsidP="003D639D">
      <w:pPr>
        <w:spacing w:before="240"/>
        <w:jc w:val="both"/>
        <w:rPr>
          <w:rFonts w:eastAsia="Times New Roman"/>
          <w:color w:val="000000" w:themeColor="text1"/>
          <w:lang w:eastAsia="en-GB"/>
        </w:rPr>
      </w:pPr>
      <w:r w:rsidRPr="541BB74F">
        <w:rPr>
          <w:rFonts w:eastAsia="Times New Roman"/>
          <w:color w:val="000000" w:themeColor="text1"/>
          <w:lang w:eastAsia="en-GB"/>
        </w:rPr>
        <w:t>The July Category M prices reflect a reduction in margin levels of approximately £34m per quarter. The £15m per quarter uplift that has been in place for the last 3 quarters to mitigate against the impact of Brexit will also be removed from the July Drug Tariff. As such the total quarterly impact on margin will be a £49m reduction, or approximately – 19 pence per item on average. The underlying effect of market price movements in the reference period January – March 2021 will also be reflected in the July Drug Tariff.</w:t>
      </w:r>
    </w:p>
    <w:p w14:paraId="6F4BF531" w14:textId="77777777" w:rsidR="003D639D" w:rsidRPr="00654610" w:rsidRDefault="003D639D" w:rsidP="003D639D">
      <w:pPr>
        <w:spacing w:before="240"/>
        <w:jc w:val="both"/>
        <w:rPr>
          <w:rFonts w:eastAsia="Times New Roman"/>
          <w:color w:val="000000" w:themeColor="text1"/>
          <w:lang w:eastAsia="en-GB"/>
        </w:rPr>
      </w:pPr>
      <w:r w:rsidRPr="541BB74F">
        <w:rPr>
          <w:rFonts w:eastAsia="Times New Roman"/>
          <w:color w:val="000000" w:themeColor="text1"/>
          <w:lang w:eastAsia="en-GB"/>
        </w:rPr>
        <w:t>PSNC has agreed the adjustments based on our analysis of margin delivery and on current projections for 2020/21. Our objectives are to ensure full delivery of agreed margin and smooth delivery as much as possible. As always, the impact on individual pharmacies will vary depending on dispensing mix.</w:t>
      </w:r>
    </w:p>
    <w:p w14:paraId="500A55B5" w14:textId="77777777" w:rsidR="003D639D" w:rsidRDefault="003D639D" w:rsidP="003D639D">
      <w:pPr>
        <w:pStyle w:val="NoSpacing"/>
        <w:rPr>
          <w:rFonts w:ascii="Calibri Light" w:eastAsia="Calibri Light" w:hAnsi="Calibri Light" w:cs="Calibri Light"/>
          <w:color w:val="1F487C"/>
        </w:rPr>
      </w:pPr>
    </w:p>
    <w:p w14:paraId="3786D2CD" w14:textId="77777777" w:rsidR="003D639D" w:rsidRDefault="003D639D" w:rsidP="003D639D">
      <w:pPr>
        <w:pStyle w:val="NoSpacing"/>
      </w:pPr>
      <w:r>
        <w:rPr>
          <w:rFonts w:ascii="Calibri Light" w:eastAsia="Calibri Light" w:hAnsi="Calibri Light" w:cs="Calibri Light"/>
          <w:color w:val="1F487C"/>
        </w:rPr>
        <w:br/>
      </w:r>
      <w:bookmarkStart w:id="5" w:name="SSP_endorsement"/>
      <w:r w:rsidRPr="006A0496">
        <w:rPr>
          <w:rFonts w:ascii="Calibri Light" w:eastAsia="Calibri Light" w:hAnsi="Calibri Light" w:cs="Calibri Light"/>
          <w:color w:val="1F487C"/>
          <w:sz w:val="32"/>
          <w:szCs w:val="32"/>
        </w:rPr>
        <w:t>SSP endorsement errors</w:t>
      </w:r>
    </w:p>
    <w:bookmarkEnd w:id="5"/>
    <w:p w14:paraId="4A51D857" w14:textId="77777777" w:rsidR="003D639D" w:rsidRDefault="003D639D" w:rsidP="003D639D">
      <w:pPr>
        <w:pStyle w:val="NoSpacing"/>
      </w:pPr>
    </w:p>
    <w:p w14:paraId="40E56197" w14:textId="77777777" w:rsidR="003D639D" w:rsidRPr="00654610" w:rsidRDefault="003D639D" w:rsidP="003D639D">
      <w:pPr>
        <w:jc w:val="both"/>
        <w:rPr>
          <w:b/>
          <w:bCs/>
          <w:color w:val="000000" w:themeColor="text1"/>
          <w:sz w:val="24"/>
          <w:szCs w:val="24"/>
        </w:rPr>
      </w:pPr>
      <w:r w:rsidRPr="00654610">
        <w:rPr>
          <w:color w:val="000000" w:themeColor="text1"/>
        </w:rPr>
        <w:t>Following the </w:t>
      </w:r>
      <w:hyperlink r:id="rId23">
        <w:r w:rsidRPr="00654610">
          <w:rPr>
            <w:rStyle w:val="Hyperlink"/>
            <w:color w:val="000000" w:themeColor="text1"/>
          </w:rPr>
          <w:t>announcement</w:t>
        </w:r>
      </w:hyperlink>
      <w:r w:rsidRPr="00654610">
        <w:rPr>
          <w:color w:val="000000" w:themeColor="text1"/>
        </w:rPr>
        <w:t> of the new Serious Shortage Protocols (SSP) endorsement which was introduced from 1 June 2021, PSNC has been working with NHS Business Services Authority (NHSBSA) to understand if SSP claims are being submitted in accordance with the updated </w:t>
      </w:r>
      <w:hyperlink r:id="rId24">
        <w:r w:rsidRPr="00654610">
          <w:rPr>
            <w:rStyle w:val="Hyperlink"/>
            <w:color w:val="000000" w:themeColor="text1"/>
          </w:rPr>
          <w:t>SSP endorsement guidance</w:t>
        </w:r>
      </w:hyperlink>
      <w:r w:rsidRPr="00654610">
        <w:rPr>
          <w:color w:val="000000" w:themeColor="text1"/>
        </w:rPr>
        <w:t>.</w:t>
      </w:r>
    </w:p>
    <w:p w14:paraId="3ADDAB7B" w14:textId="77777777" w:rsidR="003D639D" w:rsidRPr="00654610" w:rsidRDefault="003D639D" w:rsidP="003D639D">
      <w:pPr>
        <w:jc w:val="both"/>
        <w:rPr>
          <w:color w:val="000000" w:themeColor="text1"/>
        </w:rPr>
      </w:pPr>
    </w:p>
    <w:p w14:paraId="65086E6A" w14:textId="77777777" w:rsidR="003D639D" w:rsidRPr="00654610" w:rsidRDefault="003D639D" w:rsidP="003D639D">
      <w:pPr>
        <w:jc w:val="both"/>
        <w:rPr>
          <w:color w:val="000000" w:themeColor="text1"/>
        </w:rPr>
      </w:pPr>
      <w:r w:rsidRPr="00654610">
        <w:rPr>
          <w:color w:val="000000" w:themeColor="text1"/>
        </w:rPr>
        <w:t>During the month of June 2021, NHSBSA received a number of EPS SSP claim messages (Electronic Reimbursement Endorsement Messages (EREMs)) which did not meet the requirements for a valid SSP claim.  The main reasons for these incorrect/invalid SSP claims were due to:</w:t>
      </w:r>
    </w:p>
    <w:p w14:paraId="0F80C575" w14:textId="77777777" w:rsidR="003D639D" w:rsidRPr="00654610" w:rsidRDefault="003D639D" w:rsidP="003D639D">
      <w:pPr>
        <w:widowControl w:val="0"/>
        <w:numPr>
          <w:ilvl w:val="0"/>
          <w:numId w:val="22"/>
        </w:numPr>
        <w:autoSpaceDE w:val="0"/>
        <w:autoSpaceDN w:val="0"/>
        <w:jc w:val="both"/>
        <w:rPr>
          <w:color w:val="000000" w:themeColor="text1"/>
        </w:rPr>
      </w:pPr>
      <w:r w:rsidRPr="00654610">
        <w:rPr>
          <w:b/>
          <w:bCs/>
          <w:color w:val="000000" w:themeColor="text1"/>
        </w:rPr>
        <w:lastRenderedPageBreak/>
        <w:t>Incorrect item endorsed </w:t>
      </w:r>
      <w:r w:rsidRPr="00654610">
        <w:rPr>
          <w:color w:val="000000" w:themeColor="text1"/>
        </w:rPr>
        <w:t>– Incorrect item endorsed was almost always the same as original prescribed item rather than the alternative supplied in accordance with a valid SSP. Majority of the SSP errors were for incorrect item endorsed.</w:t>
      </w:r>
    </w:p>
    <w:p w14:paraId="5A23D106" w14:textId="77777777" w:rsidR="003D639D" w:rsidRPr="00654610" w:rsidRDefault="003D639D" w:rsidP="003D639D">
      <w:pPr>
        <w:widowControl w:val="0"/>
        <w:numPr>
          <w:ilvl w:val="0"/>
          <w:numId w:val="22"/>
        </w:numPr>
        <w:autoSpaceDE w:val="0"/>
        <w:autoSpaceDN w:val="0"/>
        <w:jc w:val="both"/>
        <w:rPr>
          <w:color w:val="000000" w:themeColor="text1"/>
        </w:rPr>
      </w:pPr>
      <w:r w:rsidRPr="00654610">
        <w:rPr>
          <w:b/>
          <w:bCs/>
          <w:color w:val="000000" w:themeColor="text1"/>
        </w:rPr>
        <w:t>Invalid or incorrect SSP reference number endorsed </w:t>
      </w:r>
      <w:r w:rsidRPr="00654610">
        <w:rPr>
          <w:color w:val="000000" w:themeColor="text1"/>
        </w:rPr>
        <w:t>– For example SSP 000, SSP (missing reference number), SSP 028 (incorrect number), SSP 05 (two instead of three digits).</w:t>
      </w:r>
    </w:p>
    <w:p w14:paraId="2B16C3E0" w14:textId="77777777" w:rsidR="003D639D" w:rsidRPr="00654610" w:rsidRDefault="003D639D" w:rsidP="003D639D">
      <w:pPr>
        <w:widowControl w:val="0"/>
        <w:numPr>
          <w:ilvl w:val="0"/>
          <w:numId w:val="22"/>
        </w:numPr>
        <w:autoSpaceDE w:val="0"/>
        <w:autoSpaceDN w:val="0"/>
        <w:jc w:val="both"/>
        <w:rPr>
          <w:color w:val="000000" w:themeColor="text1"/>
        </w:rPr>
      </w:pPr>
      <w:r w:rsidRPr="00654610">
        <w:rPr>
          <w:b/>
          <w:bCs/>
          <w:color w:val="000000" w:themeColor="text1"/>
        </w:rPr>
        <w:t>SSP claims for prescribed items without an active SSP </w:t>
      </w:r>
      <w:r w:rsidRPr="00654610">
        <w:rPr>
          <w:color w:val="000000" w:themeColor="text1"/>
        </w:rPr>
        <w:t>– SSP endorsed against items for which an SSP did not exist.</w:t>
      </w:r>
    </w:p>
    <w:p w14:paraId="2365230C" w14:textId="77777777" w:rsidR="003D639D" w:rsidRPr="00654610" w:rsidRDefault="003D639D" w:rsidP="003D639D">
      <w:pPr>
        <w:widowControl w:val="0"/>
        <w:numPr>
          <w:ilvl w:val="0"/>
          <w:numId w:val="22"/>
        </w:numPr>
        <w:autoSpaceDE w:val="0"/>
        <w:autoSpaceDN w:val="0"/>
        <w:jc w:val="both"/>
        <w:rPr>
          <w:color w:val="000000" w:themeColor="text1"/>
        </w:rPr>
      </w:pPr>
      <w:r w:rsidRPr="00654610">
        <w:rPr>
          <w:b/>
          <w:bCs/>
          <w:color w:val="000000" w:themeColor="text1"/>
        </w:rPr>
        <w:t>Claims for supplies made in accordance with an expired SSP:</w:t>
      </w:r>
    </w:p>
    <w:p w14:paraId="79FE3F73" w14:textId="77777777" w:rsidR="003D639D" w:rsidRPr="00654610" w:rsidRDefault="003D639D" w:rsidP="003D639D">
      <w:pPr>
        <w:widowControl w:val="0"/>
        <w:numPr>
          <w:ilvl w:val="1"/>
          <w:numId w:val="22"/>
        </w:numPr>
        <w:autoSpaceDE w:val="0"/>
        <w:autoSpaceDN w:val="0"/>
        <w:spacing w:after="0"/>
        <w:jc w:val="both"/>
        <w:rPr>
          <w:color w:val="000000" w:themeColor="text1"/>
        </w:rPr>
      </w:pPr>
      <w:r w:rsidRPr="00654610">
        <w:rPr>
          <w:color w:val="000000" w:themeColor="text1"/>
        </w:rPr>
        <w:t>No active SSP in place at the time of supply – ie SSP claimed for items on prescriptions issued after SSP expired</w:t>
      </w:r>
    </w:p>
    <w:p w14:paraId="29D5128B" w14:textId="77777777" w:rsidR="003D639D" w:rsidRPr="00654610" w:rsidRDefault="003D639D" w:rsidP="003D639D">
      <w:pPr>
        <w:widowControl w:val="0"/>
        <w:numPr>
          <w:ilvl w:val="1"/>
          <w:numId w:val="22"/>
        </w:numPr>
        <w:autoSpaceDE w:val="0"/>
        <w:autoSpaceDN w:val="0"/>
        <w:spacing w:after="0"/>
        <w:jc w:val="both"/>
        <w:rPr>
          <w:color w:val="000000" w:themeColor="text1"/>
        </w:rPr>
      </w:pPr>
      <w:r w:rsidRPr="00654610">
        <w:rPr>
          <w:color w:val="000000" w:themeColor="text1"/>
        </w:rPr>
        <w:t>Alternative item correctly supplied during the period of SSP validity but Dispense Notification message submitted after the period of SSP validity</w:t>
      </w:r>
    </w:p>
    <w:p w14:paraId="6E352A65" w14:textId="77777777" w:rsidR="003D639D" w:rsidRPr="00654610" w:rsidRDefault="003D639D" w:rsidP="003D639D">
      <w:pPr>
        <w:widowControl w:val="0"/>
        <w:numPr>
          <w:ilvl w:val="1"/>
          <w:numId w:val="22"/>
        </w:numPr>
        <w:autoSpaceDE w:val="0"/>
        <w:autoSpaceDN w:val="0"/>
        <w:spacing w:after="0"/>
        <w:jc w:val="both"/>
        <w:rPr>
          <w:color w:val="000000" w:themeColor="text1"/>
        </w:rPr>
      </w:pPr>
      <w:r w:rsidRPr="00654610">
        <w:rPr>
          <w:color w:val="000000" w:themeColor="text1"/>
        </w:rPr>
        <w:t>Alternative item correctly supplied during the period of SSP validity and the Dispense Notification message submitted during the period of SSP validity but the EREM or Claim Notification message submitted after the 3-month claiming window.</w:t>
      </w:r>
    </w:p>
    <w:p w14:paraId="08A864F9" w14:textId="77777777" w:rsidR="003D639D" w:rsidRPr="00654610" w:rsidRDefault="003D639D" w:rsidP="003D639D">
      <w:pPr>
        <w:spacing w:before="240"/>
        <w:jc w:val="both"/>
        <w:rPr>
          <w:rFonts w:eastAsia="Times New Roman" w:cstheme="minorHAnsi"/>
          <w:color w:val="000000" w:themeColor="text1"/>
          <w:lang w:eastAsia="en-GB"/>
        </w:rPr>
      </w:pPr>
      <w:r w:rsidRPr="00654610">
        <w:rPr>
          <w:rFonts w:eastAsia="Times New Roman" w:cstheme="minorHAnsi"/>
          <w:color w:val="000000" w:themeColor="text1"/>
          <w:lang w:eastAsia="en-GB"/>
        </w:rPr>
        <w:t>NHSBSA is issuing some guidance and support to system suppliers implementing the EPS SSP feature.  Suppliers also have some flexibility as to the extent to which they will support pharmacy team members for example, by asking users to complete any missing or incomplete SSP endorsement information if the required endorsements are not present or not in the specified format.</w:t>
      </w:r>
    </w:p>
    <w:p w14:paraId="3F3656BC" w14:textId="77777777" w:rsidR="003D639D" w:rsidRPr="00654610" w:rsidRDefault="003D639D" w:rsidP="003D639D">
      <w:pPr>
        <w:spacing w:before="240"/>
        <w:jc w:val="both"/>
        <w:rPr>
          <w:rFonts w:eastAsia="Times New Roman" w:cstheme="minorHAnsi"/>
          <w:color w:val="000000" w:themeColor="text1"/>
          <w:lang w:eastAsia="en-GB"/>
        </w:rPr>
      </w:pPr>
      <w:r w:rsidRPr="00654610">
        <w:rPr>
          <w:rFonts w:eastAsia="Times New Roman" w:cstheme="minorHAnsi"/>
          <w:color w:val="000000" w:themeColor="text1"/>
          <w:lang w:eastAsia="en-GB"/>
        </w:rPr>
        <w:t>Note: As reported previously, during the transition period (until end of September dispensing month), NHSBSA will accept either the new ‘SSP’ or existing ‘NCSO’ endorsement for any SSP claims submitted using electronic prescriptions, EPS tokens of FP10 paper prescriptions.</w:t>
      </w:r>
    </w:p>
    <w:p w14:paraId="22AA3F91" w14:textId="77777777" w:rsidR="003D639D" w:rsidRPr="00654610" w:rsidRDefault="003D639D" w:rsidP="003D639D">
      <w:pPr>
        <w:spacing w:before="240"/>
        <w:jc w:val="both"/>
        <w:rPr>
          <w:rFonts w:eastAsia="Times New Roman" w:cstheme="minorHAnsi"/>
          <w:color w:val="000000" w:themeColor="text1"/>
          <w:lang w:eastAsia="en-GB"/>
        </w:rPr>
      </w:pPr>
      <w:r w:rsidRPr="00654610">
        <w:rPr>
          <w:rFonts w:eastAsia="Times New Roman" w:cstheme="minorHAnsi"/>
          <w:color w:val="000000" w:themeColor="text1"/>
          <w:lang w:eastAsia="en-GB"/>
        </w:rPr>
        <w:t xml:space="preserve">View examples of invalid/incorrectly endorsed SSP claims submitted via EPS </w:t>
      </w:r>
      <w:hyperlink r:id="rId25" w:history="1">
        <w:r w:rsidRPr="00654610">
          <w:rPr>
            <w:rStyle w:val="Hyperlink"/>
            <w:rFonts w:eastAsia="Times New Roman" w:cstheme="minorHAnsi"/>
            <w:color w:val="000000" w:themeColor="text1"/>
            <w:lang w:eastAsia="en-GB"/>
          </w:rPr>
          <w:t>here</w:t>
        </w:r>
      </w:hyperlink>
      <w:r w:rsidRPr="00654610">
        <w:rPr>
          <w:rFonts w:eastAsia="Times New Roman" w:cstheme="minorHAnsi"/>
          <w:color w:val="000000" w:themeColor="text1"/>
          <w:lang w:eastAsia="en-GB"/>
        </w:rPr>
        <w:t>.</w:t>
      </w:r>
    </w:p>
    <w:p w14:paraId="78556C46" w14:textId="77777777" w:rsidR="003D639D" w:rsidRPr="00654610" w:rsidRDefault="003D639D" w:rsidP="003D639D">
      <w:pPr>
        <w:pStyle w:val="NoSpacing"/>
        <w:jc w:val="both"/>
        <w:rPr>
          <w:rFonts w:ascii="Calibri" w:eastAsia="Calibri" w:hAnsi="Calibri" w:cs="Calibri"/>
          <w:color w:val="000000" w:themeColor="text1"/>
        </w:rPr>
      </w:pPr>
    </w:p>
    <w:p w14:paraId="0027A807" w14:textId="77777777" w:rsidR="003D639D" w:rsidRPr="00654610" w:rsidRDefault="003D639D" w:rsidP="003D639D">
      <w:pPr>
        <w:pStyle w:val="NoSpacing"/>
        <w:jc w:val="both"/>
        <w:rPr>
          <w:rFonts w:ascii="Calibri" w:eastAsia="Calibri" w:hAnsi="Calibri" w:cs="Calibri"/>
          <w:color w:val="000000" w:themeColor="text1"/>
        </w:rPr>
      </w:pPr>
      <w:r w:rsidRPr="00654610">
        <w:rPr>
          <w:rFonts w:ascii="Calibri" w:eastAsia="Calibri" w:hAnsi="Calibri" w:cs="Calibri"/>
          <w:color w:val="000000" w:themeColor="text1"/>
        </w:rPr>
        <w:t xml:space="preserve">The following SSPs have been authorised by the Secretary of State to help manage the supply of these products and to try to ensure that fewer patients need to return to their prescriber. </w:t>
      </w:r>
      <w:r w:rsidRPr="00654610">
        <w:rPr>
          <w:rFonts w:ascii="Calibri" w:eastAsia="Calibri" w:hAnsi="Calibri" w:cs="Calibri"/>
          <w:b/>
          <w:bCs/>
          <w:color w:val="000000" w:themeColor="text1"/>
        </w:rPr>
        <w:t>SSPs may be amended or revoked at any time, view up-to-date information on the NHSBSA website</w:t>
      </w:r>
      <w:r w:rsidRPr="00654610">
        <w:rPr>
          <w:rFonts w:ascii="Calibri" w:eastAsia="Calibri" w:hAnsi="Calibri" w:cs="Calibri"/>
          <w:color w:val="000000" w:themeColor="text1"/>
        </w:rPr>
        <w:t>.</w:t>
      </w:r>
    </w:p>
    <w:p w14:paraId="0C65CBEB" w14:textId="77777777" w:rsidR="003D639D" w:rsidRDefault="003D639D" w:rsidP="003D639D">
      <w:pPr>
        <w:pStyle w:val="NoSpacing"/>
        <w:rPr>
          <w:rFonts w:ascii="Calibri Light" w:eastAsia="Calibri Light" w:hAnsi="Calibri Light" w:cs="Calibri Light"/>
          <w:b/>
          <w:bCs/>
          <w:color w:val="1F487C"/>
          <w:sz w:val="24"/>
          <w:szCs w:val="24"/>
        </w:rPr>
      </w:pPr>
    </w:p>
    <w:p w14:paraId="384CB2C4" w14:textId="77777777" w:rsidR="003D639D" w:rsidDel="0027378E" w:rsidRDefault="003D639D" w:rsidP="003D639D">
      <w:pPr>
        <w:pStyle w:val="NoSpacing"/>
        <w:jc w:val="both"/>
        <w:rPr>
          <w:b/>
        </w:rPr>
      </w:pPr>
      <w:r w:rsidRPr="005251BB">
        <w:rPr>
          <w:b/>
          <w:bCs/>
        </w:rPr>
        <w:t>Active SSPs</w:t>
      </w:r>
    </w:p>
    <w:tbl>
      <w:tblPr>
        <w:tblW w:w="6295" w:type="dxa"/>
        <w:tblLook w:val="04A0" w:firstRow="1" w:lastRow="0" w:firstColumn="1" w:lastColumn="0" w:noHBand="0" w:noVBand="1"/>
      </w:tblPr>
      <w:tblGrid>
        <w:gridCol w:w="4120"/>
        <w:gridCol w:w="2175"/>
      </w:tblGrid>
      <w:tr w:rsidR="003D639D" w:rsidRPr="0027378E" w14:paraId="2DB7E6CA" w14:textId="77777777" w:rsidTr="009E3076">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659200"/>
            <w:noWrap/>
            <w:vAlign w:val="center"/>
            <w:hideMark/>
          </w:tcPr>
          <w:p w14:paraId="7172DA7D" w14:textId="77777777" w:rsidR="003D639D" w:rsidRPr="0027378E" w:rsidRDefault="003D639D" w:rsidP="009E3076">
            <w:pPr>
              <w:jc w:val="both"/>
              <w:rPr>
                <w:rFonts w:eastAsia="Times New Roman"/>
                <w:b/>
                <w:color w:val="FFFFFF" w:themeColor="background1"/>
                <w:lang w:eastAsia="en-GB"/>
              </w:rPr>
            </w:pPr>
            <w:r w:rsidRPr="6B8E8425">
              <w:rPr>
                <w:rFonts w:eastAsia="Times New Roman"/>
                <w:b/>
                <w:color w:val="FFFFFF" w:themeColor="background1"/>
                <w:lang w:eastAsia="en-GB"/>
              </w:rPr>
              <w:t>SSP</w:t>
            </w:r>
          </w:p>
        </w:tc>
        <w:tc>
          <w:tcPr>
            <w:tcW w:w="2175" w:type="dxa"/>
            <w:tcBorders>
              <w:top w:val="single" w:sz="4" w:space="0" w:color="auto"/>
              <w:left w:val="nil"/>
              <w:bottom w:val="single" w:sz="4" w:space="0" w:color="auto"/>
              <w:right w:val="single" w:sz="4" w:space="0" w:color="auto"/>
            </w:tcBorders>
            <w:shd w:val="clear" w:color="auto" w:fill="659200"/>
            <w:noWrap/>
            <w:vAlign w:val="center"/>
            <w:hideMark/>
          </w:tcPr>
          <w:p w14:paraId="5E34E166" w14:textId="77777777" w:rsidR="003D639D" w:rsidRPr="0027378E" w:rsidRDefault="003D639D" w:rsidP="009E3076">
            <w:pPr>
              <w:jc w:val="both"/>
              <w:rPr>
                <w:rFonts w:eastAsia="Times New Roman"/>
                <w:b/>
                <w:color w:val="FFFFFF" w:themeColor="background1"/>
                <w:lang w:eastAsia="en-GB"/>
              </w:rPr>
            </w:pPr>
            <w:r w:rsidRPr="1ED24584">
              <w:rPr>
                <w:rFonts w:eastAsia="Times New Roman"/>
                <w:b/>
                <w:bCs/>
                <w:color w:val="FFFFFF" w:themeColor="background1"/>
                <w:lang w:eastAsia="en-GB"/>
              </w:rPr>
              <w:t xml:space="preserve">Current </w:t>
            </w:r>
            <w:r w:rsidRPr="7303C09E">
              <w:rPr>
                <w:rFonts w:eastAsia="Times New Roman"/>
                <w:b/>
                <w:bCs/>
                <w:color w:val="FFFFFF" w:themeColor="background1"/>
                <w:lang w:eastAsia="en-GB"/>
              </w:rPr>
              <w:t>expiry</w:t>
            </w:r>
            <w:r w:rsidRPr="6B8E8425">
              <w:rPr>
                <w:rFonts w:eastAsia="Times New Roman"/>
                <w:b/>
                <w:color w:val="FFFFFF" w:themeColor="background1"/>
                <w:lang w:eastAsia="en-GB"/>
              </w:rPr>
              <w:t xml:space="preserve"> </w:t>
            </w:r>
            <w:r w:rsidRPr="6B8E8425">
              <w:rPr>
                <w:rFonts w:eastAsia="Times New Roman"/>
                <w:b/>
                <w:bCs/>
                <w:color w:val="FFFFFF" w:themeColor="background1"/>
                <w:lang w:eastAsia="en-GB"/>
              </w:rPr>
              <w:t>date</w:t>
            </w:r>
          </w:p>
        </w:tc>
      </w:tr>
      <w:tr w:rsidR="003D639D" w:rsidRPr="0027378E" w14:paraId="56DB55BB" w14:textId="77777777" w:rsidTr="009E3076">
        <w:trPr>
          <w:trHeight w:val="300"/>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14:paraId="031D99F8" w14:textId="77777777" w:rsidR="003D639D" w:rsidRPr="0027378E" w:rsidRDefault="00F76EBD" w:rsidP="009E3076">
            <w:pPr>
              <w:jc w:val="both"/>
              <w:rPr>
                <w:rFonts w:eastAsia="Times New Roman"/>
                <w:color w:val="0000FF"/>
                <w:u w:val="single"/>
                <w:lang w:eastAsia="en-GB"/>
              </w:rPr>
            </w:pPr>
            <w:hyperlink r:id="rId26" w:history="1">
              <w:r w:rsidR="003D639D" w:rsidRPr="0027378E">
                <w:rPr>
                  <w:rFonts w:eastAsia="Times New Roman"/>
                  <w:color w:val="0000FF"/>
                  <w:u w:val="single"/>
                  <w:lang w:eastAsia="en-GB"/>
                </w:rPr>
                <w:t>SSP05: Fluoxetine 10mg tablets</w:t>
              </w:r>
            </w:hyperlink>
          </w:p>
        </w:tc>
        <w:tc>
          <w:tcPr>
            <w:tcW w:w="2175" w:type="dxa"/>
            <w:tcBorders>
              <w:top w:val="nil"/>
              <w:left w:val="nil"/>
              <w:bottom w:val="single" w:sz="4" w:space="0" w:color="auto"/>
              <w:right w:val="single" w:sz="4" w:space="0" w:color="auto"/>
            </w:tcBorders>
            <w:shd w:val="clear" w:color="auto" w:fill="auto"/>
            <w:noWrap/>
            <w:vAlign w:val="center"/>
            <w:hideMark/>
          </w:tcPr>
          <w:p w14:paraId="21A8769E" w14:textId="77777777" w:rsidR="003D639D" w:rsidRPr="0027378E" w:rsidRDefault="003D639D" w:rsidP="009E3076">
            <w:pPr>
              <w:jc w:val="both"/>
              <w:rPr>
                <w:rFonts w:eastAsia="Times New Roman"/>
                <w:color w:val="000000"/>
                <w:lang w:eastAsia="en-GB"/>
              </w:rPr>
            </w:pPr>
            <w:r w:rsidRPr="6B8E8425">
              <w:rPr>
                <w:rFonts w:eastAsia="Times New Roman"/>
                <w:color w:val="000000" w:themeColor="text1"/>
                <w:lang w:eastAsia="en-GB"/>
              </w:rPr>
              <w:t>1</w:t>
            </w:r>
            <w:r>
              <w:rPr>
                <w:rFonts w:eastAsia="Times New Roman"/>
                <w:color w:val="000000" w:themeColor="text1"/>
                <w:lang w:eastAsia="en-GB"/>
              </w:rPr>
              <w:t>2</w:t>
            </w:r>
            <w:r w:rsidRPr="6B8E8425">
              <w:rPr>
                <w:rFonts w:eastAsia="Times New Roman"/>
                <w:color w:val="000000" w:themeColor="text1"/>
                <w:lang w:eastAsia="en-GB"/>
              </w:rPr>
              <w:t xml:space="preserve"> </w:t>
            </w:r>
            <w:r>
              <w:rPr>
                <w:rFonts w:eastAsia="Times New Roman"/>
                <w:color w:val="000000" w:themeColor="text1"/>
                <w:lang w:eastAsia="en-GB"/>
              </w:rPr>
              <w:t>November</w:t>
            </w:r>
            <w:r w:rsidRPr="6B8E8425">
              <w:rPr>
                <w:rFonts w:eastAsia="Times New Roman"/>
                <w:color w:val="000000" w:themeColor="text1"/>
                <w:lang w:eastAsia="en-GB"/>
              </w:rPr>
              <w:t xml:space="preserve"> </w:t>
            </w:r>
            <w:r w:rsidRPr="7303C09E">
              <w:rPr>
                <w:rFonts w:eastAsia="Times New Roman"/>
                <w:color w:val="000000" w:themeColor="text1"/>
                <w:lang w:eastAsia="en-GB"/>
              </w:rPr>
              <w:t>21</w:t>
            </w:r>
          </w:p>
        </w:tc>
      </w:tr>
    </w:tbl>
    <w:p w14:paraId="3774B89B" w14:textId="77777777" w:rsidR="003D639D" w:rsidRPr="00015C45" w:rsidRDefault="003D639D" w:rsidP="003D639D">
      <w:pPr>
        <w:spacing w:before="240"/>
        <w:rPr>
          <w:rFonts w:eastAsia="Times New Roman" w:cstheme="minorHAnsi"/>
          <w:color w:val="000000" w:themeColor="text1"/>
          <w:lang w:eastAsia="en-GB"/>
        </w:rPr>
      </w:pPr>
      <w:r w:rsidRPr="47EEB0E0">
        <w:rPr>
          <w:color w:val="000000" w:themeColor="text1"/>
        </w:rPr>
        <w:t xml:space="preserve">Further information on SSPs can be found on PSNC’s </w:t>
      </w:r>
      <w:hyperlink r:id="rId27">
        <w:r w:rsidRPr="47EEB0E0">
          <w:rPr>
            <w:rStyle w:val="Hyperlink"/>
          </w:rPr>
          <w:t>Live SSPs</w:t>
        </w:r>
      </w:hyperlink>
      <w:r w:rsidRPr="47EEB0E0">
        <w:rPr>
          <w:color w:val="000000" w:themeColor="text1"/>
        </w:rPr>
        <w:t xml:space="preserve"> webpage</w:t>
      </w:r>
    </w:p>
    <w:p w14:paraId="13DAEBB3" w14:textId="77777777" w:rsidR="003D639D" w:rsidRDefault="003D639D" w:rsidP="003D639D"/>
    <w:p w14:paraId="50910040" w14:textId="77777777" w:rsidR="003D639D" w:rsidRDefault="003D639D" w:rsidP="003D639D"/>
    <w:p w14:paraId="65C3895D" w14:textId="77777777" w:rsidR="003D639D" w:rsidRPr="00654610" w:rsidRDefault="003D639D" w:rsidP="003D639D">
      <w:pPr>
        <w:jc w:val="both"/>
        <w:rPr>
          <w:color w:val="000000" w:themeColor="text1"/>
        </w:rPr>
      </w:pPr>
      <w:bookmarkStart w:id="6" w:name="levothyroxine"/>
      <w:r w:rsidRPr="00BF1350">
        <w:rPr>
          <w:rFonts w:ascii="Calibri Light" w:eastAsia="Calibri Light" w:hAnsi="Calibri Light" w:cs="Calibri Light"/>
          <w:color w:val="1F487C"/>
          <w:sz w:val="32"/>
          <w:szCs w:val="32"/>
        </w:rPr>
        <w:t>Levothyroxine: new prescribing advice if specific product required by patient</w:t>
      </w:r>
      <w:bookmarkEnd w:id="6"/>
      <w:r>
        <w:br/>
      </w:r>
      <w:r>
        <w:br/>
      </w:r>
      <w:r w:rsidRPr="00654610">
        <w:rPr>
          <w:color w:val="000000" w:themeColor="text1"/>
        </w:rPr>
        <w:lastRenderedPageBreak/>
        <w:t>The May 2021 </w:t>
      </w:r>
      <w:hyperlink r:id="rId28" w:history="1">
        <w:r w:rsidRPr="00654610">
          <w:rPr>
            <w:rStyle w:val="Hyperlink"/>
            <w:color w:val="000000" w:themeColor="text1"/>
          </w:rPr>
          <w:t>MHRA Drug Safety Update</w:t>
        </w:r>
      </w:hyperlink>
      <w:r w:rsidRPr="00654610">
        <w:rPr>
          <w:color w:val="000000" w:themeColor="text1"/>
        </w:rPr>
        <w:t> contains new prescribing advice for patients who experience symptoms on switching between levothyroxine products.</w:t>
      </w:r>
    </w:p>
    <w:p w14:paraId="1979A721" w14:textId="77777777" w:rsidR="003D639D" w:rsidRPr="00654610" w:rsidRDefault="003D639D" w:rsidP="003D639D">
      <w:pPr>
        <w:jc w:val="both"/>
        <w:rPr>
          <w:color w:val="000000" w:themeColor="text1"/>
        </w:rPr>
      </w:pPr>
      <w:r w:rsidRPr="541BB74F">
        <w:rPr>
          <w:color w:val="000000" w:themeColor="text1"/>
        </w:rPr>
        <w:t>The advice for healthcare professional's states that:</w:t>
      </w:r>
    </w:p>
    <w:p w14:paraId="6B0D5781" w14:textId="77777777" w:rsidR="003D639D" w:rsidRPr="00654610" w:rsidRDefault="003D639D" w:rsidP="003D639D">
      <w:pPr>
        <w:widowControl w:val="0"/>
        <w:numPr>
          <w:ilvl w:val="0"/>
          <w:numId w:val="21"/>
        </w:numPr>
        <w:autoSpaceDE w:val="0"/>
        <w:autoSpaceDN w:val="0"/>
        <w:jc w:val="both"/>
        <w:rPr>
          <w:color w:val="000000" w:themeColor="text1"/>
        </w:rPr>
      </w:pPr>
      <w:r w:rsidRPr="00654610">
        <w:rPr>
          <w:color w:val="000000" w:themeColor="text1"/>
        </w:rPr>
        <w:t>generic prescribing of levothyroxine remains appropriate for the majority of patients</w:t>
      </w:r>
    </w:p>
    <w:p w14:paraId="79E2EABE" w14:textId="77777777" w:rsidR="003D639D" w:rsidRPr="00654610" w:rsidRDefault="003D639D" w:rsidP="003D639D">
      <w:pPr>
        <w:widowControl w:val="0"/>
        <w:numPr>
          <w:ilvl w:val="0"/>
          <w:numId w:val="21"/>
        </w:numPr>
        <w:autoSpaceDE w:val="0"/>
        <w:autoSpaceDN w:val="0"/>
        <w:jc w:val="both"/>
        <w:rPr>
          <w:color w:val="000000" w:themeColor="text1"/>
        </w:rPr>
      </w:pPr>
      <w:r w:rsidRPr="00654610">
        <w:rPr>
          <w:color w:val="000000" w:themeColor="text1"/>
        </w:rPr>
        <w:t>a small proportion of patients treated with levothyroxine report symptoms, often consistent with thyroid dysfunction, when their levothyroxine tablets are changed to a different product</w:t>
      </w:r>
    </w:p>
    <w:p w14:paraId="11547708" w14:textId="77777777" w:rsidR="003D639D" w:rsidRPr="00654610" w:rsidRDefault="003D639D" w:rsidP="003D639D">
      <w:pPr>
        <w:widowControl w:val="0"/>
        <w:numPr>
          <w:ilvl w:val="0"/>
          <w:numId w:val="21"/>
        </w:numPr>
        <w:autoSpaceDE w:val="0"/>
        <w:autoSpaceDN w:val="0"/>
        <w:jc w:val="both"/>
        <w:rPr>
          <w:color w:val="000000" w:themeColor="text1"/>
        </w:rPr>
      </w:pPr>
      <w:r w:rsidRPr="00654610">
        <w:rPr>
          <w:color w:val="000000" w:themeColor="text1"/>
        </w:rPr>
        <w:t>if a patient reports persistent symptoms when switching between different levothyroxine products, prescribers should consider consistently prescribing a specific levothyroxine product known to be well tolerated by the patient.</w:t>
      </w:r>
    </w:p>
    <w:p w14:paraId="7067390F" w14:textId="77777777" w:rsidR="003D639D" w:rsidRPr="00654610" w:rsidRDefault="003D639D" w:rsidP="003D639D">
      <w:pPr>
        <w:widowControl w:val="0"/>
        <w:numPr>
          <w:ilvl w:val="0"/>
          <w:numId w:val="21"/>
        </w:numPr>
        <w:autoSpaceDE w:val="0"/>
        <w:autoSpaceDN w:val="0"/>
        <w:jc w:val="both"/>
        <w:rPr>
          <w:color w:val="000000" w:themeColor="text1"/>
        </w:rPr>
      </w:pPr>
      <w:r w:rsidRPr="00654610">
        <w:rPr>
          <w:color w:val="000000" w:themeColor="text1"/>
        </w:rPr>
        <w:t>if symptoms or poor control of thyroid function persist (despite adhering to a specific product), prescribers should consider prescribing an oral solution formulation of levothyroxine</w:t>
      </w:r>
    </w:p>
    <w:p w14:paraId="4304D568" w14:textId="77777777" w:rsidR="003D639D" w:rsidRPr="00654610" w:rsidRDefault="003D639D" w:rsidP="003D639D">
      <w:pPr>
        <w:jc w:val="both"/>
        <w:rPr>
          <w:color w:val="000000" w:themeColor="text1"/>
        </w:rPr>
      </w:pPr>
      <w:r w:rsidRPr="00654610">
        <w:rPr>
          <w:color w:val="000000" w:themeColor="text1"/>
        </w:rPr>
        <w:t>Following this advice, community pharmacy teams may expect to receive requests from patients and/or prescribers for a specific brand name or make of levothyroxine to be supplied against a prescription. If a specific levothyroxine product known to be well tolerated by the patient is required, prescribers must ensure the correct product description is selected using their prescribing systems. In EPS, if a specific brand name or supplier of the product is selected, this will appear in the prescription drug name field.</w:t>
      </w:r>
    </w:p>
    <w:p w14:paraId="2B7BD26C" w14:textId="77777777" w:rsidR="003D639D" w:rsidRPr="00654610" w:rsidRDefault="003D639D" w:rsidP="003D639D">
      <w:pPr>
        <w:jc w:val="both"/>
        <w:rPr>
          <w:color w:val="000000" w:themeColor="text1"/>
        </w:rPr>
      </w:pPr>
      <w:r w:rsidRPr="00654610">
        <w:rPr>
          <w:color w:val="000000" w:themeColor="text1"/>
        </w:rPr>
        <w:t>PSNC is aware that some pharmacy contractors have been left out of pocket because prescribers have free-typed product information (such as brand name or supplier) into the dosage instructions field or notes section of electronic prescriptions, and the pharmacy has not been reimbursed for supplying in accordance with the prescribers instructions.</w:t>
      </w:r>
    </w:p>
    <w:p w14:paraId="48443254" w14:textId="77777777" w:rsidR="003D639D" w:rsidRPr="00654610" w:rsidRDefault="003D639D" w:rsidP="003D639D">
      <w:pPr>
        <w:pStyle w:val="NoSpacing"/>
        <w:jc w:val="both"/>
        <w:rPr>
          <w:color w:val="000000" w:themeColor="text1"/>
        </w:rPr>
      </w:pPr>
      <w:r w:rsidRPr="00654610">
        <w:rPr>
          <w:color w:val="000000" w:themeColor="text1"/>
        </w:rPr>
        <w:t xml:space="preserve">View the full story with guidance </w:t>
      </w:r>
      <w:hyperlink r:id="rId29" w:history="1">
        <w:r w:rsidRPr="00654610">
          <w:rPr>
            <w:rStyle w:val="Hyperlink"/>
            <w:color w:val="000000" w:themeColor="text1"/>
          </w:rPr>
          <w:t>here</w:t>
        </w:r>
      </w:hyperlink>
      <w:r w:rsidRPr="00654610">
        <w:rPr>
          <w:color w:val="000000" w:themeColor="text1"/>
        </w:rPr>
        <w:t>.</w:t>
      </w:r>
    </w:p>
    <w:p w14:paraId="7B4BAA16" w14:textId="77777777" w:rsidR="003D639D" w:rsidRDefault="003D639D" w:rsidP="003D639D"/>
    <w:p w14:paraId="20C90B93" w14:textId="77777777" w:rsidR="003D639D" w:rsidRPr="001E7F42" w:rsidRDefault="003D639D" w:rsidP="003D639D"/>
    <w:p w14:paraId="5BCDCA5C" w14:textId="77777777" w:rsidR="003D639D" w:rsidRDefault="003D639D" w:rsidP="003D639D">
      <w:pPr>
        <w:pStyle w:val="NoSpacing"/>
        <w:rPr>
          <w:rFonts w:ascii="Calibri Light" w:eastAsia="Calibri Light" w:hAnsi="Calibri Light" w:cs="Calibri Light"/>
          <w:color w:val="1F487C"/>
          <w:sz w:val="32"/>
          <w:szCs w:val="32"/>
        </w:rPr>
      </w:pPr>
      <w:bookmarkStart w:id="7" w:name="eps_rx"/>
      <w:r w:rsidRPr="00F95016">
        <w:rPr>
          <w:rFonts w:ascii="Calibri Light" w:eastAsia="Calibri Light" w:hAnsi="Calibri Light" w:cs="Calibri Light"/>
          <w:color w:val="1F487C"/>
          <w:sz w:val="32"/>
          <w:szCs w:val="32"/>
        </w:rPr>
        <w:t>EPS scripts now over 95% of total items</w:t>
      </w:r>
    </w:p>
    <w:bookmarkEnd w:id="7"/>
    <w:p w14:paraId="00D921F6" w14:textId="77777777" w:rsidR="003D639D" w:rsidRPr="00AF64F5" w:rsidRDefault="003D639D" w:rsidP="003D639D">
      <w:pPr>
        <w:spacing w:before="240"/>
        <w:jc w:val="both"/>
        <w:rPr>
          <w:rFonts w:eastAsia="Times New Roman" w:cstheme="minorHAnsi"/>
          <w:color w:val="000000" w:themeColor="text1"/>
          <w:lang w:eastAsia="en-GB"/>
        </w:rPr>
      </w:pPr>
      <w:r w:rsidRPr="00AF64F5">
        <w:rPr>
          <w:rFonts w:eastAsia="Times New Roman" w:cstheme="minorHAnsi"/>
          <w:color w:val="000000" w:themeColor="text1"/>
          <w:lang w:eastAsia="en-GB"/>
        </w:rPr>
        <w:t>Electronic prescriptions sent via the Electronic Prescription Service (EPS) now represent more than 95% of all prescriptions dispensed by community pharmacies in England.*</w:t>
      </w:r>
    </w:p>
    <w:p w14:paraId="24F89B7B" w14:textId="77777777" w:rsidR="003D639D" w:rsidRPr="00AF64F5" w:rsidRDefault="00F76EBD" w:rsidP="003D639D">
      <w:pPr>
        <w:spacing w:before="240"/>
        <w:jc w:val="both"/>
        <w:rPr>
          <w:rFonts w:eastAsia="Times New Roman" w:cstheme="minorHAnsi"/>
          <w:color w:val="000000" w:themeColor="text1"/>
          <w:lang w:eastAsia="en-GB"/>
        </w:rPr>
      </w:pPr>
      <w:hyperlink r:id="rId30" w:history="1">
        <w:r w:rsidR="003D639D" w:rsidRPr="00AF64F5">
          <w:rPr>
            <w:rStyle w:val="Hyperlink"/>
            <w:rFonts w:eastAsia="Times New Roman" w:cstheme="minorHAnsi"/>
            <w:lang w:eastAsia="en-GB"/>
          </w:rPr>
          <w:t>One-off nomination </w:t>
        </w:r>
      </w:hyperlink>
      <w:r w:rsidR="003D639D" w:rsidRPr="00AF64F5">
        <w:rPr>
          <w:rFonts w:eastAsia="Times New Roman" w:cstheme="minorHAnsi"/>
          <w:color w:val="000000" w:themeColor="text1"/>
          <w:lang w:eastAsia="en-GB"/>
        </w:rPr>
        <w:t>is now available in many GP practices and other care settings, allowing prescriptions to be sent to an alternative pharmacy without affecting a patient’s existing nominations and avoiding the need for paper prescriptions to be issued by prescribers.</w:t>
      </w:r>
    </w:p>
    <w:p w14:paraId="7071919A" w14:textId="77777777" w:rsidR="003D639D" w:rsidRPr="00AF64F5" w:rsidRDefault="003D639D" w:rsidP="003D639D">
      <w:pPr>
        <w:spacing w:before="240"/>
        <w:jc w:val="both"/>
        <w:rPr>
          <w:rFonts w:eastAsia="Times New Roman" w:cstheme="minorHAnsi"/>
          <w:color w:val="000000" w:themeColor="text1"/>
          <w:lang w:eastAsia="en-GB"/>
        </w:rPr>
      </w:pPr>
      <w:r w:rsidRPr="00AF64F5">
        <w:rPr>
          <w:rFonts w:eastAsia="Times New Roman" w:cstheme="minorHAnsi"/>
          <w:color w:val="000000" w:themeColor="text1"/>
          <w:lang w:eastAsia="en-GB"/>
        </w:rPr>
        <w:t>The latest figures show that more than 95% of GP practices are now using </w:t>
      </w:r>
      <w:hyperlink r:id="rId31" w:history="1">
        <w:r w:rsidRPr="00AF64F5">
          <w:rPr>
            <w:rStyle w:val="Hyperlink"/>
            <w:rFonts w:eastAsia="Times New Roman" w:cstheme="minorHAnsi"/>
            <w:lang w:eastAsia="en-GB"/>
          </w:rPr>
          <w:t>Phase 4 EPS</w:t>
        </w:r>
      </w:hyperlink>
      <w:r w:rsidRPr="00AF64F5">
        <w:rPr>
          <w:rFonts w:eastAsia="Times New Roman" w:cstheme="minorHAnsi"/>
          <w:color w:val="000000" w:themeColor="text1"/>
          <w:lang w:eastAsia="en-GB"/>
        </w:rPr>
        <w:t>.</w:t>
      </w:r>
    </w:p>
    <w:p w14:paraId="4FEBB712" w14:textId="77777777" w:rsidR="003D639D" w:rsidRPr="00AF64F5" w:rsidRDefault="003D639D" w:rsidP="003D639D">
      <w:pPr>
        <w:spacing w:before="240"/>
        <w:jc w:val="both"/>
        <w:rPr>
          <w:rFonts w:eastAsia="Times New Roman" w:cstheme="minorHAnsi"/>
          <w:color w:val="000000" w:themeColor="text1"/>
          <w:lang w:eastAsia="en-GB"/>
        </w:rPr>
      </w:pPr>
      <w:r w:rsidRPr="00AF64F5">
        <w:rPr>
          <w:rFonts w:eastAsia="Times New Roman" w:cstheme="minorHAnsi"/>
          <w:color w:val="000000" w:themeColor="text1"/>
          <w:lang w:eastAsia="en-GB"/>
        </w:rPr>
        <w:t>*NHSBSA confirmed the volumes at the latest </w:t>
      </w:r>
      <w:hyperlink r:id="rId32" w:history="1">
        <w:r w:rsidRPr="00AF64F5">
          <w:rPr>
            <w:rStyle w:val="Hyperlink"/>
            <w:rFonts w:eastAsia="Times New Roman" w:cstheme="minorHAnsi"/>
            <w:lang w:eastAsia="en-GB"/>
          </w:rPr>
          <w:t>pharmacy IT group meeting</w:t>
        </w:r>
      </w:hyperlink>
      <w:r w:rsidRPr="00AF64F5">
        <w:rPr>
          <w:rFonts w:eastAsia="Times New Roman" w:cstheme="minorHAnsi"/>
          <w:color w:val="000000" w:themeColor="text1"/>
          <w:lang w:eastAsia="en-GB"/>
        </w:rPr>
        <w:t>.</w:t>
      </w:r>
    </w:p>
    <w:p w14:paraId="20DB01FC" w14:textId="77777777" w:rsidR="003D639D" w:rsidRDefault="003D639D" w:rsidP="003D639D">
      <w:pPr>
        <w:rPr>
          <w:rFonts w:ascii="Calibri Light" w:eastAsia="Calibri Light" w:hAnsi="Calibri Light" w:cs="Calibri Light"/>
          <w:color w:val="1F487C"/>
        </w:rPr>
      </w:pPr>
    </w:p>
    <w:p w14:paraId="0CE7EF3A" w14:textId="77777777" w:rsidR="003D639D" w:rsidRPr="00654610" w:rsidRDefault="003D639D" w:rsidP="003D639D">
      <w:pPr>
        <w:rPr>
          <w:rFonts w:ascii="Calibri Light" w:eastAsia="Calibri Light" w:hAnsi="Calibri Light" w:cs="Calibri Light"/>
          <w:color w:val="1F487C"/>
        </w:rPr>
      </w:pPr>
    </w:p>
    <w:p w14:paraId="38D12CE8" w14:textId="77777777" w:rsidR="003D639D" w:rsidRPr="00D717BB" w:rsidRDefault="003D639D" w:rsidP="003D639D">
      <w:pPr>
        <w:rPr>
          <w:rFonts w:ascii="Calibri Light" w:eastAsia="Calibri Light" w:hAnsi="Calibri Light" w:cs="Calibri Light"/>
          <w:color w:val="1F487C"/>
          <w:sz w:val="32"/>
          <w:szCs w:val="32"/>
        </w:rPr>
      </w:pPr>
      <w:bookmarkStart w:id="8" w:name="rtec"/>
      <w:r w:rsidRPr="00D717BB">
        <w:rPr>
          <w:rFonts w:ascii="Calibri Light" w:eastAsia="Calibri Light" w:hAnsi="Calibri Light" w:cs="Calibri Light"/>
          <w:color w:val="1F487C"/>
          <w:sz w:val="32"/>
          <w:szCs w:val="32"/>
        </w:rPr>
        <w:t xml:space="preserve">More than three quarters of pharmacy </w:t>
      </w:r>
      <w:r w:rsidRPr="0C3FD27D">
        <w:rPr>
          <w:rFonts w:ascii="Calibri Light" w:eastAsia="Calibri Light" w:hAnsi="Calibri Light" w:cs="Calibri Light"/>
          <w:color w:val="1F487C"/>
          <w:sz w:val="32"/>
          <w:szCs w:val="32"/>
        </w:rPr>
        <w:t>organisations</w:t>
      </w:r>
      <w:r w:rsidRPr="00D717BB">
        <w:rPr>
          <w:rFonts w:ascii="Calibri Light" w:eastAsia="Calibri Light" w:hAnsi="Calibri Light" w:cs="Calibri Light"/>
          <w:color w:val="1F487C"/>
          <w:sz w:val="32"/>
          <w:szCs w:val="32"/>
        </w:rPr>
        <w:t xml:space="preserve"> register for RTEC</w:t>
      </w:r>
    </w:p>
    <w:bookmarkEnd w:id="8"/>
    <w:p w14:paraId="4BB499E5" w14:textId="77777777" w:rsidR="003D639D" w:rsidRPr="003C3179" w:rsidRDefault="003D639D" w:rsidP="003D639D">
      <w:pPr>
        <w:spacing w:before="240"/>
        <w:jc w:val="both"/>
        <w:rPr>
          <w:rFonts w:eastAsia="Times New Roman" w:cstheme="minorHAnsi"/>
          <w:color w:val="000000" w:themeColor="text1"/>
          <w:lang w:eastAsia="en-GB"/>
        </w:rPr>
      </w:pPr>
      <w:r w:rsidRPr="003C3179">
        <w:rPr>
          <w:rFonts w:eastAsia="Times New Roman" w:cstheme="minorHAnsi"/>
          <w:color w:val="000000" w:themeColor="text1"/>
          <w:lang w:eastAsia="en-GB"/>
        </w:rPr>
        <w:lastRenderedPageBreak/>
        <w:t>NHSBSA has reported that more than three quarters of pharmacy organisations have now registered to access Real Time Exemption Checking (RTEC).</w:t>
      </w:r>
    </w:p>
    <w:p w14:paraId="6A80C952" w14:textId="77777777" w:rsidR="003D639D" w:rsidRPr="003C3179" w:rsidRDefault="00F76EBD" w:rsidP="003D639D">
      <w:pPr>
        <w:spacing w:before="240"/>
        <w:jc w:val="both"/>
        <w:rPr>
          <w:rFonts w:eastAsia="Times New Roman" w:cstheme="minorHAnsi"/>
          <w:color w:val="000000" w:themeColor="text1"/>
          <w:lang w:eastAsia="en-GB"/>
        </w:rPr>
      </w:pPr>
      <w:hyperlink r:id="rId33" w:history="1">
        <w:r w:rsidR="003D639D" w:rsidRPr="003C3179">
          <w:rPr>
            <w:rStyle w:val="Hyperlink"/>
            <w:rFonts w:eastAsia="Times New Roman" w:cstheme="minorHAnsi"/>
            <w:lang w:eastAsia="en-GB"/>
          </w:rPr>
          <w:t>RTEC</w:t>
        </w:r>
      </w:hyperlink>
      <w:r w:rsidR="003D639D" w:rsidRPr="003C3179">
        <w:rPr>
          <w:rFonts w:eastAsia="Times New Roman" w:cstheme="minorHAnsi"/>
          <w:color w:val="000000" w:themeColor="text1"/>
          <w:lang w:eastAsia="en-GB"/>
        </w:rPr>
        <w:t> allows pharmacy teams to digitally check if their patients are eligible for free NHS prescriptions because they hold specific exemptions.</w:t>
      </w:r>
    </w:p>
    <w:p w14:paraId="69B8348A" w14:textId="77777777" w:rsidR="003D639D" w:rsidRDefault="003D639D" w:rsidP="003D639D">
      <w:pPr>
        <w:spacing w:before="240"/>
        <w:jc w:val="both"/>
        <w:rPr>
          <w:rFonts w:eastAsia="Times New Roman" w:cstheme="minorHAnsi"/>
          <w:color w:val="000000" w:themeColor="text1"/>
          <w:lang w:eastAsia="en-GB"/>
        </w:rPr>
      </w:pPr>
      <w:r w:rsidRPr="003C3179">
        <w:rPr>
          <w:rFonts w:eastAsia="Times New Roman" w:cstheme="minorHAnsi"/>
          <w:color w:val="000000" w:themeColor="text1"/>
          <w:lang w:eastAsia="en-GB"/>
        </w:rPr>
        <w:t>Pharmacies already using RTEC report that it saves staff time and because a patient that is found to be exempt via RTEC does not need to complete an exemption declaration on an EPS token, it reduces the use of paper, decreasing the risk of transmission of infection during the COVID-19 pandemic.</w:t>
      </w:r>
      <w:r>
        <w:rPr>
          <w:rFonts w:eastAsia="Times New Roman" w:cstheme="minorHAnsi"/>
          <w:color w:val="000000" w:themeColor="text1"/>
          <w:lang w:eastAsia="en-GB"/>
        </w:rPr>
        <w:t xml:space="preserve"> </w:t>
      </w:r>
    </w:p>
    <w:p w14:paraId="5AC48599" w14:textId="77777777" w:rsidR="003D639D" w:rsidRPr="003C3179" w:rsidRDefault="003D639D" w:rsidP="003D639D">
      <w:pPr>
        <w:spacing w:before="240"/>
        <w:jc w:val="both"/>
        <w:rPr>
          <w:rFonts w:eastAsia="Times New Roman" w:cstheme="minorHAnsi"/>
          <w:color w:val="000000" w:themeColor="text1"/>
          <w:lang w:eastAsia="en-GB"/>
        </w:rPr>
      </w:pPr>
      <w:r>
        <w:rPr>
          <w:rFonts w:eastAsia="Times New Roman" w:cstheme="minorHAnsi"/>
          <w:color w:val="000000" w:themeColor="text1"/>
          <w:lang w:eastAsia="en-GB"/>
        </w:rPr>
        <w:t xml:space="preserve">View the full story and information on how to register </w:t>
      </w:r>
      <w:hyperlink r:id="rId34" w:history="1">
        <w:r w:rsidRPr="00BA28E5">
          <w:rPr>
            <w:rStyle w:val="Hyperlink"/>
            <w:rFonts w:eastAsia="Times New Roman" w:cstheme="minorHAnsi"/>
            <w:lang w:eastAsia="en-GB"/>
          </w:rPr>
          <w:t>here</w:t>
        </w:r>
      </w:hyperlink>
      <w:r>
        <w:rPr>
          <w:rFonts w:eastAsia="Times New Roman" w:cstheme="minorHAnsi"/>
          <w:color w:val="000000" w:themeColor="text1"/>
          <w:lang w:eastAsia="en-GB"/>
        </w:rPr>
        <w:t xml:space="preserve">. </w:t>
      </w:r>
    </w:p>
    <w:p w14:paraId="404614E6" w14:textId="77777777" w:rsidR="003D639D" w:rsidRPr="00DE1872" w:rsidRDefault="003D639D" w:rsidP="003D639D"/>
    <w:p w14:paraId="5B9C9EFC" w14:textId="77777777" w:rsidR="003D639D" w:rsidRPr="00DE1872" w:rsidRDefault="003D639D" w:rsidP="003D639D"/>
    <w:p w14:paraId="228C04D0" w14:textId="77777777" w:rsidR="003D639D" w:rsidRDefault="003D639D" w:rsidP="003D639D">
      <w:pPr>
        <w:rPr>
          <w:rFonts w:ascii="Calibri Light" w:eastAsia="Calibri Light" w:hAnsi="Calibri Light" w:cs="Calibri Light"/>
          <w:color w:val="44546A" w:themeColor="text2"/>
          <w:sz w:val="32"/>
          <w:szCs w:val="32"/>
        </w:rPr>
      </w:pPr>
      <w:bookmarkStart w:id="9" w:name="payment_table"/>
      <w:r w:rsidRPr="47EEB0E0">
        <w:rPr>
          <w:rFonts w:ascii="Calibri Light" w:eastAsia="Calibri Light" w:hAnsi="Calibri Light" w:cs="Calibri Light"/>
          <w:color w:val="1F487C"/>
          <w:sz w:val="32"/>
          <w:szCs w:val="32"/>
        </w:rPr>
        <w:t>Summary of new payments including claiming deadlines</w:t>
      </w:r>
    </w:p>
    <w:bookmarkEnd w:id="9"/>
    <w:p w14:paraId="70A15C2D" w14:textId="77777777" w:rsidR="003D639D" w:rsidRPr="00AE69D6" w:rsidRDefault="003D639D" w:rsidP="003D639D">
      <w:pPr>
        <w:rPr>
          <w:rFonts w:ascii="Calibri Light" w:eastAsia="Calibri Light" w:hAnsi="Calibri Light" w:cs="Calibri Light"/>
          <w:b/>
          <w:bCs/>
          <w:color w:val="44546A" w:themeColor="text2"/>
        </w:rPr>
      </w:pPr>
    </w:p>
    <w:p w14:paraId="795A2886" w14:textId="77777777" w:rsidR="003D639D" w:rsidRPr="00194DA8" w:rsidRDefault="003D639D" w:rsidP="003D639D">
      <w:pPr>
        <w:jc w:val="both"/>
      </w:pPr>
      <w:r w:rsidRPr="00194DA8">
        <w:t xml:space="preserve">The Dispensing &amp; Supply team has created a payment timetable and deadline tracker to assist community pharmacy contractors with checking and claiming payments for services including the  </w:t>
      </w:r>
      <w:hyperlink r:id="rId35" w:history="1">
        <w:r w:rsidRPr="00194DA8">
          <w:rPr>
            <w:rStyle w:val="Hyperlink"/>
          </w:rPr>
          <w:t>Covid-19 Costs</w:t>
        </w:r>
      </w:hyperlink>
      <w:r w:rsidRPr="00194DA8">
        <w:t>, </w:t>
      </w:r>
      <w:hyperlink r:id="rId36" w:tgtFrame="_blank" w:history="1">
        <w:r w:rsidRPr="00194DA8">
          <w:rPr>
            <w:rStyle w:val="Hyperlink"/>
          </w:rPr>
          <w:t>Pharmacy Quality Scheme (PQS) 2020/21 Part 2</w:t>
        </w:r>
      </w:hyperlink>
      <w:r w:rsidRPr="00194DA8">
        <w:t>, </w:t>
      </w:r>
      <w:hyperlink r:id="rId37" w:history="1">
        <w:r w:rsidRPr="00194DA8">
          <w:rPr>
            <w:rStyle w:val="Hyperlink"/>
          </w:rPr>
          <w:t>C-19 lateral flow device distribution service</w:t>
        </w:r>
      </w:hyperlink>
      <w:r w:rsidRPr="00194DA8">
        <w:t>, </w:t>
      </w:r>
      <w:hyperlink r:id="rId38" w:tgtFrame="_blank" w:history="1">
        <w:r w:rsidRPr="00194DA8">
          <w:rPr>
            <w:rStyle w:val="Hyperlink"/>
          </w:rPr>
          <w:t>Pandemic Delivery Service</w:t>
        </w:r>
      </w:hyperlink>
      <w:r w:rsidRPr="00194DA8">
        <w:t>, </w:t>
      </w:r>
      <w:hyperlink r:id="rId39" w:tgtFrame="_blank" w:history="1">
        <w:r w:rsidRPr="00194DA8">
          <w:rPr>
            <w:rStyle w:val="Hyperlink"/>
          </w:rPr>
          <w:t>GP Community Pharmacist Consultation Service (CPCS)</w:t>
        </w:r>
      </w:hyperlink>
      <w:r w:rsidRPr="00194DA8">
        <w:t>, </w:t>
      </w:r>
      <w:hyperlink r:id="rId40" w:tgtFrame="_blank" w:history="1">
        <w:r w:rsidRPr="00194DA8">
          <w:rPr>
            <w:rStyle w:val="Hyperlink"/>
          </w:rPr>
          <w:t>Discharge Medicines Service</w:t>
        </w:r>
      </w:hyperlink>
      <w:r w:rsidRPr="00194DA8">
        <w:t>,  </w:t>
      </w:r>
      <w:hyperlink r:id="rId41" w:history="1">
        <w:r w:rsidRPr="00194DA8">
          <w:rPr>
            <w:rStyle w:val="Hyperlink"/>
          </w:rPr>
          <w:t>Covid-19 vaccinations</w:t>
        </w:r>
      </w:hyperlink>
      <w:r w:rsidRPr="00194DA8">
        <w:t> and </w:t>
      </w:r>
      <w:hyperlink r:id="rId42" w:tgtFrame="_blank" w:history="1">
        <w:r w:rsidRPr="00194DA8">
          <w:rPr>
            <w:rStyle w:val="Hyperlink"/>
          </w:rPr>
          <w:t>Hepatitis C testing service</w:t>
        </w:r>
      </w:hyperlink>
      <w:r w:rsidRPr="00194DA8">
        <w:t>. </w:t>
      </w:r>
    </w:p>
    <w:p w14:paraId="12D19864" w14:textId="77777777" w:rsidR="003D639D" w:rsidRDefault="003D639D" w:rsidP="003D639D">
      <w:pPr>
        <w:jc w:val="both"/>
      </w:pPr>
    </w:p>
    <w:p w14:paraId="0DCFE39C" w14:textId="77777777" w:rsidR="003D639D" w:rsidRPr="00194DA8" w:rsidRDefault="003D639D" w:rsidP="003D639D">
      <w:pPr>
        <w:jc w:val="both"/>
      </w:pPr>
      <w:r>
        <w:t>The table</w:t>
      </w:r>
      <w:r w:rsidRPr="00194DA8">
        <w:t xml:space="preserve"> below</w:t>
      </w:r>
      <w:r>
        <w:t xml:space="preserve"> outlines payments for different services providing details of any claim deadlines (where applicable), how to claim, timing of payments, payment amounts and how these payments will appear on the Schedule of Payments.</w:t>
      </w:r>
    </w:p>
    <w:p w14:paraId="7B5BA2BF" w14:textId="77777777" w:rsidR="003D639D" w:rsidRDefault="003D639D" w:rsidP="003D639D"/>
    <w:tbl>
      <w:tblPr>
        <w:tblW w:w="1105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882"/>
        <w:gridCol w:w="1624"/>
        <w:gridCol w:w="2138"/>
        <w:gridCol w:w="2862"/>
        <w:gridCol w:w="2551"/>
      </w:tblGrid>
      <w:tr w:rsidR="003D639D" w:rsidRPr="00CC1A8E" w14:paraId="24B9C6FB" w14:textId="77777777" w:rsidTr="009E3076">
        <w:trPr>
          <w:trHeight w:val="360"/>
          <w:tblHeader/>
        </w:trPr>
        <w:tc>
          <w:tcPr>
            <w:tcW w:w="1882" w:type="dxa"/>
            <w:shd w:val="clear" w:color="auto" w:fill="C3137B"/>
            <w:tcMar>
              <w:top w:w="120" w:type="dxa"/>
              <w:left w:w="120" w:type="dxa"/>
              <w:bottom w:w="120" w:type="dxa"/>
              <w:right w:w="120" w:type="dxa"/>
            </w:tcMar>
            <w:vAlign w:val="center"/>
            <w:hideMark/>
          </w:tcPr>
          <w:p w14:paraId="057F79BE" w14:textId="77777777" w:rsidR="003D639D" w:rsidRPr="00CC1A8E" w:rsidRDefault="003D639D" w:rsidP="009E3076">
            <w:pPr>
              <w:spacing w:before="225" w:after="225"/>
              <w:jc w:val="center"/>
              <w:rPr>
                <w:rFonts w:eastAsia="Times New Roman" w:cstheme="minorHAnsi"/>
                <w:color w:val="444444"/>
              </w:rPr>
            </w:pPr>
            <w:r w:rsidRPr="00CC1A8E">
              <w:rPr>
                <w:rStyle w:val="Strong"/>
                <w:rFonts w:cstheme="minorHAnsi"/>
                <w:color w:val="FFFFFF"/>
              </w:rPr>
              <w:t>Payment type</w:t>
            </w:r>
          </w:p>
        </w:tc>
        <w:tc>
          <w:tcPr>
            <w:tcW w:w="1624" w:type="dxa"/>
            <w:shd w:val="clear" w:color="auto" w:fill="C3137B"/>
            <w:tcMar>
              <w:top w:w="120" w:type="dxa"/>
              <w:left w:w="120" w:type="dxa"/>
              <w:bottom w:w="120" w:type="dxa"/>
              <w:right w:w="120" w:type="dxa"/>
            </w:tcMar>
            <w:vAlign w:val="center"/>
            <w:hideMark/>
          </w:tcPr>
          <w:p w14:paraId="066E2759" w14:textId="77777777" w:rsidR="003D639D" w:rsidRPr="00CC1A8E" w:rsidRDefault="003D639D" w:rsidP="009E3076">
            <w:pPr>
              <w:spacing w:before="225" w:after="225"/>
              <w:jc w:val="center"/>
              <w:rPr>
                <w:rFonts w:cstheme="minorHAnsi"/>
                <w:color w:val="444444"/>
              </w:rPr>
            </w:pPr>
            <w:r w:rsidRPr="00CC1A8E">
              <w:rPr>
                <w:rStyle w:val="Strong"/>
                <w:rFonts w:cstheme="minorHAnsi"/>
                <w:color w:val="FFFFFF"/>
              </w:rPr>
              <w:t>Claim method</w:t>
            </w:r>
            <w:r w:rsidRPr="00CC1A8E">
              <w:rPr>
                <w:rFonts w:cstheme="minorHAnsi"/>
                <w:color w:val="444444"/>
              </w:rPr>
              <w:br/>
            </w:r>
            <w:r w:rsidRPr="00CC1A8E">
              <w:rPr>
                <w:rStyle w:val="Strong"/>
                <w:rFonts w:cstheme="minorHAnsi"/>
                <w:color w:val="FFFFFF"/>
              </w:rPr>
              <w:t>(deadline to claim for payment)</w:t>
            </w:r>
          </w:p>
        </w:tc>
        <w:tc>
          <w:tcPr>
            <w:tcW w:w="2138" w:type="dxa"/>
            <w:shd w:val="clear" w:color="auto" w:fill="C3137B"/>
            <w:tcMar>
              <w:top w:w="120" w:type="dxa"/>
              <w:left w:w="120" w:type="dxa"/>
              <w:bottom w:w="120" w:type="dxa"/>
              <w:right w:w="120" w:type="dxa"/>
            </w:tcMar>
            <w:vAlign w:val="center"/>
            <w:hideMark/>
          </w:tcPr>
          <w:p w14:paraId="4AE83316" w14:textId="77777777" w:rsidR="003D639D" w:rsidRPr="00CC1A8E" w:rsidRDefault="003D639D" w:rsidP="009E3076">
            <w:pPr>
              <w:spacing w:before="225" w:after="225"/>
              <w:jc w:val="center"/>
              <w:rPr>
                <w:rFonts w:cstheme="minorHAnsi"/>
                <w:color w:val="444444"/>
              </w:rPr>
            </w:pPr>
            <w:r w:rsidRPr="00CC1A8E">
              <w:rPr>
                <w:rStyle w:val="Strong"/>
                <w:rFonts w:cstheme="minorHAnsi"/>
                <w:color w:val="FFFFFF"/>
              </w:rPr>
              <w:t>Payment due</w:t>
            </w:r>
          </w:p>
        </w:tc>
        <w:tc>
          <w:tcPr>
            <w:tcW w:w="2862" w:type="dxa"/>
            <w:shd w:val="clear" w:color="auto" w:fill="C3137B"/>
            <w:tcMar>
              <w:top w:w="120" w:type="dxa"/>
              <w:left w:w="120" w:type="dxa"/>
              <w:bottom w:w="120" w:type="dxa"/>
              <w:right w:w="120" w:type="dxa"/>
            </w:tcMar>
            <w:vAlign w:val="center"/>
            <w:hideMark/>
          </w:tcPr>
          <w:p w14:paraId="48FC9DD8" w14:textId="77777777" w:rsidR="003D639D" w:rsidRPr="00CC1A8E" w:rsidRDefault="003D639D" w:rsidP="009E3076">
            <w:pPr>
              <w:spacing w:before="225" w:after="225"/>
              <w:jc w:val="center"/>
              <w:rPr>
                <w:rFonts w:cstheme="minorHAnsi"/>
                <w:color w:val="444444"/>
              </w:rPr>
            </w:pPr>
            <w:r w:rsidRPr="00CC1A8E">
              <w:rPr>
                <w:rStyle w:val="Strong"/>
                <w:rFonts w:cstheme="minorHAnsi"/>
                <w:color w:val="FFFFFF"/>
              </w:rPr>
              <w:t>Payment amount</w:t>
            </w:r>
          </w:p>
        </w:tc>
        <w:tc>
          <w:tcPr>
            <w:tcW w:w="2551" w:type="dxa"/>
            <w:shd w:val="clear" w:color="auto" w:fill="C3137B"/>
            <w:tcMar>
              <w:top w:w="120" w:type="dxa"/>
              <w:left w:w="120" w:type="dxa"/>
              <w:bottom w:w="120" w:type="dxa"/>
              <w:right w:w="120" w:type="dxa"/>
            </w:tcMar>
            <w:vAlign w:val="center"/>
            <w:hideMark/>
          </w:tcPr>
          <w:p w14:paraId="1E4052EB" w14:textId="77777777" w:rsidR="003D639D" w:rsidRPr="00CC1A8E" w:rsidRDefault="003D639D" w:rsidP="009E3076">
            <w:pPr>
              <w:spacing w:before="225" w:after="225"/>
              <w:jc w:val="center"/>
              <w:rPr>
                <w:rFonts w:cstheme="minorHAnsi"/>
                <w:color w:val="444444"/>
              </w:rPr>
            </w:pPr>
            <w:r w:rsidRPr="00CC1A8E">
              <w:rPr>
                <w:rStyle w:val="Strong"/>
                <w:rFonts w:cstheme="minorHAnsi"/>
                <w:color w:val="FFFFFF"/>
              </w:rPr>
              <w:t>How payment will appear on the Schedule of Payments under section of ‘Details of other amounts authorised’</w:t>
            </w:r>
          </w:p>
        </w:tc>
      </w:tr>
      <w:tr w:rsidR="003D639D" w:rsidRPr="00CC1A8E" w14:paraId="08F3ED42" w14:textId="77777777" w:rsidTr="009E3076">
        <w:trPr>
          <w:trHeight w:val="1406"/>
        </w:trPr>
        <w:tc>
          <w:tcPr>
            <w:tcW w:w="1882" w:type="dxa"/>
            <w:vMerge w:val="restart"/>
            <w:shd w:val="clear" w:color="auto" w:fill="5185CD"/>
            <w:tcMar>
              <w:top w:w="120" w:type="dxa"/>
              <w:left w:w="120" w:type="dxa"/>
              <w:bottom w:w="120" w:type="dxa"/>
              <w:right w:w="120" w:type="dxa"/>
            </w:tcMar>
            <w:vAlign w:val="center"/>
            <w:hideMark/>
          </w:tcPr>
          <w:p w14:paraId="06135B36" w14:textId="77777777" w:rsidR="003D639D" w:rsidRPr="00CC1A8E" w:rsidRDefault="003D639D" w:rsidP="009E3076">
            <w:pPr>
              <w:spacing w:before="225" w:after="225"/>
              <w:jc w:val="center"/>
              <w:rPr>
                <w:color w:val="444444"/>
              </w:rPr>
            </w:pPr>
            <w:r w:rsidRPr="0C3FD27D">
              <w:rPr>
                <w:rStyle w:val="Strong"/>
                <w:color w:val="FFFFFF" w:themeColor="background1"/>
              </w:rPr>
              <w:t>COVID-19 Costs</w:t>
            </w:r>
            <w:r>
              <w:br/>
            </w:r>
            <w:r w:rsidRPr="0C3FD27D">
              <w:rPr>
                <w:rStyle w:val="Strong"/>
                <w:color w:val="FFFFFF" w:themeColor="background1"/>
              </w:rPr>
              <w:t xml:space="preserve">(incurred between 1 March 2020 – 31 March </w:t>
            </w:r>
            <w:r w:rsidRPr="0C3FD27D">
              <w:rPr>
                <w:rStyle w:val="Strong"/>
                <w:color w:val="FFFFFF" w:themeColor="background1"/>
              </w:rPr>
              <w:lastRenderedPageBreak/>
              <w:t>2021 for the delivery of NHS pharmaceutical services)</w:t>
            </w:r>
          </w:p>
        </w:tc>
        <w:tc>
          <w:tcPr>
            <w:tcW w:w="1624" w:type="dxa"/>
            <w:vMerge w:val="restart"/>
            <w:tcMar>
              <w:top w:w="120" w:type="dxa"/>
              <w:left w:w="120" w:type="dxa"/>
              <w:bottom w:w="120" w:type="dxa"/>
              <w:right w:w="120" w:type="dxa"/>
            </w:tcMar>
            <w:vAlign w:val="center"/>
            <w:hideMark/>
          </w:tcPr>
          <w:p w14:paraId="2F9ED9CB" w14:textId="77777777" w:rsidR="003D639D" w:rsidRPr="00CC1A8E" w:rsidRDefault="00F76EBD" w:rsidP="009E3076">
            <w:pPr>
              <w:spacing w:before="225" w:after="225"/>
              <w:jc w:val="center"/>
              <w:rPr>
                <w:color w:val="444444"/>
              </w:rPr>
            </w:pPr>
            <w:hyperlink r:id="rId43">
              <w:r w:rsidR="003D639D" w:rsidRPr="2012C523">
                <w:rPr>
                  <w:rStyle w:val="Hyperlink"/>
                  <w:color w:val="4F3388"/>
                </w:rPr>
                <w:t>Claim form on NHSBSA website</w:t>
              </w:r>
            </w:hyperlink>
            <w:r w:rsidR="003D639D" w:rsidRPr="2012C523">
              <w:rPr>
                <w:color w:val="444444"/>
              </w:rPr>
              <w:t xml:space="preserve"> – </w:t>
            </w:r>
            <w:r w:rsidR="003D639D" w:rsidRPr="2012C523">
              <w:t xml:space="preserve">available from </w:t>
            </w:r>
            <w:r w:rsidR="003D639D" w:rsidRPr="2012C523">
              <w:lastRenderedPageBreak/>
              <w:t>5th July  (deadline to submit claim is</w:t>
            </w:r>
            <w:r w:rsidR="003D639D" w:rsidRPr="2012C523">
              <w:rPr>
                <w:color w:val="444444"/>
              </w:rPr>
              <w:t> </w:t>
            </w:r>
            <w:r w:rsidR="003D639D" w:rsidRPr="2012C523">
              <w:rPr>
                <w:rStyle w:val="Strong"/>
                <w:color w:val="FF9900"/>
              </w:rPr>
              <w:t>11:59pm on 15th August</w:t>
            </w:r>
            <w:r w:rsidR="003D639D" w:rsidRPr="2012C523">
              <w:t>)</w:t>
            </w:r>
          </w:p>
        </w:tc>
        <w:tc>
          <w:tcPr>
            <w:tcW w:w="2138" w:type="dxa"/>
            <w:vMerge w:val="restart"/>
            <w:tcMar>
              <w:top w:w="120" w:type="dxa"/>
              <w:left w:w="120" w:type="dxa"/>
              <w:bottom w:w="120" w:type="dxa"/>
              <w:right w:w="120" w:type="dxa"/>
            </w:tcMar>
            <w:vAlign w:val="center"/>
            <w:hideMark/>
          </w:tcPr>
          <w:p w14:paraId="7C161CE8" w14:textId="77777777" w:rsidR="003D639D" w:rsidRPr="00CC1A8E" w:rsidRDefault="003D639D" w:rsidP="009E3076">
            <w:pPr>
              <w:spacing w:before="225" w:after="225"/>
              <w:jc w:val="center"/>
            </w:pPr>
            <w:r w:rsidRPr="541BB74F">
              <w:lastRenderedPageBreak/>
              <w:t>1st October</w:t>
            </w:r>
          </w:p>
        </w:tc>
        <w:tc>
          <w:tcPr>
            <w:tcW w:w="2862" w:type="dxa"/>
            <w:vMerge w:val="restart"/>
            <w:tcMar>
              <w:top w:w="120" w:type="dxa"/>
              <w:left w:w="120" w:type="dxa"/>
              <w:bottom w:w="120" w:type="dxa"/>
              <w:right w:w="120" w:type="dxa"/>
            </w:tcMar>
            <w:vAlign w:val="center"/>
            <w:hideMark/>
          </w:tcPr>
          <w:p w14:paraId="775FDA27" w14:textId="77777777" w:rsidR="003D639D" w:rsidRPr="00086B0B" w:rsidRDefault="003D639D" w:rsidP="009E3076">
            <w:pPr>
              <w:pStyle w:val="NormalWeb"/>
              <w:spacing w:before="240"/>
              <w:rPr>
                <w:rFonts w:asciiTheme="minorHAnsi" w:hAnsiTheme="minorHAnsi" w:cstheme="minorHAnsi"/>
                <w:color w:val="000000" w:themeColor="text1"/>
                <w:sz w:val="22"/>
                <w:szCs w:val="22"/>
              </w:rPr>
            </w:pPr>
            <w:r w:rsidRPr="00086B0B">
              <w:rPr>
                <w:rFonts w:asciiTheme="minorHAnsi" w:hAnsiTheme="minorHAnsi" w:cstheme="minorHAnsi"/>
                <w:color w:val="000000" w:themeColor="text1"/>
                <w:sz w:val="22"/>
                <w:szCs w:val="22"/>
              </w:rPr>
              <w:t>Contractors can claim for the following:</w:t>
            </w:r>
          </w:p>
          <w:p w14:paraId="3340FD55" w14:textId="77777777" w:rsidR="003D639D" w:rsidRPr="00086B0B" w:rsidRDefault="003D639D" w:rsidP="009E3076">
            <w:pPr>
              <w:pStyle w:val="NormalWeb"/>
              <w:spacing w:before="240"/>
              <w:rPr>
                <w:rFonts w:asciiTheme="minorHAnsi" w:hAnsiTheme="minorHAnsi" w:cstheme="minorHAnsi"/>
                <w:color w:val="000000" w:themeColor="text1"/>
                <w:sz w:val="22"/>
                <w:szCs w:val="22"/>
              </w:rPr>
            </w:pPr>
            <w:r w:rsidRPr="00086B0B">
              <w:rPr>
                <w:rFonts w:asciiTheme="minorHAnsi" w:hAnsiTheme="minorHAnsi" w:cstheme="minorHAnsi"/>
                <w:color w:val="000000" w:themeColor="text1"/>
                <w:sz w:val="22"/>
                <w:szCs w:val="22"/>
              </w:rPr>
              <w:t xml:space="preserve">1. Additional staff costs due </w:t>
            </w:r>
            <w:r w:rsidRPr="00086B0B">
              <w:rPr>
                <w:rFonts w:asciiTheme="minorHAnsi" w:hAnsiTheme="minorHAnsi" w:cstheme="minorHAnsi"/>
                <w:color w:val="000000" w:themeColor="text1"/>
                <w:sz w:val="22"/>
                <w:szCs w:val="22"/>
              </w:rPr>
              <w:lastRenderedPageBreak/>
              <w:t>to COVID-19</w:t>
            </w:r>
          </w:p>
          <w:p w14:paraId="5F4386C2" w14:textId="77777777" w:rsidR="003D639D" w:rsidRPr="00086B0B" w:rsidRDefault="003D639D" w:rsidP="009E3076">
            <w:pPr>
              <w:pStyle w:val="NormalWeb"/>
              <w:spacing w:before="240"/>
              <w:rPr>
                <w:rFonts w:asciiTheme="minorHAnsi" w:hAnsiTheme="minorHAnsi" w:cstheme="minorHAnsi"/>
                <w:color w:val="000000" w:themeColor="text1"/>
                <w:sz w:val="22"/>
                <w:szCs w:val="22"/>
              </w:rPr>
            </w:pPr>
            <w:r w:rsidRPr="00086B0B">
              <w:rPr>
                <w:rFonts w:asciiTheme="minorHAnsi" w:hAnsiTheme="minorHAnsi" w:cstheme="minorHAnsi"/>
                <w:color w:val="000000" w:themeColor="text1"/>
                <w:sz w:val="22"/>
                <w:szCs w:val="22"/>
              </w:rPr>
              <w:t>2. Costs incurred to make premises COVID-19 secure</w:t>
            </w:r>
          </w:p>
          <w:p w14:paraId="3C95BB5C" w14:textId="77777777" w:rsidR="003D639D" w:rsidRPr="00086B0B" w:rsidRDefault="003D639D" w:rsidP="009E3076">
            <w:pPr>
              <w:pStyle w:val="NormalWeb"/>
              <w:spacing w:before="240"/>
              <w:rPr>
                <w:rFonts w:asciiTheme="minorHAnsi" w:hAnsiTheme="minorHAnsi" w:cstheme="minorHAnsi"/>
                <w:color w:val="000000" w:themeColor="text1"/>
                <w:sz w:val="22"/>
                <w:szCs w:val="22"/>
              </w:rPr>
            </w:pPr>
            <w:r w:rsidRPr="00086B0B">
              <w:rPr>
                <w:rFonts w:asciiTheme="minorHAnsi" w:hAnsiTheme="minorHAnsi" w:cstheme="minorHAnsi"/>
                <w:color w:val="000000" w:themeColor="text1"/>
                <w:sz w:val="22"/>
                <w:szCs w:val="22"/>
              </w:rPr>
              <w:t>3. IT and communication costs to support home working and virtual patient contact; and</w:t>
            </w:r>
            <w:r w:rsidRPr="00086B0B">
              <w:rPr>
                <w:rFonts w:asciiTheme="minorHAnsi" w:hAnsiTheme="minorHAnsi" w:cstheme="minorHAnsi"/>
                <w:color w:val="000000" w:themeColor="text1"/>
                <w:sz w:val="22"/>
                <w:szCs w:val="22"/>
              </w:rPr>
              <w:br/>
            </w:r>
            <w:r w:rsidRPr="00086B0B">
              <w:rPr>
                <w:rFonts w:asciiTheme="minorHAnsi" w:hAnsiTheme="minorHAnsi" w:cstheme="minorHAnsi"/>
                <w:color w:val="000000" w:themeColor="text1"/>
                <w:sz w:val="22"/>
                <w:szCs w:val="22"/>
              </w:rPr>
              <w:br/>
              <w:t>4. Notified closures for infection control purposes (maximum 14 days)</w:t>
            </w:r>
          </w:p>
        </w:tc>
        <w:tc>
          <w:tcPr>
            <w:tcW w:w="2551" w:type="dxa"/>
            <w:tcMar>
              <w:top w:w="120" w:type="dxa"/>
              <w:left w:w="120" w:type="dxa"/>
              <w:bottom w:w="120" w:type="dxa"/>
              <w:right w:w="120" w:type="dxa"/>
            </w:tcMar>
            <w:vAlign w:val="center"/>
            <w:hideMark/>
          </w:tcPr>
          <w:p w14:paraId="57418E10" w14:textId="77777777" w:rsidR="003D639D" w:rsidRPr="00086B0B" w:rsidRDefault="003D639D" w:rsidP="009E3076">
            <w:pPr>
              <w:pStyle w:val="NoSpacing"/>
              <w:jc w:val="center"/>
            </w:pPr>
            <w:r w:rsidRPr="00086B0B">
              <w:lastRenderedPageBreak/>
              <w:t>Reimbursement will appear as: ‘Reimbursement of Covid-19 costs’</w:t>
            </w:r>
          </w:p>
        </w:tc>
      </w:tr>
      <w:tr w:rsidR="003D639D" w:rsidRPr="00CC1A8E" w14:paraId="2F8BC5F3" w14:textId="77777777" w:rsidTr="009E3076">
        <w:trPr>
          <w:trHeight w:val="1407"/>
        </w:trPr>
        <w:tc>
          <w:tcPr>
            <w:tcW w:w="1882" w:type="dxa"/>
            <w:vMerge/>
            <w:tcMar>
              <w:top w:w="120" w:type="dxa"/>
              <w:left w:w="120" w:type="dxa"/>
              <w:bottom w:w="120" w:type="dxa"/>
              <w:right w:w="120" w:type="dxa"/>
            </w:tcMar>
            <w:vAlign w:val="center"/>
          </w:tcPr>
          <w:p w14:paraId="10E1B09B" w14:textId="77777777" w:rsidR="003D639D" w:rsidRPr="0C3FD27D" w:rsidRDefault="003D639D" w:rsidP="009E3076">
            <w:pPr>
              <w:spacing w:before="225" w:after="225"/>
              <w:jc w:val="center"/>
              <w:rPr>
                <w:rStyle w:val="Strong"/>
                <w:color w:val="FFFFFF" w:themeColor="background1"/>
              </w:rPr>
            </w:pPr>
          </w:p>
        </w:tc>
        <w:tc>
          <w:tcPr>
            <w:tcW w:w="1624" w:type="dxa"/>
            <w:vMerge/>
            <w:tcMar>
              <w:top w:w="120" w:type="dxa"/>
              <w:left w:w="120" w:type="dxa"/>
              <w:bottom w:w="120" w:type="dxa"/>
              <w:right w:w="120" w:type="dxa"/>
            </w:tcMar>
            <w:vAlign w:val="center"/>
          </w:tcPr>
          <w:p w14:paraId="3D40E38E" w14:textId="77777777" w:rsidR="003D639D" w:rsidRDefault="003D639D" w:rsidP="009E3076">
            <w:pPr>
              <w:spacing w:before="225" w:after="225"/>
              <w:jc w:val="center"/>
            </w:pPr>
          </w:p>
        </w:tc>
        <w:tc>
          <w:tcPr>
            <w:tcW w:w="2138" w:type="dxa"/>
            <w:vMerge/>
            <w:tcMar>
              <w:top w:w="120" w:type="dxa"/>
              <w:left w:w="120" w:type="dxa"/>
              <w:bottom w:w="120" w:type="dxa"/>
              <w:right w:w="120" w:type="dxa"/>
            </w:tcMar>
            <w:vAlign w:val="center"/>
          </w:tcPr>
          <w:p w14:paraId="7D668FBB" w14:textId="77777777" w:rsidR="003D639D" w:rsidRPr="00CC1A8E" w:rsidRDefault="003D639D" w:rsidP="009E3076">
            <w:pPr>
              <w:spacing w:before="225" w:after="225"/>
              <w:jc w:val="center"/>
              <w:rPr>
                <w:rFonts w:cstheme="minorHAnsi"/>
                <w:color w:val="444444"/>
              </w:rPr>
            </w:pPr>
          </w:p>
        </w:tc>
        <w:tc>
          <w:tcPr>
            <w:tcW w:w="2862" w:type="dxa"/>
            <w:vMerge/>
            <w:tcMar>
              <w:top w:w="120" w:type="dxa"/>
              <w:left w:w="120" w:type="dxa"/>
              <w:bottom w:w="120" w:type="dxa"/>
              <w:right w:w="120" w:type="dxa"/>
            </w:tcMar>
            <w:vAlign w:val="center"/>
          </w:tcPr>
          <w:p w14:paraId="62A4EE45" w14:textId="77777777" w:rsidR="003D639D" w:rsidRPr="00086B0B" w:rsidRDefault="003D639D" w:rsidP="009E3076">
            <w:pPr>
              <w:pStyle w:val="NormalWeb"/>
              <w:spacing w:before="240"/>
              <w:rPr>
                <w:rFonts w:asciiTheme="minorHAnsi" w:hAnsiTheme="minorHAnsi" w:cstheme="minorHAnsi"/>
                <w:color w:val="000000" w:themeColor="text1"/>
                <w:sz w:val="22"/>
                <w:szCs w:val="22"/>
              </w:rPr>
            </w:pPr>
          </w:p>
        </w:tc>
        <w:tc>
          <w:tcPr>
            <w:tcW w:w="2551" w:type="dxa"/>
            <w:tcMar>
              <w:top w:w="120" w:type="dxa"/>
              <w:left w:w="120" w:type="dxa"/>
              <w:bottom w:w="120" w:type="dxa"/>
              <w:right w:w="120" w:type="dxa"/>
            </w:tcMar>
            <w:vAlign w:val="center"/>
          </w:tcPr>
          <w:p w14:paraId="6C55B849" w14:textId="77777777" w:rsidR="003D639D" w:rsidRPr="00086B0B" w:rsidRDefault="003D639D" w:rsidP="009E3076">
            <w:pPr>
              <w:pStyle w:val="NoSpacing"/>
              <w:jc w:val="center"/>
            </w:pPr>
            <w:r w:rsidRPr="00086B0B">
              <w:t>Adjustment will appear as:</w:t>
            </w:r>
            <w:r w:rsidRPr="00086B0B">
              <w:br/>
              <w:t>‘Reimbursement of Covid-19 costs adj’</w:t>
            </w:r>
          </w:p>
        </w:tc>
      </w:tr>
      <w:tr w:rsidR="003D639D" w:rsidRPr="00CC1A8E" w14:paraId="5E79B269" w14:textId="77777777" w:rsidTr="009E3076">
        <w:trPr>
          <w:trHeight w:val="1407"/>
        </w:trPr>
        <w:tc>
          <w:tcPr>
            <w:tcW w:w="1882" w:type="dxa"/>
            <w:vMerge/>
            <w:tcMar>
              <w:top w:w="120" w:type="dxa"/>
              <w:left w:w="120" w:type="dxa"/>
              <w:bottom w:w="120" w:type="dxa"/>
              <w:right w:w="120" w:type="dxa"/>
            </w:tcMar>
            <w:vAlign w:val="center"/>
          </w:tcPr>
          <w:p w14:paraId="2035D7D1" w14:textId="77777777" w:rsidR="003D639D" w:rsidRPr="0C3FD27D" w:rsidRDefault="003D639D" w:rsidP="009E3076">
            <w:pPr>
              <w:spacing w:before="225" w:after="225"/>
              <w:jc w:val="center"/>
              <w:rPr>
                <w:rStyle w:val="Strong"/>
                <w:color w:val="FFFFFF" w:themeColor="background1"/>
              </w:rPr>
            </w:pPr>
          </w:p>
        </w:tc>
        <w:tc>
          <w:tcPr>
            <w:tcW w:w="1624" w:type="dxa"/>
            <w:vMerge/>
            <w:tcMar>
              <w:top w:w="120" w:type="dxa"/>
              <w:left w:w="120" w:type="dxa"/>
              <w:bottom w:w="120" w:type="dxa"/>
              <w:right w:w="120" w:type="dxa"/>
            </w:tcMar>
            <w:vAlign w:val="center"/>
          </w:tcPr>
          <w:p w14:paraId="4CA52CEA" w14:textId="77777777" w:rsidR="003D639D" w:rsidRDefault="003D639D" w:rsidP="009E3076">
            <w:pPr>
              <w:spacing w:before="225" w:after="225"/>
              <w:jc w:val="center"/>
            </w:pPr>
          </w:p>
        </w:tc>
        <w:tc>
          <w:tcPr>
            <w:tcW w:w="2138" w:type="dxa"/>
            <w:vMerge/>
            <w:tcMar>
              <w:top w:w="120" w:type="dxa"/>
              <w:left w:w="120" w:type="dxa"/>
              <w:bottom w:w="120" w:type="dxa"/>
              <w:right w:w="120" w:type="dxa"/>
            </w:tcMar>
            <w:vAlign w:val="center"/>
          </w:tcPr>
          <w:p w14:paraId="77B8EB7D" w14:textId="77777777" w:rsidR="003D639D" w:rsidRPr="00CC1A8E" w:rsidRDefault="003D639D" w:rsidP="009E3076">
            <w:pPr>
              <w:spacing w:before="225" w:after="225"/>
              <w:jc w:val="center"/>
              <w:rPr>
                <w:rFonts w:cstheme="minorHAnsi"/>
                <w:color w:val="444444"/>
              </w:rPr>
            </w:pPr>
          </w:p>
        </w:tc>
        <w:tc>
          <w:tcPr>
            <w:tcW w:w="2862" w:type="dxa"/>
            <w:vMerge/>
            <w:tcMar>
              <w:top w:w="120" w:type="dxa"/>
              <w:left w:w="120" w:type="dxa"/>
              <w:bottom w:w="120" w:type="dxa"/>
              <w:right w:w="120" w:type="dxa"/>
            </w:tcMar>
            <w:vAlign w:val="center"/>
          </w:tcPr>
          <w:p w14:paraId="0C2F1C7D" w14:textId="77777777" w:rsidR="003D639D" w:rsidRPr="00086B0B" w:rsidRDefault="003D639D" w:rsidP="009E3076">
            <w:pPr>
              <w:pStyle w:val="NormalWeb"/>
              <w:spacing w:before="240"/>
              <w:rPr>
                <w:rFonts w:asciiTheme="minorHAnsi" w:hAnsiTheme="minorHAnsi" w:cstheme="minorHAnsi"/>
                <w:color w:val="000000" w:themeColor="text1"/>
                <w:sz w:val="22"/>
                <w:szCs w:val="22"/>
              </w:rPr>
            </w:pPr>
          </w:p>
        </w:tc>
        <w:tc>
          <w:tcPr>
            <w:tcW w:w="2551" w:type="dxa"/>
            <w:tcMar>
              <w:top w:w="120" w:type="dxa"/>
              <w:left w:w="120" w:type="dxa"/>
              <w:bottom w:w="120" w:type="dxa"/>
              <w:right w:w="120" w:type="dxa"/>
            </w:tcMar>
            <w:vAlign w:val="center"/>
          </w:tcPr>
          <w:p w14:paraId="0664A77A" w14:textId="77777777" w:rsidR="003D639D" w:rsidRPr="00086B0B" w:rsidRDefault="003D639D" w:rsidP="009E3076">
            <w:pPr>
              <w:pStyle w:val="NoSpacing"/>
              <w:jc w:val="center"/>
            </w:pPr>
            <w:r w:rsidRPr="00086B0B">
              <w:t>Recovery will</w:t>
            </w:r>
            <w:r>
              <w:t xml:space="preserve"> </w:t>
            </w:r>
            <w:r w:rsidRPr="00086B0B">
              <w:t>appear as:</w:t>
            </w:r>
            <w:r w:rsidRPr="00086B0B">
              <w:br/>
              <w:t>‘Recovery of 20/21 Covid-19 Cash Advance’</w:t>
            </w:r>
          </w:p>
        </w:tc>
      </w:tr>
      <w:tr w:rsidR="003D639D" w:rsidRPr="00CC1A8E" w14:paraId="28E18339" w14:textId="77777777" w:rsidTr="009E3076">
        <w:tc>
          <w:tcPr>
            <w:tcW w:w="1882" w:type="dxa"/>
            <w:shd w:val="clear" w:color="auto" w:fill="5185CD"/>
            <w:tcMar>
              <w:top w:w="120" w:type="dxa"/>
              <w:left w:w="120" w:type="dxa"/>
              <w:bottom w:w="120" w:type="dxa"/>
              <w:right w:w="120" w:type="dxa"/>
            </w:tcMar>
            <w:vAlign w:val="center"/>
            <w:hideMark/>
          </w:tcPr>
          <w:p w14:paraId="7DBE3DBB" w14:textId="77777777" w:rsidR="003D639D" w:rsidRPr="00CC1A8E" w:rsidRDefault="003D639D" w:rsidP="009E3076">
            <w:pPr>
              <w:jc w:val="center"/>
              <w:rPr>
                <w:rFonts w:cstheme="minorHAnsi"/>
                <w:color w:val="444444"/>
              </w:rPr>
            </w:pPr>
            <w:r w:rsidRPr="00CC1A8E">
              <w:rPr>
                <w:rStyle w:val="Strong"/>
                <w:rFonts w:cstheme="minorHAnsi"/>
                <w:color w:val="FFFFFF"/>
              </w:rPr>
              <w:t>COVID-19 Lateral Flow Device Distribution Service</w:t>
            </w:r>
          </w:p>
        </w:tc>
        <w:tc>
          <w:tcPr>
            <w:tcW w:w="1624" w:type="dxa"/>
            <w:tcMar>
              <w:top w:w="120" w:type="dxa"/>
              <w:left w:w="120" w:type="dxa"/>
              <w:bottom w:w="120" w:type="dxa"/>
              <w:right w:w="120" w:type="dxa"/>
            </w:tcMar>
            <w:vAlign w:val="center"/>
            <w:hideMark/>
          </w:tcPr>
          <w:p w14:paraId="06533C1A" w14:textId="77777777" w:rsidR="003D639D" w:rsidRPr="00086B0B" w:rsidRDefault="003D639D" w:rsidP="009E3076">
            <w:pPr>
              <w:jc w:val="center"/>
              <w:rPr>
                <w:rFonts w:cstheme="minorHAnsi"/>
                <w:color w:val="000000" w:themeColor="text1"/>
              </w:rPr>
            </w:pPr>
            <w:r w:rsidRPr="00086B0B">
              <w:rPr>
                <w:rFonts w:cstheme="minorHAnsi"/>
                <w:color w:val="000000" w:themeColor="text1"/>
              </w:rPr>
              <w:t>MYS</w:t>
            </w:r>
          </w:p>
          <w:p w14:paraId="42356D03" w14:textId="77777777" w:rsidR="003D639D" w:rsidRPr="00086B0B" w:rsidRDefault="003D639D" w:rsidP="009E3076">
            <w:pPr>
              <w:jc w:val="center"/>
              <w:rPr>
                <w:rFonts w:cstheme="minorHAnsi"/>
                <w:color w:val="000000" w:themeColor="text1"/>
              </w:rPr>
            </w:pPr>
            <w:r w:rsidRPr="00086B0B">
              <w:rPr>
                <w:rFonts w:cstheme="minorHAnsi"/>
                <w:color w:val="000000" w:themeColor="text1"/>
              </w:rPr>
              <w:t>(by the 5th day of the following month) Appropriate payments, will correspond to the weekly reporting cycle, on the same payment date as other payments for NHS Pharmaceutical Services</w:t>
            </w:r>
          </w:p>
        </w:tc>
        <w:tc>
          <w:tcPr>
            <w:tcW w:w="2138" w:type="dxa"/>
            <w:tcMar>
              <w:top w:w="120" w:type="dxa"/>
              <w:left w:w="120" w:type="dxa"/>
              <w:bottom w:w="120" w:type="dxa"/>
              <w:right w:w="120" w:type="dxa"/>
            </w:tcMar>
            <w:vAlign w:val="center"/>
            <w:hideMark/>
          </w:tcPr>
          <w:p w14:paraId="16A3F571" w14:textId="77777777" w:rsidR="003D639D" w:rsidRPr="00086B0B" w:rsidRDefault="003D639D" w:rsidP="009E3076">
            <w:pPr>
              <w:jc w:val="center"/>
              <w:rPr>
                <w:rFonts w:cstheme="minorHAnsi"/>
                <w:color w:val="000000" w:themeColor="text1"/>
              </w:rPr>
            </w:pPr>
            <w:r w:rsidRPr="00086B0B">
              <w:rPr>
                <w:rFonts w:cstheme="minorHAnsi"/>
                <w:color w:val="000000" w:themeColor="text1"/>
              </w:rPr>
              <w:t>Monthly – service currently extended until </w:t>
            </w:r>
            <w:r w:rsidRPr="00086B0B">
              <w:rPr>
                <w:rStyle w:val="Strong"/>
                <w:rFonts w:cstheme="minorHAnsi"/>
                <w:color w:val="000000" w:themeColor="text1"/>
              </w:rPr>
              <w:t>29th August</w:t>
            </w:r>
          </w:p>
        </w:tc>
        <w:tc>
          <w:tcPr>
            <w:tcW w:w="2862" w:type="dxa"/>
            <w:tcMar>
              <w:top w:w="120" w:type="dxa"/>
              <w:left w:w="120" w:type="dxa"/>
              <w:bottom w:w="120" w:type="dxa"/>
              <w:right w:w="120" w:type="dxa"/>
            </w:tcMar>
            <w:vAlign w:val="center"/>
            <w:hideMark/>
          </w:tcPr>
          <w:p w14:paraId="2B0BB25D" w14:textId="77777777" w:rsidR="003D639D" w:rsidRPr="00086B0B" w:rsidRDefault="003D639D" w:rsidP="009E3076">
            <w:pPr>
              <w:jc w:val="center"/>
              <w:rPr>
                <w:rFonts w:cstheme="minorHAnsi"/>
                <w:color w:val="000000" w:themeColor="text1"/>
              </w:rPr>
            </w:pPr>
            <w:r w:rsidRPr="00086B0B">
              <w:rPr>
                <w:rFonts w:cstheme="minorHAnsi"/>
                <w:color w:val="000000" w:themeColor="text1"/>
              </w:rPr>
              <w:t>£1.50 + VAT Service fee per transaction</w:t>
            </w:r>
          </w:p>
        </w:tc>
        <w:tc>
          <w:tcPr>
            <w:tcW w:w="2551" w:type="dxa"/>
            <w:tcMar>
              <w:top w:w="120" w:type="dxa"/>
              <w:left w:w="120" w:type="dxa"/>
              <w:bottom w:w="120" w:type="dxa"/>
              <w:right w:w="120" w:type="dxa"/>
            </w:tcMar>
            <w:vAlign w:val="center"/>
            <w:hideMark/>
          </w:tcPr>
          <w:p w14:paraId="7AC66A1B" w14:textId="77777777" w:rsidR="003D639D" w:rsidRPr="00086B0B" w:rsidRDefault="003D639D" w:rsidP="009E3076">
            <w:pPr>
              <w:jc w:val="center"/>
              <w:rPr>
                <w:rFonts w:cstheme="minorHAnsi"/>
                <w:color w:val="000000" w:themeColor="text1"/>
              </w:rPr>
            </w:pPr>
            <w:r w:rsidRPr="00086B0B">
              <w:rPr>
                <w:rFonts w:cstheme="minorHAnsi"/>
                <w:color w:val="000000" w:themeColor="text1"/>
              </w:rPr>
              <w:t>‘COVID Testing Kit’</w:t>
            </w:r>
          </w:p>
        </w:tc>
      </w:tr>
      <w:tr w:rsidR="003D639D" w:rsidRPr="00CC1A8E" w14:paraId="1A648D81" w14:textId="77777777" w:rsidTr="009E3076">
        <w:tc>
          <w:tcPr>
            <w:tcW w:w="1882" w:type="dxa"/>
            <w:shd w:val="clear" w:color="auto" w:fill="5185CD"/>
            <w:tcMar>
              <w:top w:w="120" w:type="dxa"/>
              <w:left w:w="120" w:type="dxa"/>
              <w:bottom w:w="120" w:type="dxa"/>
              <w:right w:w="120" w:type="dxa"/>
            </w:tcMar>
            <w:vAlign w:val="center"/>
            <w:hideMark/>
          </w:tcPr>
          <w:p w14:paraId="6E73ED75" w14:textId="77777777" w:rsidR="003D639D" w:rsidRPr="00CC1A8E" w:rsidRDefault="003D639D" w:rsidP="009E3076">
            <w:pPr>
              <w:jc w:val="center"/>
              <w:rPr>
                <w:rFonts w:cstheme="minorHAnsi"/>
                <w:color w:val="444444"/>
              </w:rPr>
            </w:pPr>
            <w:r w:rsidRPr="00CC1A8E">
              <w:rPr>
                <w:rStyle w:val="Strong"/>
                <w:rFonts w:cstheme="minorHAnsi"/>
                <w:color w:val="FFFFFF"/>
              </w:rPr>
              <w:t>COVID-19 Lateral Flow Device Distribution Service Set-Up Fee</w:t>
            </w:r>
          </w:p>
        </w:tc>
        <w:tc>
          <w:tcPr>
            <w:tcW w:w="1624" w:type="dxa"/>
            <w:tcMar>
              <w:top w:w="120" w:type="dxa"/>
              <w:left w:w="120" w:type="dxa"/>
              <w:bottom w:w="120" w:type="dxa"/>
              <w:right w:w="120" w:type="dxa"/>
            </w:tcMar>
            <w:vAlign w:val="center"/>
            <w:hideMark/>
          </w:tcPr>
          <w:p w14:paraId="706993D8" w14:textId="77777777" w:rsidR="003D639D" w:rsidRPr="00086B0B" w:rsidRDefault="003D639D" w:rsidP="009E3076">
            <w:pPr>
              <w:jc w:val="center"/>
              <w:rPr>
                <w:rFonts w:cstheme="minorHAnsi"/>
                <w:color w:val="000000" w:themeColor="text1"/>
              </w:rPr>
            </w:pPr>
            <w:r w:rsidRPr="00086B0B">
              <w:rPr>
                <w:rFonts w:cstheme="minorHAnsi"/>
                <w:color w:val="000000" w:themeColor="text1"/>
              </w:rPr>
              <w:t>MYS</w:t>
            </w:r>
          </w:p>
        </w:tc>
        <w:tc>
          <w:tcPr>
            <w:tcW w:w="2138" w:type="dxa"/>
            <w:tcMar>
              <w:top w:w="120" w:type="dxa"/>
              <w:left w:w="120" w:type="dxa"/>
              <w:bottom w:w="120" w:type="dxa"/>
              <w:right w:w="120" w:type="dxa"/>
            </w:tcMar>
            <w:vAlign w:val="center"/>
            <w:hideMark/>
          </w:tcPr>
          <w:p w14:paraId="1D59A681" w14:textId="77777777" w:rsidR="003D639D" w:rsidRPr="00086B0B" w:rsidRDefault="003D639D" w:rsidP="009E3076">
            <w:pPr>
              <w:jc w:val="center"/>
              <w:rPr>
                <w:rFonts w:cstheme="minorHAnsi"/>
                <w:color w:val="000000" w:themeColor="text1"/>
              </w:rPr>
            </w:pPr>
            <w:r w:rsidRPr="00086B0B">
              <w:rPr>
                <w:rFonts w:cstheme="minorHAnsi"/>
                <w:color w:val="000000" w:themeColor="text1"/>
              </w:rPr>
              <w:t>One-off payment</w:t>
            </w:r>
          </w:p>
        </w:tc>
        <w:tc>
          <w:tcPr>
            <w:tcW w:w="2862" w:type="dxa"/>
            <w:tcMar>
              <w:top w:w="120" w:type="dxa"/>
              <w:left w:w="120" w:type="dxa"/>
              <w:bottom w:w="120" w:type="dxa"/>
              <w:right w:w="120" w:type="dxa"/>
            </w:tcMar>
            <w:vAlign w:val="center"/>
            <w:hideMark/>
          </w:tcPr>
          <w:p w14:paraId="13555F09" w14:textId="77777777" w:rsidR="003D639D" w:rsidRPr="00086B0B" w:rsidRDefault="003D639D" w:rsidP="009E3076">
            <w:pPr>
              <w:jc w:val="center"/>
              <w:rPr>
                <w:rFonts w:cstheme="minorHAnsi"/>
                <w:color w:val="000000" w:themeColor="text1"/>
              </w:rPr>
            </w:pPr>
            <w:r w:rsidRPr="00086B0B">
              <w:rPr>
                <w:rFonts w:cstheme="minorHAnsi"/>
                <w:color w:val="000000" w:themeColor="text1"/>
              </w:rPr>
              <w:t>£250 + VAT</w:t>
            </w:r>
          </w:p>
        </w:tc>
        <w:tc>
          <w:tcPr>
            <w:tcW w:w="2551" w:type="dxa"/>
            <w:tcMar>
              <w:top w:w="120" w:type="dxa"/>
              <w:left w:w="120" w:type="dxa"/>
              <w:bottom w:w="120" w:type="dxa"/>
              <w:right w:w="120" w:type="dxa"/>
            </w:tcMar>
            <w:vAlign w:val="center"/>
            <w:hideMark/>
          </w:tcPr>
          <w:p w14:paraId="4D2B8A46" w14:textId="77777777" w:rsidR="003D639D" w:rsidRPr="00086B0B" w:rsidRDefault="003D639D" w:rsidP="009E3076">
            <w:pPr>
              <w:jc w:val="center"/>
              <w:rPr>
                <w:rFonts w:cstheme="minorHAnsi"/>
                <w:color w:val="000000" w:themeColor="text1"/>
              </w:rPr>
            </w:pPr>
            <w:r w:rsidRPr="00086B0B">
              <w:rPr>
                <w:rFonts w:cstheme="minorHAnsi"/>
                <w:color w:val="000000" w:themeColor="text1"/>
              </w:rPr>
              <w:t>‘COVID Test Kit Set up Fee’</w:t>
            </w:r>
          </w:p>
        </w:tc>
      </w:tr>
      <w:tr w:rsidR="003D639D" w:rsidRPr="00CC1A8E" w14:paraId="63154499" w14:textId="77777777" w:rsidTr="009E3076">
        <w:trPr>
          <w:trHeight w:val="360"/>
        </w:trPr>
        <w:tc>
          <w:tcPr>
            <w:tcW w:w="1882" w:type="dxa"/>
            <w:shd w:val="clear" w:color="auto" w:fill="5185CD"/>
            <w:tcMar>
              <w:top w:w="120" w:type="dxa"/>
              <w:left w:w="120" w:type="dxa"/>
              <w:bottom w:w="120" w:type="dxa"/>
              <w:right w:w="120" w:type="dxa"/>
            </w:tcMar>
            <w:vAlign w:val="center"/>
            <w:hideMark/>
          </w:tcPr>
          <w:p w14:paraId="1E953AD3" w14:textId="77777777" w:rsidR="003D639D" w:rsidRPr="00CC1A8E" w:rsidRDefault="003D639D" w:rsidP="009E3076">
            <w:pPr>
              <w:jc w:val="center"/>
              <w:rPr>
                <w:rFonts w:cstheme="minorHAnsi"/>
                <w:color w:val="444444"/>
              </w:rPr>
            </w:pPr>
            <w:r w:rsidRPr="00CC1A8E">
              <w:rPr>
                <w:rStyle w:val="Strong"/>
                <w:rFonts w:cstheme="minorHAnsi"/>
                <w:color w:val="FFFFFF"/>
              </w:rPr>
              <w:lastRenderedPageBreak/>
              <w:t>Pandemic Delivery Service (Essential service)*</w:t>
            </w:r>
          </w:p>
        </w:tc>
        <w:tc>
          <w:tcPr>
            <w:tcW w:w="1624" w:type="dxa"/>
            <w:tcMar>
              <w:top w:w="120" w:type="dxa"/>
              <w:left w:w="120" w:type="dxa"/>
              <w:bottom w:w="120" w:type="dxa"/>
              <w:right w:w="120" w:type="dxa"/>
            </w:tcMar>
            <w:vAlign w:val="center"/>
            <w:hideMark/>
          </w:tcPr>
          <w:p w14:paraId="5DFE6387" w14:textId="77777777" w:rsidR="003D639D" w:rsidRPr="00086B0B" w:rsidRDefault="003D639D" w:rsidP="009E3076">
            <w:pPr>
              <w:jc w:val="center"/>
              <w:rPr>
                <w:rFonts w:cstheme="minorHAnsi"/>
                <w:color w:val="000000" w:themeColor="text1"/>
              </w:rPr>
            </w:pPr>
            <w:r w:rsidRPr="00086B0B">
              <w:rPr>
                <w:rFonts w:cstheme="minorHAnsi"/>
                <w:color w:val="000000" w:themeColor="text1"/>
              </w:rPr>
              <w:t>Automatic</w:t>
            </w:r>
          </w:p>
        </w:tc>
        <w:tc>
          <w:tcPr>
            <w:tcW w:w="2138" w:type="dxa"/>
            <w:tcMar>
              <w:top w:w="120" w:type="dxa"/>
              <w:left w:w="120" w:type="dxa"/>
              <w:bottom w:w="120" w:type="dxa"/>
              <w:right w:w="120" w:type="dxa"/>
            </w:tcMar>
            <w:vAlign w:val="center"/>
            <w:hideMark/>
          </w:tcPr>
          <w:p w14:paraId="033D18B3" w14:textId="77777777" w:rsidR="003D639D" w:rsidRPr="00086B0B" w:rsidRDefault="003D639D" w:rsidP="009E3076">
            <w:pPr>
              <w:jc w:val="center"/>
              <w:rPr>
                <w:rFonts w:cstheme="minorHAnsi"/>
                <w:color w:val="000000" w:themeColor="text1"/>
              </w:rPr>
            </w:pPr>
            <w:r w:rsidRPr="00086B0B">
              <w:rPr>
                <w:rFonts w:cstheme="minorHAnsi"/>
                <w:color w:val="000000" w:themeColor="text1"/>
              </w:rPr>
              <w:t>Monthly</w:t>
            </w:r>
          </w:p>
          <w:p w14:paraId="59E938A8" w14:textId="77777777" w:rsidR="003D639D" w:rsidRPr="00086B0B" w:rsidRDefault="003D639D" w:rsidP="009E3076">
            <w:pPr>
              <w:jc w:val="center"/>
              <w:rPr>
                <w:rFonts w:cstheme="minorHAnsi"/>
                <w:color w:val="000000" w:themeColor="text1"/>
              </w:rPr>
            </w:pPr>
            <w:r w:rsidRPr="00086B0B">
              <w:rPr>
                <w:rFonts w:cstheme="minorHAnsi"/>
                <w:color w:val="000000" w:themeColor="text1"/>
              </w:rPr>
              <w:t>Self-isolating patients only </w:t>
            </w:r>
            <w:r w:rsidRPr="00086B0B">
              <w:rPr>
                <w:rStyle w:val="Strong"/>
                <w:rFonts w:cstheme="minorHAnsi"/>
                <w:color w:val="000000" w:themeColor="text1"/>
              </w:rPr>
              <w:t>(from 1st April 2021 onwards) </w:t>
            </w:r>
            <w:r w:rsidRPr="00086B0B">
              <w:rPr>
                <w:rFonts w:cstheme="minorHAnsi"/>
                <w:color w:val="000000" w:themeColor="text1"/>
              </w:rPr>
              <w:t>as confirmed by NHS Test and Trace (for the 10-day self-isolation period). This service will continue until </w:t>
            </w:r>
            <w:r w:rsidRPr="00086B0B">
              <w:rPr>
                <w:rStyle w:val="Strong"/>
                <w:rFonts w:cstheme="minorHAnsi"/>
                <w:color w:val="000000" w:themeColor="text1"/>
              </w:rPr>
              <w:t>23:59 on 30th September</w:t>
            </w:r>
          </w:p>
        </w:tc>
        <w:tc>
          <w:tcPr>
            <w:tcW w:w="2862" w:type="dxa"/>
            <w:tcMar>
              <w:top w:w="120" w:type="dxa"/>
              <w:left w:w="120" w:type="dxa"/>
              <w:bottom w:w="120" w:type="dxa"/>
              <w:right w:w="120" w:type="dxa"/>
            </w:tcMar>
            <w:vAlign w:val="center"/>
            <w:hideMark/>
          </w:tcPr>
          <w:p w14:paraId="632F76A0" w14:textId="77777777" w:rsidR="003D639D" w:rsidRPr="00086B0B" w:rsidRDefault="003D639D" w:rsidP="009E3076">
            <w:pPr>
              <w:jc w:val="center"/>
              <w:rPr>
                <w:rFonts w:cstheme="minorHAnsi"/>
                <w:color w:val="000000" w:themeColor="text1"/>
              </w:rPr>
            </w:pPr>
            <w:r w:rsidRPr="00086B0B">
              <w:rPr>
                <w:rFonts w:cstheme="minorHAnsi"/>
                <w:noProof/>
                <w:color w:val="000000" w:themeColor="text1"/>
              </w:rPr>
              <w:drawing>
                <wp:inline distT="0" distB="0" distL="0" distR="0" wp14:anchorId="70096066" wp14:editId="32C425A9">
                  <wp:extent cx="1734728" cy="1152525"/>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38606" cy="1155102"/>
                          </a:xfrm>
                          <a:prstGeom prst="rect">
                            <a:avLst/>
                          </a:prstGeom>
                          <a:noFill/>
                          <a:ln>
                            <a:noFill/>
                          </a:ln>
                        </pic:spPr>
                      </pic:pic>
                    </a:graphicData>
                  </a:graphic>
                </wp:inline>
              </w:drawing>
            </w:r>
          </w:p>
        </w:tc>
        <w:tc>
          <w:tcPr>
            <w:tcW w:w="2551" w:type="dxa"/>
            <w:tcMar>
              <w:top w:w="120" w:type="dxa"/>
              <w:left w:w="120" w:type="dxa"/>
              <w:bottom w:w="120" w:type="dxa"/>
              <w:right w:w="120" w:type="dxa"/>
            </w:tcMar>
            <w:vAlign w:val="center"/>
            <w:hideMark/>
          </w:tcPr>
          <w:p w14:paraId="2EE6B0B1" w14:textId="77777777" w:rsidR="003D639D" w:rsidRPr="00086B0B" w:rsidRDefault="003D639D" w:rsidP="009E3076">
            <w:pPr>
              <w:jc w:val="center"/>
              <w:rPr>
                <w:rFonts w:cstheme="minorHAnsi"/>
                <w:color w:val="000000" w:themeColor="text1"/>
              </w:rPr>
            </w:pPr>
            <w:r w:rsidRPr="00086B0B">
              <w:rPr>
                <w:rFonts w:cstheme="minorHAnsi"/>
                <w:color w:val="000000" w:themeColor="text1"/>
              </w:rPr>
              <w:t>Paid on the same line as ‘Transitional Payment’. It will show as a total figure</w:t>
            </w:r>
          </w:p>
        </w:tc>
      </w:tr>
      <w:tr w:rsidR="003D639D" w:rsidRPr="00CC1A8E" w14:paraId="723D83F9" w14:textId="77777777" w:rsidTr="009E3076">
        <w:trPr>
          <w:trHeight w:val="345"/>
        </w:trPr>
        <w:tc>
          <w:tcPr>
            <w:tcW w:w="1882" w:type="dxa"/>
            <w:shd w:val="clear" w:color="auto" w:fill="5185CD"/>
            <w:tcMar>
              <w:top w:w="120" w:type="dxa"/>
              <w:left w:w="120" w:type="dxa"/>
              <w:bottom w:w="120" w:type="dxa"/>
              <w:right w:w="120" w:type="dxa"/>
            </w:tcMar>
            <w:vAlign w:val="center"/>
            <w:hideMark/>
          </w:tcPr>
          <w:p w14:paraId="41F59AAB" w14:textId="77777777" w:rsidR="003D639D" w:rsidRPr="00CC1A8E" w:rsidRDefault="003D639D" w:rsidP="009E3076">
            <w:pPr>
              <w:jc w:val="center"/>
              <w:rPr>
                <w:rFonts w:cstheme="minorHAnsi"/>
                <w:color w:val="444444"/>
              </w:rPr>
            </w:pPr>
            <w:r w:rsidRPr="00CC1A8E">
              <w:rPr>
                <w:rStyle w:val="Strong"/>
                <w:rFonts w:cstheme="minorHAnsi"/>
                <w:color w:val="FFFFFF"/>
              </w:rPr>
              <w:t>Pandemic Delivery Service (Advanced service)*</w:t>
            </w:r>
          </w:p>
        </w:tc>
        <w:tc>
          <w:tcPr>
            <w:tcW w:w="1624" w:type="dxa"/>
            <w:tcMar>
              <w:top w:w="120" w:type="dxa"/>
              <w:left w:w="120" w:type="dxa"/>
              <w:bottom w:w="120" w:type="dxa"/>
              <w:right w:w="120" w:type="dxa"/>
            </w:tcMar>
            <w:vAlign w:val="center"/>
            <w:hideMark/>
          </w:tcPr>
          <w:p w14:paraId="063B59FB" w14:textId="77777777" w:rsidR="003D639D" w:rsidRPr="00086B0B" w:rsidRDefault="003D639D" w:rsidP="009E3076">
            <w:pPr>
              <w:jc w:val="center"/>
              <w:rPr>
                <w:rFonts w:cstheme="minorHAnsi"/>
                <w:color w:val="000000" w:themeColor="text1"/>
              </w:rPr>
            </w:pPr>
            <w:r w:rsidRPr="00086B0B">
              <w:rPr>
                <w:rFonts w:cstheme="minorHAnsi"/>
                <w:color w:val="000000" w:themeColor="text1"/>
              </w:rPr>
              <w:t>MYS</w:t>
            </w:r>
            <w:r w:rsidRPr="00086B0B">
              <w:rPr>
                <w:rFonts w:cstheme="minorHAnsi"/>
                <w:color w:val="000000" w:themeColor="text1"/>
              </w:rPr>
              <w:br/>
              <w:t>(by the 5th day of the following month)</w:t>
            </w:r>
          </w:p>
        </w:tc>
        <w:tc>
          <w:tcPr>
            <w:tcW w:w="2138" w:type="dxa"/>
            <w:tcMar>
              <w:top w:w="120" w:type="dxa"/>
              <w:left w:w="120" w:type="dxa"/>
              <w:bottom w:w="120" w:type="dxa"/>
              <w:right w:w="120" w:type="dxa"/>
            </w:tcMar>
            <w:vAlign w:val="center"/>
            <w:hideMark/>
          </w:tcPr>
          <w:p w14:paraId="2DF7AD14" w14:textId="77777777" w:rsidR="003D639D" w:rsidRPr="00086B0B" w:rsidRDefault="003D639D" w:rsidP="009E3076">
            <w:pPr>
              <w:jc w:val="center"/>
              <w:rPr>
                <w:rFonts w:cstheme="minorHAnsi"/>
                <w:color w:val="000000" w:themeColor="text1"/>
              </w:rPr>
            </w:pPr>
            <w:r w:rsidRPr="00086B0B">
              <w:rPr>
                <w:rFonts w:cstheme="minorHAnsi"/>
                <w:color w:val="000000" w:themeColor="text1"/>
              </w:rPr>
              <w:t>Monthly – service currently extended until </w:t>
            </w:r>
            <w:r w:rsidRPr="00086B0B">
              <w:rPr>
                <w:rStyle w:val="Strong"/>
                <w:rFonts w:cstheme="minorHAnsi"/>
                <w:color w:val="000000" w:themeColor="text1"/>
              </w:rPr>
              <w:t>30th September</w:t>
            </w:r>
            <w:r w:rsidRPr="00086B0B">
              <w:rPr>
                <w:rFonts w:cstheme="minorHAnsi"/>
                <w:color w:val="000000" w:themeColor="text1"/>
              </w:rPr>
              <w:t> for all people notified of the need to self-isolate by NHS Test and Trace (for the 10-day self-isolation period) living in England</w:t>
            </w:r>
          </w:p>
        </w:tc>
        <w:tc>
          <w:tcPr>
            <w:tcW w:w="2862" w:type="dxa"/>
            <w:tcMar>
              <w:top w:w="120" w:type="dxa"/>
              <w:left w:w="120" w:type="dxa"/>
              <w:bottom w:w="120" w:type="dxa"/>
              <w:right w:w="120" w:type="dxa"/>
            </w:tcMar>
            <w:vAlign w:val="center"/>
            <w:hideMark/>
          </w:tcPr>
          <w:p w14:paraId="11B7A944" w14:textId="77777777" w:rsidR="003D639D" w:rsidRPr="00086B0B" w:rsidRDefault="003D639D" w:rsidP="009E3076">
            <w:pPr>
              <w:jc w:val="center"/>
              <w:rPr>
                <w:rFonts w:cstheme="minorHAnsi"/>
                <w:color w:val="000000" w:themeColor="text1"/>
              </w:rPr>
            </w:pPr>
            <w:r w:rsidRPr="00086B0B">
              <w:rPr>
                <w:rFonts w:cstheme="minorHAnsi"/>
                <w:color w:val="000000" w:themeColor="text1"/>
              </w:rPr>
              <w:t>£6 (including VAT) per delivery</w:t>
            </w:r>
          </w:p>
        </w:tc>
        <w:tc>
          <w:tcPr>
            <w:tcW w:w="2551" w:type="dxa"/>
            <w:tcMar>
              <w:top w:w="120" w:type="dxa"/>
              <w:left w:w="120" w:type="dxa"/>
              <w:bottom w:w="120" w:type="dxa"/>
              <w:right w:w="120" w:type="dxa"/>
            </w:tcMar>
            <w:vAlign w:val="center"/>
            <w:hideMark/>
          </w:tcPr>
          <w:p w14:paraId="4DE556BE" w14:textId="77777777" w:rsidR="003D639D" w:rsidRPr="00086B0B" w:rsidRDefault="003D639D" w:rsidP="009E3076">
            <w:pPr>
              <w:jc w:val="center"/>
              <w:rPr>
                <w:rFonts w:cstheme="minorHAnsi"/>
                <w:color w:val="000000" w:themeColor="text1"/>
              </w:rPr>
            </w:pPr>
            <w:r w:rsidRPr="00086B0B">
              <w:rPr>
                <w:rFonts w:cstheme="minorHAnsi"/>
                <w:color w:val="000000" w:themeColor="text1"/>
              </w:rPr>
              <w:t>Payment will be listed as ‘Additional advance payment’ under section titled ‘Summary of Payment Amounts’</w:t>
            </w:r>
          </w:p>
        </w:tc>
      </w:tr>
      <w:tr w:rsidR="003D639D" w:rsidRPr="00CC1A8E" w14:paraId="13AB5201" w14:textId="77777777" w:rsidTr="009E3076">
        <w:tc>
          <w:tcPr>
            <w:tcW w:w="1882" w:type="dxa"/>
            <w:shd w:val="clear" w:color="auto" w:fill="5185CD"/>
            <w:tcMar>
              <w:top w:w="120" w:type="dxa"/>
              <w:left w:w="120" w:type="dxa"/>
              <w:bottom w:w="120" w:type="dxa"/>
              <w:right w:w="120" w:type="dxa"/>
            </w:tcMar>
            <w:vAlign w:val="center"/>
            <w:hideMark/>
          </w:tcPr>
          <w:p w14:paraId="3CFCD634" w14:textId="77777777" w:rsidR="003D639D" w:rsidRPr="00CC1A8E" w:rsidRDefault="003D639D" w:rsidP="009E3076">
            <w:pPr>
              <w:jc w:val="center"/>
              <w:rPr>
                <w:rFonts w:cstheme="minorHAnsi"/>
                <w:color w:val="444444"/>
              </w:rPr>
            </w:pPr>
            <w:r w:rsidRPr="00CC1A8E">
              <w:rPr>
                <w:rStyle w:val="Strong"/>
                <w:rFonts w:cstheme="minorHAnsi"/>
                <w:color w:val="FFFFFF"/>
              </w:rPr>
              <w:t>Community Pharmacist Consultation Service (CPCS)</w:t>
            </w:r>
            <w:r w:rsidRPr="00CC1A8E">
              <w:rPr>
                <w:rFonts w:cstheme="minorHAnsi"/>
                <w:b/>
                <w:bCs/>
                <w:color w:val="FFFFFF"/>
              </w:rPr>
              <w:br/>
            </w:r>
          </w:p>
        </w:tc>
        <w:tc>
          <w:tcPr>
            <w:tcW w:w="1624" w:type="dxa"/>
            <w:tcMar>
              <w:top w:w="120" w:type="dxa"/>
              <w:left w:w="120" w:type="dxa"/>
              <w:bottom w:w="120" w:type="dxa"/>
              <w:right w:w="120" w:type="dxa"/>
            </w:tcMar>
            <w:vAlign w:val="center"/>
            <w:hideMark/>
          </w:tcPr>
          <w:p w14:paraId="4AB24E59" w14:textId="77777777" w:rsidR="003D639D" w:rsidRPr="00086B0B" w:rsidRDefault="003D639D" w:rsidP="009E3076">
            <w:pPr>
              <w:jc w:val="center"/>
              <w:rPr>
                <w:rFonts w:cstheme="minorHAnsi"/>
                <w:color w:val="000000" w:themeColor="text1"/>
              </w:rPr>
            </w:pPr>
            <w:r w:rsidRPr="00086B0B">
              <w:rPr>
                <w:rFonts w:cstheme="minorHAnsi"/>
                <w:color w:val="000000" w:themeColor="text1"/>
              </w:rPr>
              <w:t>MYS</w:t>
            </w:r>
            <w:r w:rsidRPr="00086B0B">
              <w:rPr>
                <w:rFonts w:cstheme="minorHAnsi"/>
                <w:color w:val="000000" w:themeColor="text1"/>
              </w:rPr>
              <w:br/>
              <w:t>(by the 5th day of the following month)</w:t>
            </w:r>
          </w:p>
        </w:tc>
        <w:tc>
          <w:tcPr>
            <w:tcW w:w="2138" w:type="dxa"/>
            <w:tcMar>
              <w:top w:w="120" w:type="dxa"/>
              <w:left w:w="120" w:type="dxa"/>
              <w:bottom w:w="120" w:type="dxa"/>
              <w:right w:w="120" w:type="dxa"/>
            </w:tcMar>
            <w:vAlign w:val="center"/>
            <w:hideMark/>
          </w:tcPr>
          <w:p w14:paraId="357494C8" w14:textId="77777777" w:rsidR="003D639D" w:rsidRPr="00086B0B" w:rsidRDefault="003D639D" w:rsidP="009E3076">
            <w:pPr>
              <w:jc w:val="center"/>
              <w:rPr>
                <w:rFonts w:cstheme="minorHAnsi"/>
                <w:color w:val="000000" w:themeColor="text1"/>
              </w:rPr>
            </w:pPr>
            <w:r w:rsidRPr="00086B0B">
              <w:rPr>
                <w:rFonts w:cstheme="minorHAnsi"/>
                <w:color w:val="000000" w:themeColor="text1"/>
              </w:rPr>
              <w:t>Monthly</w:t>
            </w:r>
          </w:p>
        </w:tc>
        <w:tc>
          <w:tcPr>
            <w:tcW w:w="2862" w:type="dxa"/>
            <w:tcMar>
              <w:top w:w="120" w:type="dxa"/>
              <w:left w:w="120" w:type="dxa"/>
              <w:bottom w:w="120" w:type="dxa"/>
              <w:right w:w="120" w:type="dxa"/>
            </w:tcMar>
            <w:vAlign w:val="center"/>
            <w:hideMark/>
          </w:tcPr>
          <w:p w14:paraId="547C9E70" w14:textId="77777777" w:rsidR="003D639D" w:rsidRPr="00086B0B" w:rsidRDefault="003D639D" w:rsidP="009E3076">
            <w:pPr>
              <w:jc w:val="center"/>
              <w:rPr>
                <w:rFonts w:cstheme="minorHAnsi"/>
                <w:color w:val="000000" w:themeColor="text1"/>
              </w:rPr>
            </w:pPr>
            <w:r w:rsidRPr="00086B0B">
              <w:rPr>
                <w:rFonts w:cstheme="minorHAnsi"/>
                <w:color w:val="000000" w:themeColor="text1"/>
              </w:rPr>
              <w:t>£14 (no VAT applicable) for each completed referral</w:t>
            </w:r>
          </w:p>
        </w:tc>
        <w:tc>
          <w:tcPr>
            <w:tcW w:w="2551" w:type="dxa"/>
            <w:tcMar>
              <w:top w:w="120" w:type="dxa"/>
              <w:left w:w="120" w:type="dxa"/>
              <w:bottom w:w="120" w:type="dxa"/>
              <w:right w:w="120" w:type="dxa"/>
            </w:tcMar>
            <w:vAlign w:val="center"/>
            <w:hideMark/>
          </w:tcPr>
          <w:p w14:paraId="4BD70A1A" w14:textId="77777777" w:rsidR="003D639D" w:rsidRPr="00086B0B" w:rsidRDefault="003D639D" w:rsidP="009E3076">
            <w:pPr>
              <w:jc w:val="center"/>
              <w:rPr>
                <w:rFonts w:cstheme="minorHAnsi"/>
                <w:color w:val="000000" w:themeColor="text1"/>
              </w:rPr>
            </w:pPr>
            <w:r w:rsidRPr="00086B0B">
              <w:rPr>
                <w:rFonts w:cstheme="minorHAnsi"/>
                <w:color w:val="000000" w:themeColor="text1"/>
              </w:rPr>
              <w:t>‘CPCS Remuneration Payment’</w:t>
            </w:r>
          </w:p>
        </w:tc>
      </w:tr>
      <w:tr w:rsidR="003D639D" w:rsidRPr="00CC1A8E" w14:paraId="78FEB8DD" w14:textId="77777777" w:rsidTr="009E3076">
        <w:trPr>
          <w:trHeight w:val="360"/>
        </w:trPr>
        <w:tc>
          <w:tcPr>
            <w:tcW w:w="1882" w:type="dxa"/>
            <w:shd w:val="clear" w:color="auto" w:fill="5185CD"/>
            <w:tcMar>
              <w:top w:w="120" w:type="dxa"/>
              <w:left w:w="120" w:type="dxa"/>
              <w:bottom w:w="120" w:type="dxa"/>
              <w:right w:w="120" w:type="dxa"/>
            </w:tcMar>
            <w:vAlign w:val="center"/>
            <w:hideMark/>
          </w:tcPr>
          <w:p w14:paraId="2E759993" w14:textId="77777777" w:rsidR="003D639D" w:rsidRPr="00CC1A8E" w:rsidRDefault="003D639D" w:rsidP="009E3076">
            <w:pPr>
              <w:jc w:val="center"/>
              <w:rPr>
                <w:rFonts w:cstheme="minorHAnsi"/>
                <w:color w:val="444444"/>
              </w:rPr>
            </w:pPr>
            <w:r w:rsidRPr="00CC1A8E">
              <w:rPr>
                <w:rStyle w:val="Strong"/>
                <w:rFonts w:cstheme="minorHAnsi"/>
                <w:color w:val="FFFFFF"/>
              </w:rPr>
              <w:lastRenderedPageBreak/>
              <w:t>Discharge Medicines Service (DMS)</w:t>
            </w:r>
          </w:p>
        </w:tc>
        <w:tc>
          <w:tcPr>
            <w:tcW w:w="1624" w:type="dxa"/>
            <w:tcMar>
              <w:top w:w="120" w:type="dxa"/>
              <w:left w:w="120" w:type="dxa"/>
              <w:bottom w:w="120" w:type="dxa"/>
              <w:right w:w="120" w:type="dxa"/>
            </w:tcMar>
            <w:vAlign w:val="center"/>
            <w:hideMark/>
          </w:tcPr>
          <w:p w14:paraId="7091727E" w14:textId="77777777" w:rsidR="003D639D" w:rsidRPr="00086B0B" w:rsidRDefault="003D639D" w:rsidP="009E3076">
            <w:pPr>
              <w:jc w:val="center"/>
              <w:rPr>
                <w:rFonts w:cstheme="minorHAnsi"/>
                <w:color w:val="000000" w:themeColor="text1"/>
              </w:rPr>
            </w:pPr>
            <w:r w:rsidRPr="00086B0B">
              <w:rPr>
                <w:rFonts w:cstheme="minorHAnsi"/>
                <w:color w:val="000000" w:themeColor="text1"/>
              </w:rPr>
              <w:t>MYS</w:t>
            </w:r>
            <w:r w:rsidRPr="00086B0B">
              <w:rPr>
                <w:rFonts w:cstheme="minorHAnsi"/>
                <w:color w:val="000000" w:themeColor="text1"/>
              </w:rPr>
              <w:br/>
              <w:t>Note: DMS commenced on 15th February 2021</w:t>
            </w:r>
          </w:p>
        </w:tc>
        <w:tc>
          <w:tcPr>
            <w:tcW w:w="2138" w:type="dxa"/>
            <w:tcMar>
              <w:top w:w="120" w:type="dxa"/>
              <w:left w:w="120" w:type="dxa"/>
              <w:bottom w:w="120" w:type="dxa"/>
              <w:right w:w="120" w:type="dxa"/>
            </w:tcMar>
            <w:vAlign w:val="center"/>
            <w:hideMark/>
          </w:tcPr>
          <w:p w14:paraId="16E240AA" w14:textId="77777777" w:rsidR="003D639D" w:rsidRPr="00086B0B" w:rsidRDefault="003D639D" w:rsidP="009E3076">
            <w:pPr>
              <w:jc w:val="center"/>
              <w:rPr>
                <w:rFonts w:cstheme="minorHAnsi"/>
                <w:color w:val="000000" w:themeColor="text1"/>
              </w:rPr>
            </w:pPr>
            <w:r w:rsidRPr="00086B0B">
              <w:rPr>
                <w:rFonts w:cstheme="minorHAnsi"/>
                <w:color w:val="000000" w:themeColor="text1"/>
              </w:rPr>
              <w:t>Monthly – the first service payment is due on 30th April for any claims submitted in February (after 15th)</w:t>
            </w:r>
          </w:p>
        </w:tc>
        <w:tc>
          <w:tcPr>
            <w:tcW w:w="2862" w:type="dxa"/>
            <w:tcMar>
              <w:top w:w="120" w:type="dxa"/>
              <w:left w:w="120" w:type="dxa"/>
              <w:bottom w:w="120" w:type="dxa"/>
              <w:right w:w="120" w:type="dxa"/>
            </w:tcMar>
            <w:vAlign w:val="center"/>
            <w:hideMark/>
          </w:tcPr>
          <w:p w14:paraId="00D77B06" w14:textId="77777777" w:rsidR="003D639D" w:rsidRPr="00086B0B" w:rsidRDefault="003D639D" w:rsidP="009E3076">
            <w:pPr>
              <w:jc w:val="center"/>
              <w:rPr>
                <w:rFonts w:cstheme="minorHAnsi"/>
                <w:color w:val="000000" w:themeColor="text1"/>
              </w:rPr>
            </w:pPr>
            <w:r w:rsidRPr="00086B0B">
              <w:rPr>
                <w:rFonts w:cstheme="minorHAnsi"/>
                <w:noProof/>
                <w:color w:val="000000" w:themeColor="text1"/>
              </w:rPr>
              <w:drawing>
                <wp:inline distT="0" distB="0" distL="0" distR="0" wp14:anchorId="29E5A0EF" wp14:editId="695BB0D0">
                  <wp:extent cx="1219200" cy="1093768"/>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21556" cy="1095882"/>
                          </a:xfrm>
                          <a:prstGeom prst="rect">
                            <a:avLst/>
                          </a:prstGeom>
                          <a:noFill/>
                          <a:ln>
                            <a:noFill/>
                          </a:ln>
                        </pic:spPr>
                      </pic:pic>
                    </a:graphicData>
                  </a:graphic>
                </wp:inline>
              </w:drawing>
            </w:r>
          </w:p>
        </w:tc>
        <w:tc>
          <w:tcPr>
            <w:tcW w:w="2551" w:type="dxa"/>
            <w:tcMar>
              <w:top w:w="120" w:type="dxa"/>
              <w:left w:w="120" w:type="dxa"/>
              <w:bottom w:w="120" w:type="dxa"/>
              <w:right w:w="120" w:type="dxa"/>
            </w:tcMar>
            <w:vAlign w:val="center"/>
            <w:hideMark/>
          </w:tcPr>
          <w:p w14:paraId="659750AC" w14:textId="77777777" w:rsidR="003D639D" w:rsidRPr="00086B0B" w:rsidRDefault="003D639D" w:rsidP="009E3076">
            <w:pPr>
              <w:jc w:val="center"/>
              <w:rPr>
                <w:rFonts w:cstheme="minorHAnsi"/>
                <w:color w:val="000000" w:themeColor="text1"/>
              </w:rPr>
            </w:pPr>
            <w:r w:rsidRPr="00086B0B">
              <w:rPr>
                <w:rFonts w:cstheme="minorHAnsi"/>
                <w:color w:val="000000" w:themeColor="text1"/>
              </w:rPr>
              <w:t>‘Discharge Medicine Review Fee’</w:t>
            </w:r>
          </w:p>
        </w:tc>
      </w:tr>
      <w:tr w:rsidR="003D639D" w:rsidRPr="00CC1A8E" w14:paraId="18865CFD" w14:textId="77777777" w:rsidTr="009E3076">
        <w:trPr>
          <w:trHeight w:val="360"/>
        </w:trPr>
        <w:tc>
          <w:tcPr>
            <w:tcW w:w="1882" w:type="dxa"/>
            <w:shd w:val="clear" w:color="auto" w:fill="5185CD"/>
            <w:tcMar>
              <w:top w:w="120" w:type="dxa"/>
              <w:left w:w="120" w:type="dxa"/>
              <w:bottom w:w="120" w:type="dxa"/>
              <w:right w:w="120" w:type="dxa"/>
            </w:tcMar>
            <w:vAlign w:val="center"/>
            <w:hideMark/>
          </w:tcPr>
          <w:p w14:paraId="5F06EE8B" w14:textId="77777777" w:rsidR="003D639D" w:rsidRPr="00CC1A8E" w:rsidRDefault="003D639D" w:rsidP="009E3076">
            <w:pPr>
              <w:jc w:val="center"/>
              <w:rPr>
                <w:rFonts w:cstheme="minorHAnsi"/>
                <w:color w:val="444444"/>
              </w:rPr>
            </w:pPr>
            <w:r w:rsidRPr="00CC1A8E">
              <w:rPr>
                <w:rStyle w:val="Strong"/>
                <w:rFonts w:cstheme="minorHAnsi"/>
                <w:color w:val="FFFFFF"/>
              </w:rPr>
              <w:t>COVID-19 vaccinations</w:t>
            </w:r>
          </w:p>
        </w:tc>
        <w:tc>
          <w:tcPr>
            <w:tcW w:w="1624" w:type="dxa"/>
            <w:tcMar>
              <w:top w:w="120" w:type="dxa"/>
              <w:left w:w="120" w:type="dxa"/>
              <w:bottom w:w="120" w:type="dxa"/>
              <w:right w:w="120" w:type="dxa"/>
            </w:tcMar>
            <w:vAlign w:val="center"/>
            <w:hideMark/>
          </w:tcPr>
          <w:p w14:paraId="27FA38DE" w14:textId="77777777" w:rsidR="003D639D" w:rsidRPr="00086B0B" w:rsidRDefault="003D639D" w:rsidP="009E3076">
            <w:pPr>
              <w:jc w:val="center"/>
              <w:rPr>
                <w:rFonts w:cstheme="minorHAnsi"/>
                <w:color w:val="000000" w:themeColor="text1"/>
              </w:rPr>
            </w:pPr>
            <w:r w:rsidRPr="00086B0B">
              <w:rPr>
                <w:rFonts w:cstheme="minorHAnsi"/>
                <w:color w:val="000000" w:themeColor="text1"/>
              </w:rPr>
              <w:t>MYS</w:t>
            </w:r>
          </w:p>
        </w:tc>
        <w:tc>
          <w:tcPr>
            <w:tcW w:w="2138" w:type="dxa"/>
            <w:tcMar>
              <w:top w:w="120" w:type="dxa"/>
              <w:left w:w="120" w:type="dxa"/>
              <w:bottom w:w="120" w:type="dxa"/>
              <w:right w:w="120" w:type="dxa"/>
            </w:tcMar>
            <w:vAlign w:val="center"/>
            <w:hideMark/>
          </w:tcPr>
          <w:p w14:paraId="4564657B" w14:textId="77777777" w:rsidR="003D639D" w:rsidRPr="00086B0B" w:rsidRDefault="003D639D" w:rsidP="009E3076">
            <w:pPr>
              <w:jc w:val="center"/>
              <w:rPr>
                <w:rFonts w:cstheme="minorHAnsi"/>
                <w:color w:val="000000" w:themeColor="text1"/>
              </w:rPr>
            </w:pPr>
            <w:r w:rsidRPr="00086B0B">
              <w:rPr>
                <w:rFonts w:cstheme="minorHAnsi"/>
                <w:color w:val="000000" w:themeColor="text1"/>
              </w:rPr>
              <w:t>Monthly</w:t>
            </w:r>
            <w:r w:rsidRPr="00086B0B">
              <w:rPr>
                <w:rFonts w:cstheme="minorHAnsi"/>
                <w:color w:val="000000" w:themeColor="text1"/>
              </w:rPr>
              <w:br/>
              <w:t>(First payments will be made on 1st April)</w:t>
            </w:r>
          </w:p>
        </w:tc>
        <w:tc>
          <w:tcPr>
            <w:tcW w:w="2862" w:type="dxa"/>
            <w:tcMar>
              <w:top w:w="120" w:type="dxa"/>
              <w:left w:w="120" w:type="dxa"/>
              <w:bottom w:w="120" w:type="dxa"/>
              <w:right w:w="120" w:type="dxa"/>
            </w:tcMar>
            <w:vAlign w:val="center"/>
            <w:hideMark/>
          </w:tcPr>
          <w:p w14:paraId="3795E871" w14:textId="77777777" w:rsidR="003D639D" w:rsidRPr="00086B0B" w:rsidRDefault="003D639D" w:rsidP="009E3076">
            <w:pPr>
              <w:pStyle w:val="NormalWeb"/>
              <w:spacing w:before="240"/>
              <w:jc w:val="center"/>
              <w:rPr>
                <w:rFonts w:asciiTheme="minorHAnsi" w:hAnsiTheme="minorHAnsi" w:cstheme="minorHAnsi"/>
                <w:color w:val="000000" w:themeColor="text1"/>
                <w:sz w:val="22"/>
                <w:szCs w:val="22"/>
              </w:rPr>
            </w:pPr>
            <w:r w:rsidRPr="00086B0B">
              <w:rPr>
                <w:rFonts w:asciiTheme="minorHAnsi" w:hAnsiTheme="minorHAnsi" w:cstheme="minorHAnsi"/>
                <w:color w:val="000000" w:themeColor="text1"/>
                <w:sz w:val="22"/>
                <w:szCs w:val="22"/>
              </w:rPr>
              <w:t>£12.58 is paid for each vaccination given</w:t>
            </w:r>
          </w:p>
          <w:p w14:paraId="0D02F8D7" w14:textId="77777777" w:rsidR="003D639D" w:rsidRPr="00086B0B" w:rsidRDefault="003D639D" w:rsidP="009E3076">
            <w:pPr>
              <w:pStyle w:val="NormalWeb"/>
              <w:spacing w:before="240"/>
              <w:jc w:val="center"/>
              <w:rPr>
                <w:rFonts w:asciiTheme="minorHAnsi" w:hAnsiTheme="minorHAnsi" w:cstheme="minorHAnsi"/>
                <w:color w:val="000000" w:themeColor="text1"/>
                <w:sz w:val="22"/>
                <w:szCs w:val="22"/>
              </w:rPr>
            </w:pPr>
            <w:r w:rsidRPr="00086B0B">
              <w:rPr>
                <w:rFonts w:asciiTheme="minorHAnsi" w:hAnsiTheme="minorHAnsi" w:cstheme="minorHAnsi"/>
                <w:color w:val="000000" w:themeColor="text1"/>
                <w:sz w:val="22"/>
                <w:szCs w:val="22"/>
              </w:rPr>
              <w:t>Additional £10.00 payment per vaccine for housebound and care home patients.</w:t>
            </w:r>
          </w:p>
        </w:tc>
        <w:tc>
          <w:tcPr>
            <w:tcW w:w="2551" w:type="dxa"/>
            <w:tcMar>
              <w:top w:w="120" w:type="dxa"/>
              <w:left w:w="120" w:type="dxa"/>
              <w:bottom w:w="120" w:type="dxa"/>
              <w:right w:w="120" w:type="dxa"/>
            </w:tcMar>
            <w:vAlign w:val="center"/>
            <w:hideMark/>
          </w:tcPr>
          <w:p w14:paraId="46111603" w14:textId="77777777" w:rsidR="003D639D" w:rsidRPr="00086B0B" w:rsidRDefault="003D639D" w:rsidP="009E3076">
            <w:pPr>
              <w:jc w:val="center"/>
              <w:rPr>
                <w:rFonts w:cstheme="minorHAnsi"/>
                <w:color w:val="000000" w:themeColor="text1"/>
              </w:rPr>
            </w:pPr>
            <w:r w:rsidRPr="00086B0B">
              <w:rPr>
                <w:rFonts w:cstheme="minorHAnsi"/>
                <w:color w:val="000000" w:themeColor="text1"/>
              </w:rPr>
              <w:t>‘Covid Vaccine Claim’</w:t>
            </w:r>
          </w:p>
        </w:tc>
      </w:tr>
      <w:tr w:rsidR="003D639D" w:rsidRPr="00CC1A8E" w14:paraId="28993F1F" w14:textId="77777777" w:rsidTr="009E3076">
        <w:trPr>
          <w:trHeight w:val="360"/>
        </w:trPr>
        <w:tc>
          <w:tcPr>
            <w:tcW w:w="1882" w:type="dxa"/>
            <w:shd w:val="clear" w:color="auto" w:fill="5185CD"/>
            <w:tcMar>
              <w:top w:w="120" w:type="dxa"/>
              <w:left w:w="120" w:type="dxa"/>
              <w:bottom w:w="120" w:type="dxa"/>
              <w:right w:w="120" w:type="dxa"/>
            </w:tcMar>
            <w:vAlign w:val="center"/>
            <w:hideMark/>
          </w:tcPr>
          <w:p w14:paraId="75AA1EF6" w14:textId="77777777" w:rsidR="003D639D" w:rsidRPr="00CC1A8E" w:rsidRDefault="003D639D" w:rsidP="009E3076">
            <w:pPr>
              <w:jc w:val="center"/>
              <w:rPr>
                <w:rFonts w:cstheme="minorHAnsi"/>
                <w:color w:val="444444"/>
              </w:rPr>
            </w:pPr>
            <w:r w:rsidRPr="00CC1A8E">
              <w:rPr>
                <w:rStyle w:val="Strong"/>
                <w:rFonts w:cstheme="minorHAnsi"/>
                <w:color w:val="FFFFFF"/>
              </w:rPr>
              <w:t>Hepatitis C testing service</w:t>
            </w:r>
          </w:p>
        </w:tc>
        <w:tc>
          <w:tcPr>
            <w:tcW w:w="1624" w:type="dxa"/>
            <w:tcMar>
              <w:top w:w="120" w:type="dxa"/>
              <w:left w:w="120" w:type="dxa"/>
              <w:bottom w:w="120" w:type="dxa"/>
              <w:right w:w="120" w:type="dxa"/>
            </w:tcMar>
            <w:vAlign w:val="center"/>
            <w:hideMark/>
          </w:tcPr>
          <w:p w14:paraId="1A72C765" w14:textId="77777777" w:rsidR="003D639D" w:rsidRPr="00086B0B" w:rsidRDefault="003D639D" w:rsidP="009E3076">
            <w:pPr>
              <w:jc w:val="center"/>
              <w:rPr>
                <w:rFonts w:cstheme="minorHAnsi"/>
                <w:color w:val="000000" w:themeColor="text1"/>
              </w:rPr>
            </w:pPr>
            <w:r w:rsidRPr="00086B0B">
              <w:rPr>
                <w:rFonts w:cstheme="minorHAnsi"/>
                <w:color w:val="000000" w:themeColor="text1"/>
              </w:rPr>
              <w:t>MYS</w:t>
            </w:r>
            <w:r w:rsidRPr="00086B0B">
              <w:rPr>
                <w:rFonts w:cstheme="minorHAnsi"/>
                <w:color w:val="000000" w:themeColor="text1"/>
              </w:rPr>
              <w:br/>
              <w:t>(by the 5th day of the following month after completion of a test)</w:t>
            </w:r>
          </w:p>
        </w:tc>
        <w:tc>
          <w:tcPr>
            <w:tcW w:w="2138" w:type="dxa"/>
            <w:tcMar>
              <w:top w:w="120" w:type="dxa"/>
              <w:left w:w="120" w:type="dxa"/>
              <w:bottom w:w="120" w:type="dxa"/>
              <w:right w:w="120" w:type="dxa"/>
            </w:tcMar>
            <w:vAlign w:val="center"/>
            <w:hideMark/>
          </w:tcPr>
          <w:p w14:paraId="40582344" w14:textId="77777777" w:rsidR="003D639D" w:rsidRPr="00086B0B" w:rsidRDefault="003D639D" w:rsidP="009E3076">
            <w:pPr>
              <w:jc w:val="center"/>
              <w:rPr>
                <w:rFonts w:cstheme="minorHAnsi"/>
                <w:color w:val="000000" w:themeColor="text1"/>
              </w:rPr>
            </w:pPr>
            <w:r w:rsidRPr="00086B0B">
              <w:rPr>
                <w:rFonts w:cstheme="minorHAnsi"/>
                <w:color w:val="000000" w:themeColor="text1"/>
              </w:rPr>
              <w:t>Monthly in the same payment month as other payments for NHS Pharmaceutical Services</w:t>
            </w:r>
          </w:p>
        </w:tc>
        <w:tc>
          <w:tcPr>
            <w:tcW w:w="2862" w:type="dxa"/>
            <w:tcMar>
              <w:top w:w="120" w:type="dxa"/>
              <w:left w:w="120" w:type="dxa"/>
              <w:bottom w:w="120" w:type="dxa"/>
              <w:right w:w="120" w:type="dxa"/>
            </w:tcMar>
            <w:vAlign w:val="center"/>
            <w:hideMark/>
          </w:tcPr>
          <w:p w14:paraId="104DBCAD" w14:textId="77777777" w:rsidR="003D639D" w:rsidRPr="00086B0B" w:rsidRDefault="003D639D" w:rsidP="009E3076">
            <w:pPr>
              <w:jc w:val="center"/>
              <w:rPr>
                <w:rFonts w:cstheme="minorHAnsi"/>
                <w:color w:val="000000" w:themeColor="text1"/>
              </w:rPr>
            </w:pPr>
            <w:r w:rsidRPr="00086B0B">
              <w:rPr>
                <w:rFonts w:cstheme="minorHAnsi"/>
                <w:color w:val="000000" w:themeColor="text1"/>
              </w:rPr>
              <w:t>£36 per test performed</w:t>
            </w:r>
          </w:p>
        </w:tc>
        <w:tc>
          <w:tcPr>
            <w:tcW w:w="2551" w:type="dxa"/>
            <w:tcMar>
              <w:top w:w="120" w:type="dxa"/>
              <w:left w:w="120" w:type="dxa"/>
              <w:bottom w:w="120" w:type="dxa"/>
              <w:right w:w="120" w:type="dxa"/>
            </w:tcMar>
            <w:vAlign w:val="center"/>
            <w:hideMark/>
          </w:tcPr>
          <w:p w14:paraId="114BEB94" w14:textId="77777777" w:rsidR="003D639D" w:rsidRPr="00086B0B" w:rsidRDefault="003D639D" w:rsidP="009E3076">
            <w:pPr>
              <w:jc w:val="center"/>
              <w:rPr>
                <w:rFonts w:cstheme="minorHAnsi"/>
                <w:color w:val="000000" w:themeColor="text1"/>
              </w:rPr>
            </w:pPr>
            <w:r w:rsidRPr="00086B0B">
              <w:rPr>
                <w:rFonts w:cstheme="minorHAnsi"/>
                <w:color w:val="000000" w:themeColor="text1"/>
              </w:rPr>
              <w:t>‘Hep C Provision of Testing Service’</w:t>
            </w:r>
          </w:p>
        </w:tc>
      </w:tr>
      <w:tr w:rsidR="003D639D" w:rsidRPr="00CC1A8E" w14:paraId="38FB6BFC" w14:textId="77777777" w:rsidTr="009E3076">
        <w:trPr>
          <w:trHeight w:val="360"/>
        </w:trPr>
        <w:tc>
          <w:tcPr>
            <w:tcW w:w="1882" w:type="dxa"/>
            <w:shd w:val="clear" w:color="auto" w:fill="5185CD"/>
            <w:tcMar>
              <w:top w:w="120" w:type="dxa"/>
              <w:left w:w="120" w:type="dxa"/>
              <w:bottom w:w="120" w:type="dxa"/>
              <w:right w:w="120" w:type="dxa"/>
            </w:tcMar>
            <w:vAlign w:val="center"/>
            <w:hideMark/>
          </w:tcPr>
          <w:p w14:paraId="1A173E23" w14:textId="77777777" w:rsidR="003D639D" w:rsidRPr="00CC1A8E" w:rsidRDefault="003D639D" w:rsidP="009E3076">
            <w:pPr>
              <w:jc w:val="center"/>
              <w:rPr>
                <w:rFonts w:cstheme="minorHAnsi"/>
                <w:color w:val="444444"/>
              </w:rPr>
            </w:pPr>
            <w:r w:rsidRPr="00CC1A8E">
              <w:rPr>
                <w:rStyle w:val="Strong"/>
                <w:rFonts w:cstheme="minorHAnsi"/>
                <w:color w:val="FFFFFF"/>
              </w:rPr>
              <w:t>Hepatitis C Point of Care Test (POCT) kit</w:t>
            </w:r>
          </w:p>
        </w:tc>
        <w:tc>
          <w:tcPr>
            <w:tcW w:w="1624" w:type="dxa"/>
            <w:tcMar>
              <w:top w:w="120" w:type="dxa"/>
              <w:left w:w="120" w:type="dxa"/>
              <w:bottom w:w="120" w:type="dxa"/>
              <w:right w:w="120" w:type="dxa"/>
            </w:tcMar>
            <w:vAlign w:val="center"/>
            <w:hideMark/>
          </w:tcPr>
          <w:p w14:paraId="08B78F33" w14:textId="77777777" w:rsidR="003D639D" w:rsidRPr="00086B0B" w:rsidRDefault="003D639D" w:rsidP="009E3076">
            <w:pPr>
              <w:jc w:val="center"/>
              <w:rPr>
                <w:rFonts w:cstheme="minorHAnsi"/>
                <w:color w:val="000000" w:themeColor="text1"/>
              </w:rPr>
            </w:pPr>
            <w:r w:rsidRPr="00086B0B">
              <w:rPr>
                <w:rFonts w:cstheme="minorHAnsi"/>
                <w:color w:val="000000" w:themeColor="text1"/>
              </w:rPr>
              <w:t>MYS</w:t>
            </w:r>
            <w:r w:rsidRPr="00086B0B">
              <w:rPr>
                <w:rFonts w:cstheme="minorHAnsi"/>
                <w:color w:val="000000" w:themeColor="text1"/>
              </w:rPr>
              <w:br/>
              <w:t>(by the 5th day of the following month after completion of a test)</w:t>
            </w:r>
          </w:p>
        </w:tc>
        <w:tc>
          <w:tcPr>
            <w:tcW w:w="2138" w:type="dxa"/>
            <w:tcMar>
              <w:top w:w="120" w:type="dxa"/>
              <w:left w:w="120" w:type="dxa"/>
              <w:bottom w:w="120" w:type="dxa"/>
              <w:right w:w="120" w:type="dxa"/>
            </w:tcMar>
            <w:vAlign w:val="center"/>
            <w:hideMark/>
          </w:tcPr>
          <w:p w14:paraId="04FD39C6" w14:textId="77777777" w:rsidR="003D639D" w:rsidRPr="00086B0B" w:rsidRDefault="003D639D" w:rsidP="009E3076">
            <w:pPr>
              <w:jc w:val="center"/>
              <w:rPr>
                <w:rFonts w:cstheme="minorHAnsi"/>
                <w:color w:val="000000" w:themeColor="text1"/>
              </w:rPr>
            </w:pPr>
            <w:r w:rsidRPr="00086B0B">
              <w:rPr>
                <w:rFonts w:cstheme="minorHAnsi"/>
                <w:color w:val="000000" w:themeColor="text1"/>
              </w:rPr>
              <w:t>Monthly in the same payment month as other payments for NHS Pharmaceutical Services</w:t>
            </w:r>
          </w:p>
        </w:tc>
        <w:tc>
          <w:tcPr>
            <w:tcW w:w="2862" w:type="dxa"/>
            <w:tcMar>
              <w:top w:w="120" w:type="dxa"/>
              <w:left w:w="120" w:type="dxa"/>
              <w:bottom w:w="120" w:type="dxa"/>
              <w:right w:w="120" w:type="dxa"/>
            </w:tcMar>
            <w:vAlign w:val="center"/>
            <w:hideMark/>
          </w:tcPr>
          <w:p w14:paraId="019E14C9" w14:textId="77777777" w:rsidR="003D639D" w:rsidRPr="00086B0B" w:rsidRDefault="003D639D" w:rsidP="009E3076">
            <w:pPr>
              <w:jc w:val="center"/>
              <w:rPr>
                <w:rFonts w:cstheme="minorHAnsi"/>
                <w:color w:val="000000" w:themeColor="text1"/>
              </w:rPr>
            </w:pPr>
            <w:r w:rsidRPr="00086B0B">
              <w:rPr>
                <w:rFonts w:cstheme="minorHAnsi"/>
                <w:color w:val="000000" w:themeColor="text1"/>
              </w:rPr>
              <w:t>Cost of the POCT kit at manufacturer’s list price + VAT</w:t>
            </w:r>
          </w:p>
        </w:tc>
        <w:tc>
          <w:tcPr>
            <w:tcW w:w="2551" w:type="dxa"/>
            <w:tcMar>
              <w:top w:w="120" w:type="dxa"/>
              <w:left w:w="120" w:type="dxa"/>
              <w:bottom w:w="120" w:type="dxa"/>
              <w:right w:w="120" w:type="dxa"/>
            </w:tcMar>
            <w:vAlign w:val="center"/>
            <w:hideMark/>
          </w:tcPr>
          <w:p w14:paraId="28900ACF" w14:textId="77777777" w:rsidR="003D639D" w:rsidRPr="00086B0B" w:rsidRDefault="003D639D" w:rsidP="009E3076">
            <w:pPr>
              <w:jc w:val="center"/>
              <w:rPr>
                <w:rFonts w:cstheme="minorHAnsi"/>
                <w:color w:val="000000" w:themeColor="text1"/>
              </w:rPr>
            </w:pPr>
            <w:r w:rsidRPr="00086B0B">
              <w:rPr>
                <w:rFonts w:cstheme="minorHAnsi"/>
                <w:color w:val="000000" w:themeColor="text1"/>
              </w:rPr>
              <w:t>‘Hep C Test Kit Reimbursement’</w:t>
            </w:r>
          </w:p>
        </w:tc>
      </w:tr>
    </w:tbl>
    <w:p w14:paraId="206A7E26" w14:textId="77777777" w:rsidR="003D639D" w:rsidRDefault="003D639D" w:rsidP="003D639D">
      <w:pPr>
        <w:jc w:val="both"/>
        <w:rPr>
          <w:i/>
          <w:iCs/>
        </w:rPr>
      </w:pPr>
      <w:r>
        <w:br/>
      </w:r>
      <w:r w:rsidRPr="00A43C48">
        <w:rPr>
          <w:i/>
          <w:iCs/>
        </w:rPr>
        <w:t>*Excludes distance -selling pharmacies</w:t>
      </w:r>
    </w:p>
    <w:p w14:paraId="307640A3" w14:textId="77777777" w:rsidR="003D639D" w:rsidRPr="00D303D2" w:rsidRDefault="003D639D" w:rsidP="003D639D">
      <w:pPr>
        <w:jc w:val="both"/>
      </w:pPr>
    </w:p>
    <w:p w14:paraId="439A75F8" w14:textId="77777777" w:rsidR="003D639D" w:rsidRDefault="003D639D" w:rsidP="003D639D">
      <w:pPr>
        <w:jc w:val="both"/>
        <w:rPr>
          <w:rStyle w:val="Hyperlink"/>
          <w:rFonts w:ascii="Calibri Light" w:eastAsia="Calibri Light" w:hAnsi="Calibri Light" w:cs="Calibri Light"/>
          <w:color w:val="1F487C"/>
          <w:sz w:val="32"/>
          <w:szCs w:val="32"/>
        </w:rPr>
      </w:pPr>
    </w:p>
    <w:p w14:paraId="17AC933F" w14:textId="77777777" w:rsidR="003D639D" w:rsidRPr="00D303D2" w:rsidRDefault="003D639D" w:rsidP="003D639D">
      <w:pPr>
        <w:jc w:val="both"/>
        <w:rPr>
          <w:rStyle w:val="Hyperlink"/>
          <w:rFonts w:ascii="Calibri Light" w:eastAsia="Calibri Light" w:hAnsi="Calibri Light" w:cs="Calibri Light"/>
          <w:color w:val="44546A" w:themeColor="text2"/>
          <w:sz w:val="32"/>
          <w:szCs w:val="32"/>
        </w:rPr>
      </w:pPr>
      <w:bookmarkStart w:id="10" w:name="sc"/>
      <w:r w:rsidRPr="47EEB0E0">
        <w:rPr>
          <w:rStyle w:val="Hyperlink"/>
          <w:rFonts w:ascii="Calibri Light" w:eastAsia="Calibri Light" w:hAnsi="Calibri Light" w:cs="Calibri Light"/>
          <w:color w:val="1F487C"/>
          <w:sz w:val="32"/>
          <w:szCs w:val="32"/>
        </w:rPr>
        <w:lastRenderedPageBreak/>
        <w:t>Update summary of applications submitted to DHSC for re-determination of special container status</w:t>
      </w:r>
    </w:p>
    <w:bookmarkEnd w:id="10"/>
    <w:p w14:paraId="52999DCB" w14:textId="77777777" w:rsidR="003D639D" w:rsidRPr="00D303D2" w:rsidRDefault="003D639D" w:rsidP="003D639D">
      <w:pPr>
        <w:jc w:val="both"/>
      </w:pPr>
      <w:r>
        <w:br/>
      </w:r>
      <w:r w:rsidRPr="1CB065A2">
        <w:rPr>
          <w:b/>
          <w:bCs/>
        </w:rPr>
        <w:t>Special Container applications update:</w:t>
      </w:r>
      <w:r>
        <w:t xml:space="preserve"> PSNC have reached out to DHSC to </w:t>
      </w:r>
      <w:r w:rsidRPr="1CB065A2">
        <w:rPr>
          <w:color w:val="000000" w:themeColor="text1"/>
        </w:rPr>
        <w:t xml:space="preserve">provide us with a response to the </w:t>
      </w:r>
      <w:r w:rsidRPr="1CB065A2">
        <w:rPr>
          <w:b/>
          <w:bCs/>
          <w:color w:val="000000" w:themeColor="text1"/>
        </w:rPr>
        <w:t>736</w:t>
      </w:r>
      <w:r w:rsidRPr="1CB065A2">
        <w:rPr>
          <w:color w:val="000000" w:themeColor="text1"/>
        </w:rPr>
        <w:t xml:space="preserve"> outstanding special container applications. PSNC have requested that DHSC outline their position for each individual product. </w:t>
      </w:r>
    </w:p>
    <w:p w14:paraId="6A4760A4" w14:textId="77777777" w:rsidR="003D639D" w:rsidRPr="00D303D2" w:rsidRDefault="003D639D" w:rsidP="003D639D">
      <w:pPr>
        <w:jc w:val="both"/>
      </w:pPr>
      <w:r w:rsidRPr="1CB065A2">
        <w:rPr>
          <w:color w:val="000000" w:themeColor="text1"/>
        </w:rPr>
        <w:t xml:space="preserve"> </w:t>
      </w:r>
    </w:p>
    <w:p w14:paraId="4F5362FF" w14:textId="77777777" w:rsidR="003D639D" w:rsidRPr="00D303D2" w:rsidRDefault="003D639D" w:rsidP="003D639D">
      <w:pPr>
        <w:jc w:val="both"/>
        <w:rPr>
          <w:color w:val="000000" w:themeColor="text1"/>
        </w:rPr>
      </w:pPr>
      <w:r w:rsidRPr="1CB065A2">
        <w:rPr>
          <w:color w:val="000000" w:themeColor="text1"/>
        </w:rPr>
        <w:t>To help expedite the process PSNC have offered to provide any written confirmation we have from manufacturers where we have permission to do so.</w:t>
      </w:r>
    </w:p>
    <w:p w14:paraId="4D09AE4C" w14:textId="77777777" w:rsidR="003D639D" w:rsidRDefault="003D639D" w:rsidP="003D639D">
      <w:pPr>
        <w:pStyle w:val="NoSpacing"/>
        <w:jc w:val="both"/>
        <w:rPr>
          <w:color w:val="000000" w:themeColor="text1"/>
        </w:rPr>
      </w:pPr>
    </w:p>
    <w:p w14:paraId="07707566" w14:textId="77777777" w:rsidR="003D639D" w:rsidRPr="00D303D2" w:rsidRDefault="003D639D" w:rsidP="003D639D">
      <w:pPr>
        <w:pStyle w:val="NoSpacing"/>
        <w:jc w:val="both"/>
        <w:rPr>
          <w:rFonts w:eastAsiaTheme="minorEastAsia"/>
          <w:color w:val="0000FF"/>
          <w:highlight w:val="yellow"/>
          <w:u w:val="single"/>
        </w:rPr>
      </w:pPr>
      <w:r w:rsidRPr="47EEB0E0">
        <w:rPr>
          <w:color w:val="000000" w:themeColor="text1"/>
        </w:rPr>
        <w:t xml:space="preserve">Since August 2019, </w:t>
      </w:r>
      <w:r w:rsidRPr="47EEB0E0">
        <w:rPr>
          <w:rFonts w:eastAsiaTheme="minorEastAsia"/>
          <w:color w:val="000000" w:themeColor="text1"/>
        </w:rPr>
        <w:t>PSNC’s Dispensing &amp; Supply team</w:t>
      </w:r>
      <w:r w:rsidRPr="47EEB0E0">
        <w:rPr>
          <w:color w:val="000000" w:themeColor="text1"/>
        </w:rPr>
        <w:t xml:space="preserve"> has reviewed over </w:t>
      </w:r>
      <w:r w:rsidRPr="47EEB0E0">
        <w:rPr>
          <w:b/>
          <w:bCs/>
          <w:color w:val="000000" w:themeColor="text1"/>
        </w:rPr>
        <w:t>4,000</w:t>
      </w:r>
      <w:r w:rsidRPr="47EEB0E0">
        <w:rPr>
          <w:color w:val="000000" w:themeColor="text1"/>
        </w:rPr>
        <w:t xml:space="preserve"> products against Drug Tariff special container criteria. </w:t>
      </w:r>
      <w:r w:rsidRPr="47EEB0E0">
        <w:rPr>
          <w:rFonts w:eastAsiaTheme="minorEastAsia"/>
          <w:lang w:val="en-US"/>
        </w:rPr>
        <w:t>The three main criteria under which PSNC has focused its attention are drugs that are considered hygroscopic, viscous external preparations and those packaged into containers from which it is not practical to dispense the exact quantity.</w:t>
      </w:r>
      <w:r>
        <w:t xml:space="preserve"> </w:t>
      </w:r>
      <w:r w:rsidRPr="47EEB0E0">
        <w:rPr>
          <w:color w:val="000000" w:themeColor="text1"/>
        </w:rPr>
        <w:t>Of those checked, PSNC has identified and submitted applications for</w:t>
      </w:r>
      <w:r w:rsidRPr="47EEB0E0">
        <w:rPr>
          <w:b/>
          <w:bCs/>
          <w:color w:val="000000" w:themeColor="text1"/>
        </w:rPr>
        <w:t xml:space="preserve"> 85</w:t>
      </w:r>
      <w:r>
        <w:rPr>
          <w:b/>
          <w:bCs/>
          <w:color w:val="000000" w:themeColor="text1"/>
        </w:rPr>
        <w:t>6</w:t>
      </w:r>
      <w:r w:rsidRPr="47EEB0E0">
        <w:rPr>
          <w:color w:val="000000" w:themeColor="text1"/>
        </w:rPr>
        <w:t xml:space="preserve"> products that appear to meet one or more of the special container criteria but are not annotated as such in the Drug Tariff and/or the dm+d. </w:t>
      </w:r>
      <w:r w:rsidRPr="47EEB0E0">
        <w:rPr>
          <w:rFonts w:eastAsiaTheme="minorEastAsia"/>
        </w:rPr>
        <w:t>See our page on ‘</w:t>
      </w:r>
      <w:hyperlink r:id="rId46" w:history="1">
        <w:r w:rsidRPr="47EEB0E0">
          <w:rPr>
            <w:rStyle w:val="Hyperlink"/>
            <w:rFonts w:eastAsiaTheme="minorEastAsia"/>
            <w:i/>
            <w:iCs/>
          </w:rPr>
          <w:t>Notice of changes to special container status of products</w:t>
        </w:r>
        <w:r w:rsidRPr="47EEB0E0">
          <w:rPr>
            <w:rStyle w:val="Hyperlink"/>
            <w:rFonts w:eastAsiaTheme="minorEastAsia"/>
          </w:rPr>
          <w:t>’</w:t>
        </w:r>
      </w:hyperlink>
      <w:r w:rsidRPr="47EEB0E0">
        <w:rPr>
          <w:rStyle w:val="Hyperlink"/>
          <w:rFonts w:eastAsiaTheme="minorEastAsia"/>
        </w:rPr>
        <w:t>.</w:t>
      </w:r>
      <w:r w:rsidRPr="47EEB0E0">
        <w:rPr>
          <w:color w:val="000000" w:themeColor="text1"/>
        </w:rPr>
        <w:t xml:space="preserve"> </w:t>
      </w:r>
    </w:p>
    <w:p w14:paraId="00549117" w14:textId="77777777" w:rsidR="003D639D" w:rsidRPr="00D303D2" w:rsidRDefault="003D639D" w:rsidP="003D639D">
      <w:pPr>
        <w:pStyle w:val="NoSpacing"/>
        <w:jc w:val="both"/>
        <w:rPr>
          <w:color w:val="000000" w:themeColor="text1"/>
          <w:highlight w:val="yellow"/>
        </w:rPr>
      </w:pPr>
    </w:p>
    <w:p w14:paraId="474EDA53" w14:textId="77777777" w:rsidR="003D639D" w:rsidRDefault="003D639D" w:rsidP="003D639D">
      <w:pPr>
        <w:pStyle w:val="NoSpacing"/>
        <w:jc w:val="both"/>
        <w:rPr>
          <w:color w:val="000000" w:themeColor="text1"/>
        </w:rPr>
      </w:pPr>
      <w:r w:rsidRPr="47EEB0E0">
        <w:rPr>
          <w:color w:val="000000" w:themeColor="text1"/>
        </w:rPr>
        <w:t xml:space="preserve">The table below provides latest information on the number of products that have been submitted to DHSC and NHSBSA for further investigation and the status of these applications. </w:t>
      </w:r>
    </w:p>
    <w:p w14:paraId="371A7A1F" w14:textId="77777777" w:rsidR="003D639D" w:rsidRDefault="003D639D" w:rsidP="003D639D">
      <w:pPr>
        <w:jc w:val="both"/>
        <w:rPr>
          <w:sz w:val="18"/>
          <w:szCs w:val="18"/>
        </w:rPr>
      </w:pPr>
    </w:p>
    <w:tbl>
      <w:tblPr>
        <w:tblW w:w="10482"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2260"/>
        <w:gridCol w:w="1736"/>
        <w:gridCol w:w="2162"/>
        <w:gridCol w:w="2162"/>
        <w:gridCol w:w="2162"/>
      </w:tblGrid>
      <w:tr w:rsidR="003D639D" w:rsidRPr="001C3932" w14:paraId="2CC8EE3A" w14:textId="77777777" w:rsidTr="009E3076">
        <w:trPr>
          <w:trHeight w:val="1200"/>
        </w:trPr>
        <w:tc>
          <w:tcPr>
            <w:tcW w:w="2260" w:type="dxa"/>
            <w:tcBorders>
              <w:top w:val="single" w:sz="6" w:space="0" w:color="auto"/>
              <w:left w:val="single" w:sz="6" w:space="0" w:color="auto"/>
              <w:bottom w:val="single" w:sz="6" w:space="0" w:color="auto"/>
              <w:right w:val="single" w:sz="6" w:space="0" w:color="auto"/>
            </w:tcBorders>
            <w:shd w:val="clear" w:color="auto" w:fill="65922E"/>
            <w:vAlign w:val="center"/>
          </w:tcPr>
          <w:p w14:paraId="0DCBC291" w14:textId="77777777" w:rsidR="003D639D" w:rsidRPr="001C3932" w:rsidRDefault="003D639D" w:rsidP="009E3076">
            <w:pPr>
              <w:pStyle w:val="NoSpacing"/>
              <w:spacing w:line="259" w:lineRule="auto"/>
              <w:jc w:val="center"/>
              <w:rPr>
                <w:b/>
                <w:bCs/>
                <w:color w:val="FFFFFF" w:themeColor="background1"/>
                <w:sz w:val="20"/>
                <w:szCs w:val="20"/>
              </w:rPr>
            </w:pPr>
            <w:r w:rsidRPr="001C3932">
              <w:rPr>
                <w:b/>
                <w:bCs/>
                <w:color w:val="FFFFFF" w:themeColor="background1"/>
                <w:sz w:val="20"/>
                <w:szCs w:val="20"/>
              </w:rPr>
              <w:t>Special container criteria</w:t>
            </w:r>
          </w:p>
        </w:tc>
        <w:tc>
          <w:tcPr>
            <w:tcW w:w="1736" w:type="dxa"/>
            <w:tcBorders>
              <w:top w:val="single" w:sz="6" w:space="0" w:color="auto"/>
              <w:left w:val="nil"/>
              <w:bottom w:val="single" w:sz="6" w:space="0" w:color="auto"/>
              <w:right w:val="single" w:sz="6" w:space="0" w:color="auto"/>
            </w:tcBorders>
            <w:shd w:val="clear" w:color="auto" w:fill="65922E"/>
            <w:vAlign w:val="center"/>
          </w:tcPr>
          <w:p w14:paraId="5CF3FD34" w14:textId="77777777" w:rsidR="003D639D" w:rsidRPr="001C3932" w:rsidRDefault="003D639D" w:rsidP="009E3076">
            <w:pPr>
              <w:pStyle w:val="NoSpacing"/>
              <w:spacing w:line="259" w:lineRule="auto"/>
              <w:jc w:val="center"/>
              <w:rPr>
                <w:b/>
                <w:bCs/>
                <w:color w:val="FFFFFF" w:themeColor="background1"/>
                <w:sz w:val="20"/>
                <w:szCs w:val="20"/>
              </w:rPr>
            </w:pPr>
            <w:r w:rsidRPr="0D643ABA">
              <w:rPr>
                <w:b/>
                <w:bCs/>
                <w:color w:val="FFFFFF" w:themeColor="background1"/>
                <w:sz w:val="20"/>
                <w:szCs w:val="20"/>
              </w:rPr>
              <w:t>Number of products checked</w:t>
            </w:r>
          </w:p>
        </w:tc>
        <w:tc>
          <w:tcPr>
            <w:tcW w:w="2162" w:type="dxa"/>
            <w:tcBorders>
              <w:top w:val="single" w:sz="6" w:space="0" w:color="auto"/>
              <w:left w:val="nil"/>
              <w:bottom w:val="single" w:sz="6" w:space="0" w:color="auto"/>
              <w:right w:val="single" w:sz="6" w:space="0" w:color="auto"/>
            </w:tcBorders>
            <w:shd w:val="clear" w:color="auto" w:fill="65922E"/>
            <w:vAlign w:val="center"/>
          </w:tcPr>
          <w:p w14:paraId="1745AD81" w14:textId="77777777" w:rsidR="003D639D" w:rsidRPr="001C3932" w:rsidRDefault="003D639D" w:rsidP="009E3076">
            <w:pPr>
              <w:pStyle w:val="NoSpacing"/>
              <w:spacing w:line="259" w:lineRule="auto"/>
              <w:jc w:val="center"/>
              <w:rPr>
                <w:b/>
                <w:bCs/>
                <w:color w:val="FFFFFF" w:themeColor="background1"/>
                <w:sz w:val="20"/>
                <w:szCs w:val="20"/>
              </w:rPr>
            </w:pPr>
            <w:r w:rsidRPr="001C3932">
              <w:rPr>
                <w:b/>
                <w:bCs/>
                <w:color w:val="FFFFFF" w:themeColor="background1"/>
                <w:sz w:val="20"/>
                <w:szCs w:val="20"/>
              </w:rPr>
              <w:t>Number of products applied for</w:t>
            </w:r>
          </w:p>
        </w:tc>
        <w:tc>
          <w:tcPr>
            <w:tcW w:w="2162" w:type="dxa"/>
            <w:tcBorders>
              <w:top w:val="single" w:sz="6" w:space="0" w:color="auto"/>
              <w:left w:val="nil"/>
              <w:bottom w:val="single" w:sz="6" w:space="0" w:color="auto"/>
              <w:right w:val="single" w:sz="4" w:space="0" w:color="auto"/>
            </w:tcBorders>
            <w:shd w:val="clear" w:color="auto" w:fill="65922E"/>
            <w:vAlign w:val="center"/>
          </w:tcPr>
          <w:p w14:paraId="671DD9C5" w14:textId="77777777" w:rsidR="003D639D" w:rsidRPr="001C3932" w:rsidRDefault="003D639D" w:rsidP="009E3076">
            <w:pPr>
              <w:pStyle w:val="NoSpacing"/>
              <w:spacing w:line="259" w:lineRule="auto"/>
              <w:jc w:val="center"/>
              <w:rPr>
                <w:b/>
                <w:bCs/>
                <w:color w:val="FFFFFF" w:themeColor="background1"/>
                <w:sz w:val="20"/>
                <w:szCs w:val="20"/>
              </w:rPr>
            </w:pPr>
            <w:r w:rsidRPr="001C3932">
              <w:rPr>
                <w:b/>
                <w:bCs/>
                <w:color w:val="FFFFFF" w:themeColor="background1"/>
                <w:sz w:val="20"/>
                <w:szCs w:val="20"/>
              </w:rPr>
              <w:t>Number of products currently in discussion with DHSC</w:t>
            </w:r>
            <w:r>
              <w:rPr>
                <w:b/>
                <w:bCs/>
                <w:color w:val="FFFFFF" w:themeColor="background1"/>
                <w:sz w:val="20"/>
                <w:szCs w:val="20"/>
              </w:rPr>
              <w:t xml:space="preserve"> or under review with NHSBSA</w:t>
            </w:r>
          </w:p>
        </w:tc>
        <w:tc>
          <w:tcPr>
            <w:tcW w:w="2162" w:type="dxa"/>
            <w:tcBorders>
              <w:top w:val="single" w:sz="6" w:space="0" w:color="auto"/>
              <w:left w:val="single" w:sz="4" w:space="0" w:color="auto"/>
              <w:bottom w:val="single" w:sz="6" w:space="0" w:color="auto"/>
              <w:right w:val="single" w:sz="6" w:space="0" w:color="auto"/>
            </w:tcBorders>
            <w:shd w:val="clear" w:color="auto" w:fill="65922E"/>
            <w:vAlign w:val="center"/>
          </w:tcPr>
          <w:p w14:paraId="7F384556" w14:textId="77777777" w:rsidR="003D639D" w:rsidRPr="001C3932" w:rsidRDefault="003D639D" w:rsidP="009E3076">
            <w:pPr>
              <w:pStyle w:val="NoSpacing"/>
              <w:spacing w:line="259" w:lineRule="auto"/>
              <w:jc w:val="center"/>
              <w:rPr>
                <w:b/>
                <w:bCs/>
                <w:color w:val="FFFFFF" w:themeColor="background1"/>
                <w:sz w:val="20"/>
                <w:szCs w:val="20"/>
              </w:rPr>
            </w:pPr>
            <w:r w:rsidRPr="0D643ABA">
              <w:rPr>
                <w:b/>
                <w:bCs/>
                <w:color w:val="FFFFFF" w:themeColor="background1"/>
                <w:sz w:val="20"/>
                <w:szCs w:val="20"/>
              </w:rPr>
              <w:t>Number of products agreed by DHSC as meeting criteria</w:t>
            </w:r>
          </w:p>
        </w:tc>
      </w:tr>
      <w:tr w:rsidR="003D639D" w:rsidRPr="001C3932" w14:paraId="418F3A8F" w14:textId="77777777" w:rsidTr="009E3076">
        <w:trPr>
          <w:trHeight w:val="1200"/>
        </w:trPr>
        <w:tc>
          <w:tcPr>
            <w:tcW w:w="2260" w:type="dxa"/>
            <w:tcBorders>
              <w:top w:val="single" w:sz="6" w:space="0" w:color="auto"/>
              <w:left w:val="single" w:sz="6" w:space="0" w:color="auto"/>
              <w:bottom w:val="single" w:sz="6" w:space="0" w:color="auto"/>
              <w:right w:val="single" w:sz="6" w:space="0" w:color="auto"/>
            </w:tcBorders>
            <w:shd w:val="clear" w:color="auto" w:fill="65922E"/>
            <w:vAlign w:val="center"/>
          </w:tcPr>
          <w:p w14:paraId="3367F5D2" w14:textId="77777777" w:rsidR="003D639D" w:rsidRPr="001C3932" w:rsidRDefault="003D639D" w:rsidP="009E3076">
            <w:pPr>
              <w:pStyle w:val="NoSpacing"/>
              <w:spacing w:line="259" w:lineRule="auto"/>
              <w:jc w:val="center"/>
              <w:rPr>
                <w:b/>
                <w:bCs/>
                <w:color w:val="FFFFFF" w:themeColor="background1"/>
                <w:sz w:val="20"/>
                <w:szCs w:val="20"/>
              </w:rPr>
            </w:pPr>
            <w:r w:rsidRPr="001C3932">
              <w:rPr>
                <w:b/>
                <w:bCs/>
                <w:color w:val="FFFFFF" w:themeColor="background1"/>
                <w:sz w:val="20"/>
                <w:szCs w:val="20"/>
              </w:rPr>
              <w:t>Effervescent or hygroscopic</w:t>
            </w:r>
            <w:r>
              <w:rPr>
                <w:b/>
                <w:bCs/>
                <w:color w:val="FFFFFF" w:themeColor="background1"/>
                <w:sz w:val="20"/>
                <w:szCs w:val="20"/>
              </w:rPr>
              <w:t>*</w:t>
            </w:r>
          </w:p>
        </w:tc>
        <w:tc>
          <w:tcPr>
            <w:tcW w:w="1736" w:type="dxa"/>
            <w:tcBorders>
              <w:top w:val="single" w:sz="6" w:space="0" w:color="auto"/>
              <w:left w:val="nil"/>
              <w:bottom w:val="single" w:sz="6" w:space="0" w:color="auto"/>
              <w:right w:val="single" w:sz="6" w:space="0" w:color="auto"/>
            </w:tcBorders>
            <w:shd w:val="clear" w:color="auto" w:fill="auto"/>
            <w:vAlign w:val="center"/>
          </w:tcPr>
          <w:p w14:paraId="364E4F75" w14:textId="77777777" w:rsidR="003D639D" w:rsidRPr="0006166A" w:rsidRDefault="003D639D" w:rsidP="009E3076">
            <w:pPr>
              <w:pStyle w:val="NoSpacing"/>
              <w:spacing w:line="259" w:lineRule="auto"/>
              <w:jc w:val="center"/>
              <w:rPr>
                <w:b/>
                <w:color w:val="000000" w:themeColor="text1"/>
                <w:sz w:val="20"/>
                <w:szCs w:val="20"/>
              </w:rPr>
            </w:pPr>
            <w:r w:rsidRPr="21BB3C64">
              <w:rPr>
                <w:b/>
                <w:color w:val="000000" w:themeColor="text1"/>
                <w:sz w:val="20"/>
                <w:szCs w:val="20"/>
              </w:rPr>
              <w:t>26</w:t>
            </w:r>
            <w:r>
              <w:rPr>
                <w:b/>
                <w:color w:val="000000" w:themeColor="text1"/>
                <w:sz w:val="20"/>
                <w:szCs w:val="20"/>
              </w:rPr>
              <w:t>3</w:t>
            </w:r>
          </w:p>
        </w:tc>
        <w:tc>
          <w:tcPr>
            <w:tcW w:w="2162" w:type="dxa"/>
            <w:tcBorders>
              <w:top w:val="single" w:sz="6" w:space="0" w:color="auto"/>
              <w:left w:val="nil"/>
              <w:bottom w:val="single" w:sz="6" w:space="0" w:color="auto"/>
              <w:right w:val="single" w:sz="6" w:space="0" w:color="auto"/>
            </w:tcBorders>
            <w:shd w:val="clear" w:color="auto" w:fill="auto"/>
            <w:vAlign w:val="center"/>
          </w:tcPr>
          <w:p w14:paraId="754B10FF" w14:textId="77777777" w:rsidR="003D639D" w:rsidRPr="0006166A" w:rsidRDefault="003D639D" w:rsidP="009E3076">
            <w:pPr>
              <w:pStyle w:val="NoSpacing"/>
              <w:spacing w:line="259" w:lineRule="auto"/>
              <w:jc w:val="center"/>
              <w:rPr>
                <w:b/>
                <w:color w:val="000000" w:themeColor="text1"/>
                <w:sz w:val="20"/>
                <w:szCs w:val="20"/>
              </w:rPr>
            </w:pPr>
            <w:r w:rsidRPr="21BB3C64">
              <w:rPr>
                <w:b/>
                <w:color w:val="000000" w:themeColor="text1"/>
                <w:sz w:val="20"/>
                <w:szCs w:val="20"/>
              </w:rPr>
              <w:t>2</w:t>
            </w:r>
            <w:r>
              <w:rPr>
                <w:b/>
                <w:color w:val="000000" w:themeColor="text1"/>
                <w:sz w:val="20"/>
                <w:szCs w:val="20"/>
              </w:rPr>
              <w:t>21</w:t>
            </w:r>
          </w:p>
        </w:tc>
        <w:tc>
          <w:tcPr>
            <w:tcW w:w="2162" w:type="dxa"/>
            <w:tcBorders>
              <w:top w:val="single" w:sz="6" w:space="0" w:color="auto"/>
              <w:left w:val="nil"/>
              <w:bottom w:val="single" w:sz="6" w:space="0" w:color="auto"/>
              <w:right w:val="single" w:sz="4" w:space="0" w:color="auto"/>
            </w:tcBorders>
            <w:shd w:val="clear" w:color="auto" w:fill="auto"/>
            <w:vAlign w:val="center"/>
          </w:tcPr>
          <w:p w14:paraId="5BD7EA24" w14:textId="77777777" w:rsidR="003D639D" w:rsidRPr="0006166A" w:rsidRDefault="003D639D" w:rsidP="009E3076">
            <w:pPr>
              <w:pStyle w:val="NoSpacing"/>
              <w:spacing w:line="259" w:lineRule="auto"/>
              <w:jc w:val="center"/>
              <w:rPr>
                <w:b/>
                <w:color w:val="000000" w:themeColor="text1"/>
                <w:sz w:val="20"/>
                <w:szCs w:val="20"/>
              </w:rPr>
            </w:pPr>
            <w:r>
              <w:rPr>
                <w:b/>
                <w:bCs/>
                <w:color w:val="000000" w:themeColor="text1"/>
                <w:sz w:val="20"/>
                <w:szCs w:val="20"/>
              </w:rPr>
              <w:t>180</w:t>
            </w:r>
          </w:p>
        </w:tc>
        <w:tc>
          <w:tcPr>
            <w:tcW w:w="2162" w:type="dxa"/>
            <w:tcBorders>
              <w:top w:val="single" w:sz="6" w:space="0" w:color="auto"/>
              <w:left w:val="single" w:sz="4" w:space="0" w:color="auto"/>
              <w:bottom w:val="single" w:sz="6" w:space="0" w:color="auto"/>
              <w:right w:val="single" w:sz="6" w:space="0" w:color="auto"/>
            </w:tcBorders>
            <w:shd w:val="clear" w:color="auto" w:fill="auto"/>
            <w:vAlign w:val="center"/>
          </w:tcPr>
          <w:p w14:paraId="053E4950" w14:textId="77777777" w:rsidR="003D639D" w:rsidRPr="0006166A" w:rsidRDefault="003D639D" w:rsidP="009E3076">
            <w:pPr>
              <w:pStyle w:val="NoSpacing"/>
              <w:spacing w:line="259" w:lineRule="auto"/>
              <w:jc w:val="center"/>
              <w:rPr>
                <w:b/>
                <w:color w:val="000000" w:themeColor="text1"/>
                <w:sz w:val="20"/>
                <w:szCs w:val="20"/>
              </w:rPr>
            </w:pPr>
            <w:r w:rsidRPr="21BB3C64">
              <w:rPr>
                <w:b/>
                <w:color w:val="000000" w:themeColor="text1"/>
                <w:sz w:val="20"/>
                <w:szCs w:val="20"/>
              </w:rPr>
              <w:t>3</w:t>
            </w:r>
            <w:r>
              <w:rPr>
                <w:b/>
                <w:color w:val="000000" w:themeColor="text1"/>
                <w:sz w:val="20"/>
                <w:szCs w:val="20"/>
              </w:rPr>
              <w:t>3</w:t>
            </w:r>
          </w:p>
        </w:tc>
      </w:tr>
      <w:tr w:rsidR="003D639D" w:rsidRPr="001C3932" w14:paraId="6D756CCF" w14:textId="77777777" w:rsidTr="009E3076">
        <w:trPr>
          <w:trHeight w:val="1200"/>
        </w:trPr>
        <w:tc>
          <w:tcPr>
            <w:tcW w:w="2260" w:type="dxa"/>
            <w:tcBorders>
              <w:top w:val="single" w:sz="6" w:space="0" w:color="auto"/>
              <w:left w:val="single" w:sz="6" w:space="0" w:color="auto"/>
              <w:bottom w:val="single" w:sz="6" w:space="0" w:color="auto"/>
              <w:right w:val="single" w:sz="6" w:space="0" w:color="auto"/>
            </w:tcBorders>
            <w:shd w:val="clear" w:color="auto" w:fill="65922E"/>
            <w:vAlign w:val="center"/>
          </w:tcPr>
          <w:p w14:paraId="2EC65824" w14:textId="77777777" w:rsidR="003D639D" w:rsidRPr="001C3932" w:rsidRDefault="003D639D" w:rsidP="009E3076">
            <w:pPr>
              <w:pStyle w:val="NoSpacing"/>
              <w:spacing w:line="259" w:lineRule="auto"/>
              <w:jc w:val="center"/>
              <w:rPr>
                <w:b/>
                <w:bCs/>
                <w:color w:val="FFFFFF" w:themeColor="background1"/>
                <w:sz w:val="20"/>
                <w:szCs w:val="20"/>
              </w:rPr>
            </w:pPr>
            <w:r w:rsidRPr="001C3932">
              <w:rPr>
                <w:b/>
                <w:bCs/>
                <w:color w:val="FFFFFF" w:themeColor="background1"/>
                <w:sz w:val="20"/>
                <w:szCs w:val="20"/>
              </w:rPr>
              <w:t>Viscous external preparations</w:t>
            </w:r>
            <w:r>
              <w:rPr>
                <w:b/>
                <w:bCs/>
                <w:color w:val="FFFFFF" w:themeColor="background1"/>
                <w:sz w:val="20"/>
                <w:szCs w:val="20"/>
              </w:rPr>
              <w:t>*</w:t>
            </w:r>
          </w:p>
        </w:tc>
        <w:tc>
          <w:tcPr>
            <w:tcW w:w="1736" w:type="dxa"/>
            <w:tcBorders>
              <w:top w:val="single" w:sz="6" w:space="0" w:color="auto"/>
              <w:left w:val="nil"/>
              <w:bottom w:val="single" w:sz="6" w:space="0" w:color="auto"/>
              <w:right w:val="single" w:sz="6" w:space="0" w:color="auto"/>
            </w:tcBorders>
            <w:shd w:val="clear" w:color="auto" w:fill="auto"/>
            <w:vAlign w:val="center"/>
          </w:tcPr>
          <w:p w14:paraId="0A302EE7" w14:textId="77777777" w:rsidR="003D639D" w:rsidRPr="0006166A" w:rsidRDefault="003D639D" w:rsidP="009E3076">
            <w:pPr>
              <w:pStyle w:val="NoSpacing"/>
              <w:spacing w:line="259" w:lineRule="auto"/>
              <w:jc w:val="center"/>
              <w:rPr>
                <w:b/>
                <w:color w:val="000000" w:themeColor="text1"/>
                <w:sz w:val="20"/>
                <w:szCs w:val="20"/>
              </w:rPr>
            </w:pPr>
            <w:r w:rsidRPr="21BB3C64">
              <w:rPr>
                <w:b/>
                <w:color w:val="000000" w:themeColor="text1"/>
                <w:sz w:val="20"/>
                <w:szCs w:val="20"/>
              </w:rPr>
              <w:t>891</w:t>
            </w:r>
          </w:p>
        </w:tc>
        <w:tc>
          <w:tcPr>
            <w:tcW w:w="2162" w:type="dxa"/>
            <w:tcBorders>
              <w:top w:val="single" w:sz="6" w:space="0" w:color="auto"/>
              <w:left w:val="nil"/>
              <w:bottom w:val="single" w:sz="6" w:space="0" w:color="auto"/>
              <w:right w:val="single" w:sz="6" w:space="0" w:color="auto"/>
            </w:tcBorders>
            <w:shd w:val="clear" w:color="auto" w:fill="auto"/>
            <w:vAlign w:val="center"/>
          </w:tcPr>
          <w:p w14:paraId="758414E1" w14:textId="77777777" w:rsidR="003D639D" w:rsidRPr="0006166A" w:rsidRDefault="003D639D" w:rsidP="009E3076">
            <w:pPr>
              <w:pStyle w:val="NoSpacing"/>
              <w:spacing w:line="259" w:lineRule="auto"/>
              <w:jc w:val="center"/>
              <w:rPr>
                <w:b/>
                <w:color w:val="000000" w:themeColor="text1"/>
                <w:sz w:val="20"/>
                <w:szCs w:val="20"/>
              </w:rPr>
            </w:pPr>
            <w:r w:rsidRPr="21BB3C64">
              <w:rPr>
                <w:b/>
                <w:color w:val="000000" w:themeColor="text1"/>
                <w:sz w:val="20"/>
                <w:szCs w:val="20"/>
              </w:rPr>
              <w:t>136</w:t>
            </w:r>
          </w:p>
        </w:tc>
        <w:tc>
          <w:tcPr>
            <w:tcW w:w="2162" w:type="dxa"/>
            <w:tcBorders>
              <w:top w:val="single" w:sz="6" w:space="0" w:color="auto"/>
              <w:left w:val="nil"/>
              <w:bottom w:val="single" w:sz="6" w:space="0" w:color="auto"/>
              <w:right w:val="single" w:sz="4" w:space="0" w:color="auto"/>
            </w:tcBorders>
            <w:shd w:val="clear" w:color="auto" w:fill="auto"/>
            <w:vAlign w:val="center"/>
          </w:tcPr>
          <w:p w14:paraId="6721E815" w14:textId="77777777" w:rsidR="003D639D" w:rsidRPr="0006166A" w:rsidRDefault="003D639D" w:rsidP="009E3076">
            <w:pPr>
              <w:pStyle w:val="NoSpacing"/>
              <w:spacing w:line="259" w:lineRule="auto"/>
              <w:jc w:val="center"/>
              <w:rPr>
                <w:b/>
                <w:color w:val="000000" w:themeColor="text1"/>
                <w:sz w:val="20"/>
                <w:szCs w:val="20"/>
              </w:rPr>
            </w:pPr>
            <w:r>
              <w:rPr>
                <w:b/>
                <w:bCs/>
                <w:color w:val="000000" w:themeColor="text1"/>
                <w:sz w:val="20"/>
                <w:szCs w:val="20"/>
              </w:rPr>
              <w:t>124</w:t>
            </w:r>
          </w:p>
        </w:tc>
        <w:tc>
          <w:tcPr>
            <w:tcW w:w="2162" w:type="dxa"/>
            <w:tcBorders>
              <w:top w:val="single" w:sz="6" w:space="0" w:color="auto"/>
              <w:left w:val="single" w:sz="4" w:space="0" w:color="auto"/>
              <w:bottom w:val="single" w:sz="6" w:space="0" w:color="auto"/>
              <w:right w:val="single" w:sz="6" w:space="0" w:color="auto"/>
            </w:tcBorders>
            <w:shd w:val="clear" w:color="auto" w:fill="auto"/>
            <w:vAlign w:val="center"/>
          </w:tcPr>
          <w:p w14:paraId="1AD160A5" w14:textId="77777777" w:rsidR="003D639D" w:rsidRPr="0006166A" w:rsidRDefault="003D639D" w:rsidP="009E3076">
            <w:pPr>
              <w:pStyle w:val="NoSpacing"/>
              <w:spacing w:line="259" w:lineRule="auto"/>
              <w:jc w:val="center"/>
              <w:rPr>
                <w:b/>
                <w:color w:val="000000" w:themeColor="text1"/>
                <w:sz w:val="20"/>
                <w:szCs w:val="20"/>
              </w:rPr>
            </w:pPr>
            <w:r w:rsidRPr="21BB3C64">
              <w:rPr>
                <w:b/>
                <w:color w:val="000000" w:themeColor="text1"/>
                <w:sz w:val="20"/>
                <w:szCs w:val="20"/>
              </w:rPr>
              <w:t>12</w:t>
            </w:r>
          </w:p>
        </w:tc>
      </w:tr>
      <w:tr w:rsidR="003D639D" w:rsidRPr="001C3932" w14:paraId="215CDFC9" w14:textId="77777777" w:rsidTr="009E3076">
        <w:trPr>
          <w:trHeight w:val="1200"/>
        </w:trPr>
        <w:tc>
          <w:tcPr>
            <w:tcW w:w="2260" w:type="dxa"/>
            <w:tcBorders>
              <w:top w:val="single" w:sz="6" w:space="0" w:color="auto"/>
              <w:left w:val="single" w:sz="6" w:space="0" w:color="auto"/>
              <w:bottom w:val="single" w:sz="6" w:space="0" w:color="auto"/>
              <w:right w:val="single" w:sz="6" w:space="0" w:color="auto"/>
            </w:tcBorders>
            <w:shd w:val="clear" w:color="auto" w:fill="65922E"/>
            <w:vAlign w:val="center"/>
          </w:tcPr>
          <w:p w14:paraId="4CDC3D5B" w14:textId="77777777" w:rsidR="003D639D" w:rsidRPr="001C3932" w:rsidRDefault="003D639D" w:rsidP="009E3076">
            <w:pPr>
              <w:pStyle w:val="NoSpacing"/>
              <w:spacing w:line="259" w:lineRule="auto"/>
              <w:jc w:val="center"/>
              <w:rPr>
                <w:b/>
                <w:bCs/>
                <w:color w:val="FFFFFF" w:themeColor="background1"/>
                <w:sz w:val="20"/>
                <w:szCs w:val="20"/>
              </w:rPr>
            </w:pPr>
            <w:r w:rsidRPr="0D643ABA">
              <w:rPr>
                <w:b/>
                <w:bCs/>
                <w:color w:val="FFFFFF" w:themeColor="background1"/>
                <w:sz w:val="20"/>
                <w:szCs w:val="20"/>
              </w:rPr>
              <w:t>Packaged in a container from which it is not practicable to dispense exact quantity</w:t>
            </w:r>
            <w:r>
              <w:rPr>
                <w:b/>
                <w:bCs/>
                <w:color w:val="FFFFFF" w:themeColor="background1"/>
                <w:sz w:val="20"/>
                <w:szCs w:val="20"/>
              </w:rPr>
              <w:t>*</w:t>
            </w:r>
          </w:p>
        </w:tc>
        <w:tc>
          <w:tcPr>
            <w:tcW w:w="1736" w:type="dxa"/>
            <w:tcBorders>
              <w:top w:val="single" w:sz="6" w:space="0" w:color="auto"/>
              <w:left w:val="nil"/>
              <w:bottom w:val="single" w:sz="6" w:space="0" w:color="auto"/>
              <w:right w:val="single" w:sz="6" w:space="0" w:color="auto"/>
            </w:tcBorders>
            <w:shd w:val="clear" w:color="auto" w:fill="auto"/>
            <w:vAlign w:val="center"/>
          </w:tcPr>
          <w:p w14:paraId="382AA526" w14:textId="77777777" w:rsidR="003D639D" w:rsidRPr="0006166A" w:rsidRDefault="003D639D" w:rsidP="009E3076">
            <w:pPr>
              <w:pStyle w:val="NoSpacing"/>
              <w:spacing w:line="259" w:lineRule="auto"/>
              <w:jc w:val="center"/>
              <w:rPr>
                <w:b/>
                <w:color w:val="000000" w:themeColor="text1"/>
                <w:sz w:val="20"/>
                <w:szCs w:val="20"/>
              </w:rPr>
            </w:pPr>
            <w:r w:rsidRPr="21BB3C64">
              <w:rPr>
                <w:b/>
                <w:color w:val="000000" w:themeColor="text1"/>
                <w:sz w:val="20"/>
                <w:szCs w:val="20"/>
              </w:rPr>
              <w:t>2,9</w:t>
            </w:r>
            <w:r>
              <w:rPr>
                <w:b/>
                <w:color w:val="000000" w:themeColor="text1"/>
                <w:sz w:val="20"/>
                <w:szCs w:val="20"/>
              </w:rPr>
              <w:t>92</w:t>
            </w:r>
          </w:p>
        </w:tc>
        <w:tc>
          <w:tcPr>
            <w:tcW w:w="2162" w:type="dxa"/>
            <w:tcBorders>
              <w:top w:val="single" w:sz="6" w:space="0" w:color="auto"/>
              <w:left w:val="nil"/>
              <w:bottom w:val="single" w:sz="6" w:space="0" w:color="auto"/>
              <w:right w:val="single" w:sz="6" w:space="0" w:color="auto"/>
            </w:tcBorders>
            <w:shd w:val="clear" w:color="auto" w:fill="auto"/>
            <w:vAlign w:val="center"/>
          </w:tcPr>
          <w:p w14:paraId="570E7B85" w14:textId="77777777" w:rsidR="003D639D" w:rsidRPr="0006166A" w:rsidRDefault="003D639D" w:rsidP="009E3076">
            <w:pPr>
              <w:pStyle w:val="NoSpacing"/>
              <w:spacing w:line="259" w:lineRule="auto"/>
              <w:jc w:val="center"/>
              <w:rPr>
                <w:b/>
                <w:color w:val="000000" w:themeColor="text1"/>
                <w:sz w:val="20"/>
                <w:szCs w:val="20"/>
              </w:rPr>
            </w:pPr>
            <w:r w:rsidRPr="21BB3C64">
              <w:rPr>
                <w:b/>
                <w:color w:val="000000" w:themeColor="text1"/>
                <w:sz w:val="20"/>
                <w:szCs w:val="20"/>
              </w:rPr>
              <w:t>50</w:t>
            </w:r>
            <w:r>
              <w:rPr>
                <w:b/>
                <w:color w:val="000000" w:themeColor="text1"/>
                <w:sz w:val="20"/>
                <w:szCs w:val="20"/>
              </w:rPr>
              <w:t>4</w:t>
            </w:r>
          </w:p>
        </w:tc>
        <w:tc>
          <w:tcPr>
            <w:tcW w:w="2162" w:type="dxa"/>
            <w:tcBorders>
              <w:top w:val="single" w:sz="6" w:space="0" w:color="auto"/>
              <w:left w:val="nil"/>
              <w:bottom w:val="single" w:sz="6" w:space="0" w:color="auto"/>
              <w:right w:val="single" w:sz="4" w:space="0" w:color="auto"/>
            </w:tcBorders>
            <w:shd w:val="clear" w:color="auto" w:fill="auto"/>
            <w:vAlign w:val="center"/>
          </w:tcPr>
          <w:p w14:paraId="61A5798D" w14:textId="77777777" w:rsidR="003D639D" w:rsidRPr="0006166A" w:rsidRDefault="003D639D" w:rsidP="009E3076">
            <w:pPr>
              <w:pStyle w:val="NoSpacing"/>
              <w:spacing w:line="259" w:lineRule="auto"/>
              <w:jc w:val="center"/>
              <w:rPr>
                <w:b/>
                <w:color w:val="000000" w:themeColor="text1"/>
                <w:sz w:val="20"/>
                <w:szCs w:val="20"/>
              </w:rPr>
            </w:pPr>
            <w:r>
              <w:rPr>
                <w:b/>
                <w:bCs/>
                <w:color w:val="000000" w:themeColor="text1"/>
                <w:sz w:val="20"/>
                <w:szCs w:val="20"/>
              </w:rPr>
              <w:t>432</w:t>
            </w:r>
          </w:p>
        </w:tc>
        <w:tc>
          <w:tcPr>
            <w:tcW w:w="2162" w:type="dxa"/>
            <w:tcBorders>
              <w:top w:val="single" w:sz="6" w:space="0" w:color="auto"/>
              <w:left w:val="single" w:sz="4" w:space="0" w:color="auto"/>
              <w:bottom w:val="single" w:sz="6" w:space="0" w:color="auto"/>
              <w:right w:val="single" w:sz="6" w:space="0" w:color="auto"/>
            </w:tcBorders>
            <w:shd w:val="clear" w:color="auto" w:fill="auto"/>
            <w:vAlign w:val="center"/>
          </w:tcPr>
          <w:p w14:paraId="24350711" w14:textId="77777777" w:rsidR="003D639D" w:rsidRPr="0006166A" w:rsidRDefault="003D639D" w:rsidP="009E3076">
            <w:pPr>
              <w:pStyle w:val="NoSpacing"/>
              <w:spacing w:line="259" w:lineRule="auto"/>
              <w:jc w:val="center"/>
              <w:rPr>
                <w:b/>
                <w:color w:val="000000" w:themeColor="text1"/>
                <w:sz w:val="20"/>
                <w:szCs w:val="20"/>
              </w:rPr>
            </w:pPr>
            <w:r w:rsidRPr="21BB3C64">
              <w:rPr>
                <w:b/>
                <w:color w:val="000000" w:themeColor="text1"/>
                <w:sz w:val="20"/>
                <w:szCs w:val="20"/>
              </w:rPr>
              <w:t>6</w:t>
            </w:r>
            <w:r>
              <w:rPr>
                <w:b/>
                <w:color w:val="000000" w:themeColor="text1"/>
                <w:sz w:val="20"/>
                <w:szCs w:val="20"/>
              </w:rPr>
              <w:t>6</w:t>
            </w:r>
          </w:p>
        </w:tc>
      </w:tr>
      <w:tr w:rsidR="003D639D" w:rsidRPr="001C3932" w14:paraId="70E3744E" w14:textId="77777777" w:rsidTr="009E3076">
        <w:trPr>
          <w:trHeight w:val="1200"/>
        </w:trPr>
        <w:tc>
          <w:tcPr>
            <w:tcW w:w="2260" w:type="dxa"/>
            <w:tcBorders>
              <w:top w:val="single" w:sz="6" w:space="0" w:color="auto"/>
              <w:left w:val="single" w:sz="6" w:space="0" w:color="auto"/>
              <w:bottom w:val="single" w:sz="6" w:space="0" w:color="auto"/>
              <w:right w:val="single" w:sz="6" w:space="0" w:color="auto"/>
            </w:tcBorders>
            <w:shd w:val="clear" w:color="auto" w:fill="65922E"/>
            <w:vAlign w:val="center"/>
          </w:tcPr>
          <w:p w14:paraId="0301D5E0" w14:textId="77777777" w:rsidR="003D639D" w:rsidRPr="001C3932" w:rsidRDefault="003D639D" w:rsidP="009E3076">
            <w:pPr>
              <w:pStyle w:val="NoSpacing"/>
              <w:spacing w:line="259" w:lineRule="auto"/>
              <w:jc w:val="center"/>
              <w:rPr>
                <w:b/>
                <w:bCs/>
                <w:color w:val="FFFFFF" w:themeColor="background1"/>
                <w:sz w:val="20"/>
                <w:szCs w:val="20"/>
              </w:rPr>
            </w:pPr>
            <w:r w:rsidRPr="001C3932">
              <w:rPr>
                <w:b/>
                <w:bCs/>
                <w:color w:val="FFFFFF" w:themeColor="background1"/>
                <w:sz w:val="20"/>
                <w:szCs w:val="20"/>
              </w:rPr>
              <w:t>Total</w:t>
            </w:r>
          </w:p>
        </w:tc>
        <w:tc>
          <w:tcPr>
            <w:tcW w:w="1736" w:type="dxa"/>
            <w:tcBorders>
              <w:top w:val="single" w:sz="6" w:space="0" w:color="auto"/>
              <w:left w:val="nil"/>
              <w:bottom w:val="single" w:sz="6" w:space="0" w:color="auto"/>
              <w:right w:val="single" w:sz="6" w:space="0" w:color="auto"/>
            </w:tcBorders>
            <w:shd w:val="clear" w:color="auto" w:fill="auto"/>
            <w:vAlign w:val="center"/>
          </w:tcPr>
          <w:p w14:paraId="78769A29" w14:textId="77777777" w:rsidR="003D639D" w:rsidRPr="0006166A" w:rsidRDefault="003D639D" w:rsidP="009E3076">
            <w:pPr>
              <w:pStyle w:val="NoSpacing"/>
              <w:spacing w:line="259" w:lineRule="auto"/>
              <w:jc w:val="center"/>
              <w:rPr>
                <w:b/>
                <w:color w:val="000000" w:themeColor="text1"/>
                <w:sz w:val="20"/>
                <w:szCs w:val="20"/>
              </w:rPr>
            </w:pPr>
            <w:r w:rsidRPr="21BB3C64">
              <w:rPr>
                <w:b/>
                <w:color w:val="000000" w:themeColor="text1"/>
                <w:sz w:val="20"/>
                <w:szCs w:val="20"/>
              </w:rPr>
              <w:t>4,14</w:t>
            </w:r>
            <w:r>
              <w:rPr>
                <w:b/>
                <w:color w:val="000000" w:themeColor="text1"/>
                <w:sz w:val="20"/>
                <w:szCs w:val="20"/>
              </w:rPr>
              <w:t>6</w:t>
            </w:r>
          </w:p>
        </w:tc>
        <w:tc>
          <w:tcPr>
            <w:tcW w:w="2162" w:type="dxa"/>
            <w:tcBorders>
              <w:top w:val="single" w:sz="6" w:space="0" w:color="auto"/>
              <w:left w:val="nil"/>
              <w:bottom w:val="single" w:sz="6" w:space="0" w:color="auto"/>
              <w:right w:val="single" w:sz="6" w:space="0" w:color="auto"/>
            </w:tcBorders>
            <w:shd w:val="clear" w:color="auto" w:fill="auto"/>
            <w:vAlign w:val="center"/>
          </w:tcPr>
          <w:p w14:paraId="7905020B" w14:textId="77777777" w:rsidR="003D639D" w:rsidRPr="0006166A" w:rsidRDefault="003D639D" w:rsidP="009E3076">
            <w:pPr>
              <w:pStyle w:val="NoSpacing"/>
              <w:spacing w:line="259" w:lineRule="auto"/>
              <w:jc w:val="center"/>
              <w:rPr>
                <w:b/>
                <w:color w:val="000000" w:themeColor="text1"/>
                <w:sz w:val="20"/>
                <w:szCs w:val="20"/>
              </w:rPr>
            </w:pPr>
            <w:r w:rsidRPr="21BB3C64">
              <w:rPr>
                <w:b/>
                <w:color w:val="000000" w:themeColor="text1"/>
                <w:sz w:val="20"/>
                <w:szCs w:val="20"/>
              </w:rPr>
              <w:t>8</w:t>
            </w:r>
            <w:r>
              <w:rPr>
                <w:b/>
                <w:color w:val="000000" w:themeColor="text1"/>
                <w:sz w:val="20"/>
                <w:szCs w:val="20"/>
              </w:rPr>
              <w:t>61</w:t>
            </w:r>
          </w:p>
        </w:tc>
        <w:tc>
          <w:tcPr>
            <w:tcW w:w="2162" w:type="dxa"/>
            <w:tcBorders>
              <w:top w:val="single" w:sz="6" w:space="0" w:color="auto"/>
              <w:left w:val="nil"/>
              <w:bottom w:val="single" w:sz="6" w:space="0" w:color="auto"/>
              <w:right w:val="single" w:sz="4" w:space="0" w:color="auto"/>
            </w:tcBorders>
            <w:shd w:val="clear" w:color="auto" w:fill="auto"/>
            <w:vAlign w:val="center"/>
          </w:tcPr>
          <w:p w14:paraId="502C472C" w14:textId="77777777" w:rsidR="003D639D" w:rsidRPr="0006166A" w:rsidRDefault="003D639D" w:rsidP="009E3076">
            <w:pPr>
              <w:pStyle w:val="NoSpacing"/>
              <w:spacing w:line="259" w:lineRule="auto"/>
              <w:jc w:val="center"/>
              <w:rPr>
                <w:b/>
                <w:color w:val="000000" w:themeColor="text1"/>
                <w:sz w:val="20"/>
                <w:szCs w:val="20"/>
              </w:rPr>
            </w:pPr>
            <w:r>
              <w:rPr>
                <w:b/>
                <w:bCs/>
                <w:color w:val="000000" w:themeColor="text1"/>
                <w:sz w:val="20"/>
                <w:szCs w:val="20"/>
              </w:rPr>
              <w:t>736</w:t>
            </w:r>
          </w:p>
        </w:tc>
        <w:tc>
          <w:tcPr>
            <w:tcW w:w="2162" w:type="dxa"/>
            <w:tcBorders>
              <w:top w:val="single" w:sz="6" w:space="0" w:color="auto"/>
              <w:left w:val="single" w:sz="4" w:space="0" w:color="auto"/>
              <w:bottom w:val="single" w:sz="6" w:space="0" w:color="auto"/>
              <w:right w:val="single" w:sz="6" w:space="0" w:color="auto"/>
            </w:tcBorders>
            <w:shd w:val="clear" w:color="auto" w:fill="auto"/>
            <w:vAlign w:val="center"/>
          </w:tcPr>
          <w:p w14:paraId="4DB34178" w14:textId="77777777" w:rsidR="003D639D" w:rsidRPr="0006166A" w:rsidRDefault="003D639D" w:rsidP="009E3076">
            <w:pPr>
              <w:pStyle w:val="NoSpacing"/>
              <w:spacing w:line="259" w:lineRule="auto"/>
              <w:jc w:val="center"/>
              <w:rPr>
                <w:b/>
                <w:color w:val="000000" w:themeColor="text1"/>
                <w:sz w:val="20"/>
                <w:szCs w:val="20"/>
              </w:rPr>
            </w:pPr>
            <w:r w:rsidRPr="21BB3C64">
              <w:rPr>
                <w:b/>
                <w:color w:val="000000" w:themeColor="text1"/>
                <w:sz w:val="20"/>
                <w:szCs w:val="20"/>
              </w:rPr>
              <w:t>1</w:t>
            </w:r>
            <w:r>
              <w:rPr>
                <w:b/>
                <w:color w:val="000000" w:themeColor="text1"/>
                <w:sz w:val="20"/>
                <w:szCs w:val="20"/>
              </w:rPr>
              <w:t>11</w:t>
            </w:r>
          </w:p>
        </w:tc>
      </w:tr>
    </w:tbl>
    <w:p w14:paraId="60F1BAC3" w14:textId="77777777" w:rsidR="003D639D" w:rsidRPr="00D303D2" w:rsidRDefault="003D639D" w:rsidP="003D639D">
      <w:pPr>
        <w:pStyle w:val="NoSpacing"/>
        <w:spacing w:line="259" w:lineRule="auto"/>
      </w:pPr>
    </w:p>
    <w:p w14:paraId="3496B05E" w14:textId="77777777" w:rsidR="003D639D" w:rsidRPr="00AF6350" w:rsidRDefault="003D639D" w:rsidP="003D639D">
      <w:pPr>
        <w:pStyle w:val="NoSpacing"/>
        <w:spacing w:line="259" w:lineRule="auto"/>
        <w:rPr>
          <w:rFonts w:eastAsiaTheme="minorEastAsia"/>
          <w:i/>
          <w:iCs/>
          <w:color w:val="000000" w:themeColor="text1"/>
          <w:sz w:val="20"/>
          <w:szCs w:val="20"/>
        </w:rPr>
      </w:pPr>
      <w:r w:rsidRPr="00AF6350">
        <w:rPr>
          <w:rFonts w:eastAsiaTheme="minorEastAsia"/>
          <w:i/>
          <w:iCs/>
          <w:color w:val="000000" w:themeColor="text1"/>
          <w:sz w:val="20"/>
          <w:szCs w:val="20"/>
        </w:rPr>
        <w:t xml:space="preserve">*Please note some products may have been applied for under more than one criteria </w:t>
      </w:r>
    </w:p>
    <w:p w14:paraId="13F8E4B6" w14:textId="77777777" w:rsidR="003D639D" w:rsidRPr="00AF6350" w:rsidRDefault="003D639D" w:rsidP="003D639D">
      <w:pPr>
        <w:pStyle w:val="NoSpacing"/>
        <w:spacing w:line="259" w:lineRule="auto"/>
        <w:rPr>
          <w:rFonts w:eastAsiaTheme="minorEastAsia"/>
          <w:color w:val="000000" w:themeColor="text1"/>
          <w:sz w:val="20"/>
          <w:szCs w:val="20"/>
        </w:rPr>
      </w:pPr>
    </w:p>
    <w:p w14:paraId="4E6AD66F" w14:textId="77777777" w:rsidR="003D639D" w:rsidRPr="00D303D2" w:rsidRDefault="003D639D" w:rsidP="003D639D">
      <w:pPr>
        <w:pStyle w:val="NoSpacing"/>
        <w:spacing w:line="259" w:lineRule="auto"/>
        <w:jc w:val="both"/>
        <w:rPr>
          <w:rFonts w:eastAsiaTheme="minorEastAsia"/>
          <w:color w:val="000000" w:themeColor="text1"/>
        </w:rPr>
      </w:pPr>
      <w:r w:rsidRPr="47EEB0E0">
        <w:rPr>
          <w:rFonts w:eastAsiaTheme="minorEastAsia"/>
          <w:color w:val="000000" w:themeColor="text1"/>
        </w:rPr>
        <w:lastRenderedPageBreak/>
        <w:t>PSNC has submitted a paper to DHSC setting out its concerns relating to the current processes for determining the special container status of products and included proposals to facilitate more accurate assessment of products against the relevant Drug Tariff criteria.</w:t>
      </w:r>
    </w:p>
    <w:p w14:paraId="73B142A1" w14:textId="77777777" w:rsidR="003D639D" w:rsidRPr="007930A0" w:rsidRDefault="003D639D" w:rsidP="003D639D">
      <w:pPr>
        <w:pStyle w:val="NoSpacing"/>
        <w:spacing w:line="259" w:lineRule="auto"/>
        <w:rPr>
          <w:rFonts w:ascii="Calibri Light" w:eastAsia="Calibri Light" w:hAnsi="Calibri Light" w:cs="Calibri Light"/>
          <w:color w:val="1F487C"/>
        </w:rPr>
      </w:pPr>
      <w:r>
        <w:br/>
      </w:r>
    </w:p>
    <w:p w14:paraId="72560050" w14:textId="77777777" w:rsidR="003D639D" w:rsidRPr="00D303D2" w:rsidRDefault="003D639D" w:rsidP="003D639D">
      <w:pPr>
        <w:pStyle w:val="NoSpacing"/>
        <w:spacing w:line="259" w:lineRule="auto"/>
        <w:rPr>
          <w:rFonts w:ascii="Calibri Light" w:eastAsia="Calibri Light" w:hAnsi="Calibri Light" w:cs="Calibri Light"/>
          <w:color w:val="44546A" w:themeColor="text2"/>
          <w:sz w:val="32"/>
          <w:szCs w:val="32"/>
        </w:rPr>
      </w:pPr>
      <w:bookmarkStart w:id="11" w:name="dnd"/>
      <w:r w:rsidRPr="2CF1D19E">
        <w:rPr>
          <w:rFonts w:ascii="Calibri Light" w:eastAsia="Calibri Light" w:hAnsi="Calibri Light" w:cs="Calibri Light"/>
          <w:color w:val="1F487C"/>
          <w:sz w:val="32"/>
          <w:szCs w:val="32"/>
        </w:rPr>
        <w:t>Further additions to the Discount Not Deducted (DND) list</w:t>
      </w:r>
    </w:p>
    <w:bookmarkEnd w:id="11"/>
    <w:p w14:paraId="6856F791" w14:textId="77777777" w:rsidR="003D639D" w:rsidRPr="00D303D2" w:rsidRDefault="003D639D" w:rsidP="003D639D">
      <w:pPr>
        <w:jc w:val="both"/>
        <w:rPr>
          <w:highlight w:val="yellow"/>
        </w:rPr>
      </w:pPr>
      <w:r>
        <w:br/>
      </w:r>
      <w:r w:rsidRPr="47EEB0E0">
        <w:rPr>
          <w:rFonts w:eastAsiaTheme="minorEastAsia"/>
          <w:color w:val="000000" w:themeColor="text1"/>
        </w:rPr>
        <w:t xml:space="preserve">Over the past 12 months, following contractor feedback and through internal Dispensing &amp; Supply team checks, product applications for </w:t>
      </w:r>
      <w:r w:rsidRPr="47EEB0E0">
        <w:rPr>
          <w:color w:val="000000" w:themeColor="text1"/>
        </w:rPr>
        <w:t>D</w:t>
      </w:r>
      <w:r w:rsidRPr="47EEB0E0">
        <w:rPr>
          <w:rFonts w:eastAsiaTheme="minorEastAsia"/>
          <w:color w:val="000000" w:themeColor="text1"/>
        </w:rPr>
        <w:t xml:space="preserve">ND status have been submitted to the NHSBSA and DHSC for </w:t>
      </w:r>
      <w:r w:rsidRPr="47EEB0E0">
        <w:rPr>
          <w:rFonts w:eastAsiaTheme="minorEastAsia"/>
          <w:b/>
          <w:bCs/>
          <w:color w:val="000000" w:themeColor="text1"/>
        </w:rPr>
        <w:t>over 4</w:t>
      </w:r>
      <w:r>
        <w:rPr>
          <w:rFonts w:eastAsiaTheme="minorEastAsia"/>
          <w:b/>
          <w:bCs/>
          <w:color w:val="000000" w:themeColor="text1"/>
        </w:rPr>
        <w:t>8</w:t>
      </w:r>
      <w:r w:rsidRPr="47EEB0E0">
        <w:rPr>
          <w:rFonts w:eastAsiaTheme="minorEastAsia"/>
          <w:b/>
          <w:bCs/>
          <w:color w:val="000000" w:themeColor="text1"/>
        </w:rPr>
        <w:t>0</w:t>
      </w:r>
      <w:r w:rsidRPr="47EEB0E0">
        <w:rPr>
          <w:rFonts w:eastAsiaTheme="minorEastAsia"/>
          <w:color w:val="000000" w:themeColor="text1"/>
        </w:rPr>
        <w:t xml:space="preserve"> products. Of these, </w:t>
      </w:r>
      <w:r w:rsidRPr="47EEB0E0">
        <w:rPr>
          <w:rFonts w:eastAsiaTheme="minorEastAsia"/>
          <w:b/>
          <w:bCs/>
          <w:color w:val="000000" w:themeColor="text1"/>
        </w:rPr>
        <w:t>3</w:t>
      </w:r>
      <w:r>
        <w:rPr>
          <w:rFonts w:eastAsiaTheme="minorEastAsia"/>
          <w:b/>
          <w:bCs/>
          <w:color w:val="000000" w:themeColor="text1"/>
        </w:rPr>
        <w:t>72</w:t>
      </w:r>
      <w:r w:rsidRPr="47EEB0E0">
        <w:rPr>
          <w:rFonts w:eastAsiaTheme="minorEastAsia"/>
          <w:b/>
          <w:bCs/>
          <w:color w:val="000000" w:themeColor="text1"/>
        </w:rPr>
        <w:t xml:space="preserve"> </w:t>
      </w:r>
      <w:r w:rsidRPr="47EEB0E0">
        <w:rPr>
          <w:rFonts w:eastAsiaTheme="minorEastAsia"/>
          <w:color w:val="000000" w:themeColor="text1"/>
        </w:rPr>
        <w:t>products have been agreed to by DHSC and added to the DND list in the Drug Tariff.</w:t>
      </w:r>
      <w:r w:rsidRPr="47EEB0E0">
        <w:rPr>
          <w:color w:val="000000" w:themeColor="text1"/>
        </w:rPr>
        <w:t xml:space="preserve"> </w:t>
      </w:r>
      <w:r w:rsidRPr="47EEB0E0">
        <w:t>For a list of all the monthly changes to the DND status of products please see the following page</w:t>
      </w:r>
      <w:r w:rsidRPr="47EEB0E0">
        <w:rPr>
          <w:rFonts w:ascii="Calibri Light" w:hAnsi="Calibri Light" w:cs="Calibri Light"/>
          <w:b/>
          <w:bCs/>
        </w:rPr>
        <w:t> </w:t>
      </w:r>
      <w:r w:rsidRPr="47EEB0E0">
        <w:rPr>
          <w:rFonts w:ascii="Calibri Light" w:hAnsi="Calibri Light" w:cs="Calibri Light"/>
          <w:b/>
          <w:bCs/>
          <w:i/>
          <w:iCs/>
        </w:rPr>
        <w:t>‘</w:t>
      </w:r>
      <w:hyperlink r:id="rId47">
        <w:r w:rsidRPr="47EEB0E0">
          <w:rPr>
            <w:rStyle w:val="Hyperlink"/>
            <w:i/>
            <w:iCs/>
          </w:rPr>
          <w:t>Notice of changes to discount not deducted (DND) status of products</w:t>
        </w:r>
      </w:hyperlink>
      <w:r w:rsidRPr="47EEB0E0">
        <w:rPr>
          <w:i/>
          <w:iCs/>
        </w:rPr>
        <w:t>'.</w:t>
      </w:r>
    </w:p>
    <w:p w14:paraId="6B647547" w14:textId="77777777" w:rsidR="003D639D" w:rsidRDefault="003D639D" w:rsidP="003D639D">
      <w:pPr>
        <w:jc w:val="both"/>
      </w:pPr>
    </w:p>
    <w:p w14:paraId="07F40B73" w14:textId="77777777" w:rsidR="003D639D" w:rsidRPr="006C253C" w:rsidRDefault="003D639D" w:rsidP="003D639D">
      <w:pPr>
        <w:jc w:val="both"/>
      </w:pPr>
      <w:r>
        <w:t>The team has also started their yearly analysis into finding new DND products and will make periodic applications to NHSBSA and DHSC.</w:t>
      </w:r>
    </w:p>
    <w:p w14:paraId="3867E88F" w14:textId="77777777" w:rsidR="003D639D" w:rsidRDefault="003D639D" w:rsidP="003D639D"/>
    <w:p w14:paraId="05518F1E" w14:textId="77777777" w:rsidR="003D639D" w:rsidRPr="006C253C" w:rsidRDefault="003D639D" w:rsidP="003D639D"/>
    <w:p w14:paraId="24EC2B38" w14:textId="77777777" w:rsidR="003D639D" w:rsidRDefault="003D639D" w:rsidP="003D639D">
      <w:pPr>
        <w:pStyle w:val="NoSpacing"/>
        <w:spacing w:after="200" w:line="276" w:lineRule="auto"/>
        <w:jc w:val="both"/>
        <w:rPr>
          <w:rFonts w:ascii="Calibri Light" w:eastAsia="Calibri Light" w:hAnsi="Calibri Light" w:cs="Calibri Light"/>
          <w:color w:val="44546A" w:themeColor="text2"/>
          <w:sz w:val="32"/>
          <w:szCs w:val="32"/>
        </w:rPr>
      </w:pPr>
      <w:bookmarkStart w:id="12" w:name="supply"/>
      <w:r w:rsidRPr="47EEB0E0">
        <w:rPr>
          <w:rFonts w:ascii="Calibri Light" w:eastAsia="Calibri Light" w:hAnsi="Calibri Light" w:cs="Calibri Light"/>
          <w:color w:val="1F487C"/>
          <w:sz w:val="32"/>
          <w:szCs w:val="32"/>
        </w:rPr>
        <w:t>Market movements with implications for supply</w:t>
      </w:r>
    </w:p>
    <w:bookmarkEnd w:id="12"/>
    <w:p w14:paraId="1342DB76" w14:textId="77777777" w:rsidR="003D639D" w:rsidRDefault="003D639D" w:rsidP="003D639D">
      <w:pPr>
        <w:pStyle w:val="NoSpacing"/>
      </w:pPr>
      <w:r>
        <w:t xml:space="preserve">The following </w:t>
      </w:r>
      <w:r w:rsidRPr="417D8021">
        <w:rPr>
          <w:b/>
          <w:bCs/>
        </w:rPr>
        <w:t>19</w:t>
      </w:r>
      <w:r w:rsidRPr="417D8021">
        <w:rPr>
          <w:b/>
        </w:rPr>
        <w:t xml:space="preserve"> </w:t>
      </w:r>
      <w:r>
        <w:t>supply disruption alerts and medicine supply notifications (issued by DHSC between 15 May 2021 and 2 August 2021) were published on the PSNC website by the Dispensing &amp; Supply team to assist pharmacy teams:</w:t>
      </w:r>
    </w:p>
    <w:p w14:paraId="06EA08B9" w14:textId="77777777" w:rsidR="003D639D" w:rsidRPr="00604597" w:rsidRDefault="003D639D" w:rsidP="003D639D">
      <w:pPr>
        <w:pStyle w:val="NoSpacing"/>
        <w:rPr>
          <w:rFonts w:ascii="Calibri Light" w:eastAsia="Calibri Light" w:hAnsi="Calibri Light" w:cs="Calibri Light"/>
          <w:b/>
          <w:bCs/>
          <w:color w:val="44546A" w:themeColor="text2"/>
          <w:sz w:val="24"/>
          <w:szCs w:val="24"/>
        </w:rPr>
      </w:pPr>
    </w:p>
    <w:tbl>
      <w:tblPr>
        <w:tblW w:w="10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9203"/>
      </w:tblGrid>
      <w:tr w:rsidR="003D639D" w:rsidRPr="00D912FB" w14:paraId="4DD57195" w14:textId="77777777" w:rsidTr="009E3076">
        <w:trPr>
          <w:trHeight w:val="300"/>
          <w:tblHeader/>
        </w:trPr>
        <w:tc>
          <w:tcPr>
            <w:tcW w:w="1410" w:type="dxa"/>
            <w:shd w:val="clear" w:color="auto" w:fill="65922E"/>
            <w:noWrap/>
            <w:vAlign w:val="center"/>
            <w:hideMark/>
          </w:tcPr>
          <w:p w14:paraId="5B5D664A" w14:textId="77777777" w:rsidR="003D639D" w:rsidRPr="00333782" w:rsidRDefault="003D639D" w:rsidP="009E3076">
            <w:pPr>
              <w:jc w:val="both"/>
              <w:rPr>
                <w:b/>
                <w:color w:val="FFFFFF" w:themeColor="background1"/>
                <w:sz w:val="20"/>
                <w:szCs w:val="20"/>
              </w:rPr>
            </w:pPr>
            <w:r w:rsidRPr="35127EA3">
              <w:rPr>
                <w:b/>
                <w:color w:val="FFFFFF" w:themeColor="background1"/>
                <w:sz w:val="20"/>
                <w:szCs w:val="20"/>
              </w:rPr>
              <w:t>Date</w:t>
            </w:r>
          </w:p>
        </w:tc>
        <w:tc>
          <w:tcPr>
            <w:tcW w:w="9203" w:type="dxa"/>
            <w:shd w:val="clear" w:color="auto" w:fill="65922E"/>
            <w:noWrap/>
            <w:vAlign w:val="center"/>
            <w:hideMark/>
          </w:tcPr>
          <w:p w14:paraId="292A10DB" w14:textId="77777777" w:rsidR="003D639D" w:rsidRPr="00333782" w:rsidRDefault="003D639D" w:rsidP="009E3076">
            <w:pPr>
              <w:jc w:val="both"/>
              <w:rPr>
                <w:b/>
                <w:color w:val="FFFFFF" w:themeColor="background1"/>
                <w:sz w:val="20"/>
                <w:szCs w:val="20"/>
              </w:rPr>
            </w:pPr>
            <w:r w:rsidRPr="35127EA3">
              <w:rPr>
                <w:b/>
                <w:color w:val="FFFFFF" w:themeColor="background1"/>
                <w:sz w:val="20"/>
                <w:szCs w:val="20"/>
              </w:rPr>
              <w:t>Drug</w:t>
            </w:r>
            <w:r w:rsidRPr="73384604">
              <w:rPr>
                <w:b/>
                <w:bCs/>
                <w:color w:val="FFFFFF" w:themeColor="background1"/>
                <w:sz w:val="20"/>
                <w:szCs w:val="20"/>
              </w:rPr>
              <w:t xml:space="preserve"> name</w:t>
            </w:r>
          </w:p>
        </w:tc>
      </w:tr>
      <w:tr w:rsidR="003D639D" w:rsidRPr="00D912FB" w14:paraId="70C54A07" w14:textId="77777777" w:rsidTr="009E3076">
        <w:trPr>
          <w:trHeight w:val="315"/>
        </w:trPr>
        <w:tc>
          <w:tcPr>
            <w:tcW w:w="1410" w:type="dxa"/>
            <w:shd w:val="clear" w:color="auto" w:fill="auto"/>
            <w:noWrap/>
            <w:vAlign w:val="center"/>
          </w:tcPr>
          <w:p w14:paraId="10733AAC" w14:textId="77777777" w:rsidR="003D639D" w:rsidRDefault="003D639D" w:rsidP="009E3076">
            <w:pPr>
              <w:jc w:val="both"/>
              <w:rPr>
                <w:rFonts w:eastAsiaTheme="minorEastAsia"/>
                <w:color w:val="000000" w:themeColor="text1"/>
                <w:sz w:val="20"/>
                <w:szCs w:val="20"/>
              </w:rPr>
            </w:pPr>
            <w:r>
              <w:rPr>
                <w:rFonts w:eastAsiaTheme="minorEastAsia"/>
                <w:color w:val="000000" w:themeColor="text1"/>
                <w:sz w:val="20"/>
                <w:szCs w:val="20"/>
              </w:rPr>
              <w:t>02/08/21</w:t>
            </w:r>
          </w:p>
        </w:tc>
        <w:tc>
          <w:tcPr>
            <w:tcW w:w="9203" w:type="dxa"/>
            <w:shd w:val="clear" w:color="auto" w:fill="auto"/>
            <w:noWrap/>
            <w:vAlign w:val="center"/>
          </w:tcPr>
          <w:p w14:paraId="2F9E8E49" w14:textId="77777777" w:rsidR="003D639D" w:rsidRDefault="00F76EBD" w:rsidP="009E3076">
            <w:pPr>
              <w:jc w:val="both"/>
            </w:pPr>
            <w:hyperlink r:id="rId48" w:history="1">
              <w:r w:rsidR="003D639D" w:rsidRPr="008F11C9">
                <w:rPr>
                  <w:rStyle w:val="Hyperlink"/>
                </w:rPr>
                <w:t>Glipizide (Minodiab®) 5mg tablets</w:t>
              </w:r>
            </w:hyperlink>
          </w:p>
        </w:tc>
      </w:tr>
      <w:tr w:rsidR="003D639D" w:rsidRPr="00D912FB" w14:paraId="224EA0FA" w14:textId="77777777" w:rsidTr="009E3076">
        <w:trPr>
          <w:trHeight w:val="315"/>
        </w:trPr>
        <w:tc>
          <w:tcPr>
            <w:tcW w:w="1410" w:type="dxa"/>
            <w:shd w:val="clear" w:color="auto" w:fill="auto"/>
            <w:noWrap/>
            <w:vAlign w:val="center"/>
          </w:tcPr>
          <w:p w14:paraId="5BB5E1A2" w14:textId="77777777" w:rsidR="003D639D" w:rsidRPr="004540B9" w:rsidRDefault="003D639D" w:rsidP="009E3076">
            <w:pPr>
              <w:jc w:val="both"/>
              <w:rPr>
                <w:rFonts w:eastAsiaTheme="minorEastAsia"/>
                <w:color w:val="000000" w:themeColor="text1"/>
                <w:sz w:val="20"/>
                <w:szCs w:val="20"/>
              </w:rPr>
            </w:pPr>
            <w:r>
              <w:rPr>
                <w:rFonts w:eastAsiaTheme="minorEastAsia"/>
                <w:color w:val="000000" w:themeColor="text1"/>
                <w:sz w:val="20"/>
                <w:szCs w:val="20"/>
              </w:rPr>
              <w:t>29/07/21</w:t>
            </w:r>
          </w:p>
        </w:tc>
        <w:tc>
          <w:tcPr>
            <w:tcW w:w="9203" w:type="dxa"/>
            <w:shd w:val="clear" w:color="auto" w:fill="auto"/>
            <w:noWrap/>
            <w:vAlign w:val="center"/>
          </w:tcPr>
          <w:p w14:paraId="6B9DDDB0" w14:textId="77777777" w:rsidR="003D639D" w:rsidRPr="00E32183" w:rsidRDefault="00F76EBD" w:rsidP="009E3076">
            <w:pPr>
              <w:jc w:val="both"/>
            </w:pPr>
            <w:hyperlink r:id="rId49" w:history="1">
              <w:r w:rsidR="003D639D" w:rsidRPr="00292341">
                <w:rPr>
                  <w:rStyle w:val="Hyperlink"/>
                </w:rPr>
                <w:t>Tinzaparin sodium (10,000 IU/ml) 3,500 units in 0.35 ml and 4,500 units in 0.45 ml pre-filled syringes</w:t>
              </w:r>
            </w:hyperlink>
          </w:p>
        </w:tc>
      </w:tr>
      <w:tr w:rsidR="003D639D" w:rsidRPr="00D912FB" w14:paraId="039556FD" w14:textId="77777777" w:rsidTr="009E3076">
        <w:trPr>
          <w:trHeight w:val="315"/>
        </w:trPr>
        <w:tc>
          <w:tcPr>
            <w:tcW w:w="1410" w:type="dxa"/>
            <w:shd w:val="clear" w:color="auto" w:fill="auto"/>
            <w:noWrap/>
            <w:vAlign w:val="center"/>
          </w:tcPr>
          <w:p w14:paraId="3D8249FF" w14:textId="77777777" w:rsidR="003D639D" w:rsidRPr="004540B9" w:rsidRDefault="003D639D" w:rsidP="009E3076">
            <w:pPr>
              <w:jc w:val="both"/>
              <w:rPr>
                <w:rFonts w:eastAsiaTheme="minorEastAsia"/>
                <w:color w:val="000000" w:themeColor="text1"/>
                <w:sz w:val="20"/>
                <w:szCs w:val="20"/>
              </w:rPr>
            </w:pPr>
            <w:r>
              <w:rPr>
                <w:rFonts w:eastAsiaTheme="minorEastAsia"/>
                <w:color w:val="000000" w:themeColor="text1"/>
                <w:sz w:val="20"/>
                <w:szCs w:val="20"/>
              </w:rPr>
              <w:t>28/07/21</w:t>
            </w:r>
          </w:p>
        </w:tc>
        <w:tc>
          <w:tcPr>
            <w:tcW w:w="9203" w:type="dxa"/>
            <w:shd w:val="clear" w:color="auto" w:fill="auto"/>
            <w:noWrap/>
            <w:vAlign w:val="center"/>
          </w:tcPr>
          <w:p w14:paraId="4A5D97CC" w14:textId="77777777" w:rsidR="003D639D" w:rsidRPr="00E32183" w:rsidRDefault="00F76EBD" w:rsidP="009E3076">
            <w:pPr>
              <w:jc w:val="both"/>
            </w:pPr>
            <w:hyperlink r:id="rId50" w:history="1">
              <w:r w:rsidR="003D639D" w:rsidRPr="00675347">
                <w:rPr>
                  <w:rStyle w:val="Hyperlink"/>
                </w:rPr>
                <w:t>Clexane® (enoxaparin) pre-filled syringes</w:t>
              </w:r>
            </w:hyperlink>
          </w:p>
        </w:tc>
      </w:tr>
      <w:tr w:rsidR="003D639D" w:rsidRPr="00D912FB" w14:paraId="279981BD" w14:textId="77777777" w:rsidTr="009E3076">
        <w:trPr>
          <w:trHeight w:val="315"/>
        </w:trPr>
        <w:tc>
          <w:tcPr>
            <w:tcW w:w="1410" w:type="dxa"/>
            <w:shd w:val="clear" w:color="auto" w:fill="auto"/>
            <w:noWrap/>
            <w:vAlign w:val="center"/>
          </w:tcPr>
          <w:p w14:paraId="1336CE47" w14:textId="77777777" w:rsidR="003D639D" w:rsidRPr="004540B9" w:rsidRDefault="003D639D" w:rsidP="009E3076">
            <w:pPr>
              <w:jc w:val="both"/>
              <w:rPr>
                <w:rFonts w:eastAsiaTheme="minorEastAsia"/>
                <w:color w:val="000000" w:themeColor="text1"/>
                <w:sz w:val="20"/>
                <w:szCs w:val="20"/>
              </w:rPr>
            </w:pPr>
            <w:r>
              <w:rPr>
                <w:rFonts w:eastAsiaTheme="minorEastAsia"/>
                <w:color w:val="000000" w:themeColor="text1"/>
                <w:sz w:val="20"/>
                <w:szCs w:val="20"/>
              </w:rPr>
              <w:t>28/07/21</w:t>
            </w:r>
          </w:p>
        </w:tc>
        <w:tc>
          <w:tcPr>
            <w:tcW w:w="9203" w:type="dxa"/>
            <w:shd w:val="clear" w:color="auto" w:fill="auto"/>
            <w:noWrap/>
            <w:vAlign w:val="center"/>
          </w:tcPr>
          <w:p w14:paraId="38942D45" w14:textId="77777777" w:rsidR="003D639D" w:rsidRPr="00E32183" w:rsidRDefault="00F76EBD" w:rsidP="009E3076">
            <w:pPr>
              <w:jc w:val="both"/>
            </w:pPr>
            <w:hyperlink r:id="rId51" w:history="1">
              <w:r w:rsidR="003D639D" w:rsidRPr="00794D61">
                <w:rPr>
                  <w:rStyle w:val="Hyperlink"/>
                </w:rPr>
                <w:t>Trifluoperazine 1mg/5ml syrup (Advanz Pharma) – Update</w:t>
              </w:r>
            </w:hyperlink>
          </w:p>
        </w:tc>
      </w:tr>
      <w:tr w:rsidR="003D639D" w:rsidRPr="00D912FB" w14:paraId="32A40708" w14:textId="77777777" w:rsidTr="009E3076">
        <w:trPr>
          <w:trHeight w:val="315"/>
        </w:trPr>
        <w:tc>
          <w:tcPr>
            <w:tcW w:w="1410" w:type="dxa"/>
            <w:shd w:val="clear" w:color="auto" w:fill="auto"/>
            <w:noWrap/>
            <w:vAlign w:val="center"/>
          </w:tcPr>
          <w:p w14:paraId="4713090D" w14:textId="77777777" w:rsidR="003D639D" w:rsidRPr="004540B9" w:rsidRDefault="003D639D" w:rsidP="009E3076">
            <w:pPr>
              <w:jc w:val="both"/>
              <w:rPr>
                <w:rFonts w:eastAsiaTheme="minorEastAsia"/>
                <w:color w:val="000000" w:themeColor="text1"/>
                <w:sz w:val="20"/>
                <w:szCs w:val="20"/>
              </w:rPr>
            </w:pPr>
            <w:r>
              <w:rPr>
                <w:rFonts w:eastAsiaTheme="minorEastAsia"/>
                <w:color w:val="000000" w:themeColor="text1"/>
                <w:sz w:val="20"/>
                <w:szCs w:val="20"/>
              </w:rPr>
              <w:t>21/07/21</w:t>
            </w:r>
          </w:p>
        </w:tc>
        <w:tc>
          <w:tcPr>
            <w:tcW w:w="9203" w:type="dxa"/>
            <w:shd w:val="clear" w:color="auto" w:fill="auto"/>
            <w:noWrap/>
            <w:vAlign w:val="center"/>
          </w:tcPr>
          <w:p w14:paraId="404F05F3" w14:textId="77777777" w:rsidR="003D639D" w:rsidRPr="00E32183" w:rsidRDefault="00F76EBD" w:rsidP="009E3076">
            <w:pPr>
              <w:jc w:val="both"/>
            </w:pPr>
            <w:hyperlink r:id="rId52" w:history="1">
              <w:r w:rsidR="003D639D" w:rsidRPr="00A10B48">
                <w:rPr>
                  <w:rStyle w:val="Hyperlink"/>
                </w:rPr>
                <w:t>Nexium® (esomeprazole) 10mg gastro-resistant granules sachets</w:t>
              </w:r>
            </w:hyperlink>
          </w:p>
        </w:tc>
      </w:tr>
      <w:tr w:rsidR="003D639D" w:rsidRPr="00D912FB" w14:paraId="67902F10" w14:textId="77777777" w:rsidTr="009E3076">
        <w:trPr>
          <w:trHeight w:val="315"/>
        </w:trPr>
        <w:tc>
          <w:tcPr>
            <w:tcW w:w="1410" w:type="dxa"/>
            <w:shd w:val="clear" w:color="auto" w:fill="auto"/>
            <w:noWrap/>
            <w:vAlign w:val="center"/>
          </w:tcPr>
          <w:p w14:paraId="59AE89E2" w14:textId="77777777" w:rsidR="003D639D" w:rsidRPr="004540B9" w:rsidRDefault="003D639D" w:rsidP="009E3076">
            <w:pPr>
              <w:jc w:val="both"/>
              <w:rPr>
                <w:rFonts w:eastAsiaTheme="minorEastAsia"/>
                <w:color w:val="000000" w:themeColor="text1"/>
                <w:sz w:val="20"/>
                <w:szCs w:val="20"/>
              </w:rPr>
            </w:pPr>
            <w:r>
              <w:rPr>
                <w:rFonts w:eastAsiaTheme="minorEastAsia"/>
                <w:color w:val="000000" w:themeColor="text1"/>
                <w:sz w:val="20"/>
                <w:szCs w:val="20"/>
              </w:rPr>
              <w:t>21/07/21</w:t>
            </w:r>
          </w:p>
        </w:tc>
        <w:tc>
          <w:tcPr>
            <w:tcW w:w="9203" w:type="dxa"/>
            <w:shd w:val="clear" w:color="auto" w:fill="auto"/>
            <w:noWrap/>
            <w:vAlign w:val="center"/>
          </w:tcPr>
          <w:p w14:paraId="17EC83FD" w14:textId="77777777" w:rsidR="003D639D" w:rsidRPr="00E32183" w:rsidRDefault="00F76EBD" w:rsidP="009E3076">
            <w:pPr>
              <w:jc w:val="both"/>
            </w:pPr>
            <w:hyperlink r:id="rId53" w:history="1">
              <w:r w:rsidR="003D639D" w:rsidRPr="00307409">
                <w:rPr>
                  <w:rStyle w:val="Hyperlink"/>
                </w:rPr>
                <w:t>Catapres® (clonidine) 100microgram tablets</w:t>
              </w:r>
            </w:hyperlink>
          </w:p>
        </w:tc>
      </w:tr>
      <w:tr w:rsidR="003D639D" w:rsidRPr="00D912FB" w14:paraId="6C5A5B23" w14:textId="77777777" w:rsidTr="009E3076">
        <w:trPr>
          <w:trHeight w:val="315"/>
        </w:trPr>
        <w:tc>
          <w:tcPr>
            <w:tcW w:w="1410" w:type="dxa"/>
            <w:shd w:val="clear" w:color="auto" w:fill="auto"/>
            <w:noWrap/>
            <w:vAlign w:val="center"/>
          </w:tcPr>
          <w:p w14:paraId="216A74D2" w14:textId="77777777" w:rsidR="003D639D" w:rsidRPr="004540B9" w:rsidRDefault="003D639D" w:rsidP="009E3076">
            <w:pPr>
              <w:jc w:val="both"/>
              <w:rPr>
                <w:rFonts w:eastAsiaTheme="minorEastAsia"/>
                <w:color w:val="000000" w:themeColor="text1"/>
                <w:sz w:val="20"/>
                <w:szCs w:val="20"/>
              </w:rPr>
            </w:pPr>
            <w:r>
              <w:rPr>
                <w:rFonts w:eastAsiaTheme="minorEastAsia"/>
                <w:color w:val="000000" w:themeColor="text1"/>
                <w:sz w:val="20"/>
                <w:szCs w:val="20"/>
              </w:rPr>
              <w:t>21/07/21</w:t>
            </w:r>
          </w:p>
        </w:tc>
        <w:tc>
          <w:tcPr>
            <w:tcW w:w="9203" w:type="dxa"/>
            <w:shd w:val="clear" w:color="auto" w:fill="auto"/>
            <w:noWrap/>
            <w:vAlign w:val="center"/>
          </w:tcPr>
          <w:p w14:paraId="0C10675F" w14:textId="77777777" w:rsidR="003D639D" w:rsidRPr="00E32183" w:rsidRDefault="00F76EBD" w:rsidP="009E3076">
            <w:pPr>
              <w:jc w:val="both"/>
            </w:pPr>
            <w:hyperlink r:id="rId54" w:history="1">
              <w:r w:rsidR="003D639D" w:rsidRPr="00A50E3E">
                <w:rPr>
                  <w:rStyle w:val="Hyperlink"/>
                </w:rPr>
                <w:t>Locorten Vioform® (flumetasone/clioquinol) 0.02% w/v / 1% w/v ear drops solution</w:t>
              </w:r>
            </w:hyperlink>
          </w:p>
        </w:tc>
      </w:tr>
      <w:tr w:rsidR="003D639D" w:rsidRPr="00D912FB" w14:paraId="6C264AF2" w14:textId="77777777" w:rsidTr="009E3076">
        <w:trPr>
          <w:trHeight w:val="375"/>
        </w:trPr>
        <w:tc>
          <w:tcPr>
            <w:tcW w:w="1410" w:type="dxa"/>
            <w:shd w:val="clear" w:color="auto" w:fill="auto"/>
            <w:noWrap/>
            <w:vAlign w:val="center"/>
          </w:tcPr>
          <w:p w14:paraId="61672D52" w14:textId="77777777" w:rsidR="003D639D" w:rsidRPr="004540B9" w:rsidRDefault="003D639D" w:rsidP="009E3076">
            <w:pPr>
              <w:jc w:val="both"/>
              <w:rPr>
                <w:rFonts w:eastAsiaTheme="minorEastAsia"/>
                <w:color w:val="000000" w:themeColor="text1"/>
                <w:sz w:val="20"/>
                <w:szCs w:val="20"/>
              </w:rPr>
            </w:pPr>
            <w:r>
              <w:rPr>
                <w:rFonts w:eastAsiaTheme="minorEastAsia"/>
                <w:color w:val="000000" w:themeColor="text1"/>
                <w:sz w:val="20"/>
                <w:szCs w:val="20"/>
              </w:rPr>
              <w:t>21/07/21</w:t>
            </w:r>
          </w:p>
        </w:tc>
        <w:tc>
          <w:tcPr>
            <w:tcW w:w="9203" w:type="dxa"/>
            <w:shd w:val="clear" w:color="auto" w:fill="auto"/>
            <w:noWrap/>
            <w:vAlign w:val="center"/>
          </w:tcPr>
          <w:p w14:paraId="4E429A4D" w14:textId="77777777" w:rsidR="003D639D" w:rsidRPr="00E32183" w:rsidRDefault="00F76EBD" w:rsidP="009E3076">
            <w:pPr>
              <w:jc w:val="both"/>
            </w:pPr>
            <w:hyperlink r:id="rId55" w:history="1">
              <w:r w:rsidR="003D639D" w:rsidRPr="00152F85">
                <w:rPr>
                  <w:rStyle w:val="Hyperlink"/>
                </w:rPr>
                <w:t>Diamorphine hydrochloride powder for reconstitution and injection 5mg and 10mg ampoules – Update</w:t>
              </w:r>
            </w:hyperlink>
          </w:p>
        </w:tc>
      </w:tr>
      <w:tr w:rsidR="003D639D" w:rsidRPr="00D912FB" w14:paraId="0230DB23" w14:textId="77777777" w:rsidTr="009E3076">
        <w:trPr>
          <w:trHeight w:val="315"/>
        </w:trPr>
        <w:tc>
          <w:tcPr>
            <w:tcW w:w="1410" w:type="dxa"/>
            <w:shd w:val="clear" w:color="auto" w:fill="auto"/>
            <w:noWrap/>
            <w:vAlign w:val="center"/>
          </w:tcPr>
          <w:p w14:paraId="141610FD" w14:textId="77777777" w:rsidR="003D639D" w:rsidRPr="004540B9" w:rsidRDefault="003D639D" w:rsidP="009E3076">
            <w:pPr>
              <w:jc w:val="both"/>
              <w:rPr>
                <w:rFonts w:eastAsiaTheme="minorEastAsia"/>
                <w:color w:val="000000" w:themeColor="text1"/>
                <w:sz w:val="20"/>
                <w:szCs w:val="20"/>
              </w:rPr>
            </w:pPr>
            <w:r>
              <w:rPr>
                <w:rFonts w:eastAsiaTheme="minorEastAsia"/>
                <w:color w:val="000000" w:themeColor="text1"/>
                <w:sz w:val="20"/>
                <w:szCs w:val="20"/>
              </w:rPr>
              <w:t>12/07/21</w:t>
            </w:r>
          </w:p>
        </w:tc>
        <w:tc>
          <w:tcPr>
            <w:tcW w:w="9203" w:type="dxa"/>
            <w:shd w:val="clear" w:color="auto" w:fill="auto"/>
            <w:noWrap/>
            <w:vAlign w:val="center"/>
          </w:tcPr>
          <w:p w14:paraId="2D96831E" w14:textId="77777777" w:rsidR="003D639D" w:rsidRPr="00E32183" w:rsidRDefault="00F76EBD" w:rsidP="009E3076">
            <w:pPr>
              <w:jc w:val="both"/>
            </w:pPr>
            <w:hyperlink r:id="rId56" w:history="1">
              <w:r w:rsidR="003D639D" w:rsidRPr="00F35261">
                <w:rPr>
                  <w:rStyle w:val="Hyperlink"/>
                </w:rPr>
                <w:t>Gentisone HC® (Gentamicin 0.3% w/v and Hydrocortisone acetate 1% w/v) Ear Drops</w:t>
              </w:r>
            </w:hyperlink>
          </w:p>
        </w:tc>
      </w:tr>
      <w:tr w:rsidR="003D639D" w:rsidRPr="00D912FB" w14:paraId="063A818A" w14:textId="77777777" w:rsidTr="009E3076">
        <w:trPr>
          <w:trHeight w:val="300"/>
        </w:trPr>
        <w:tc>
          <w:tcPr>
            <w:tcW w:w="1410" w:type="dxa"/>
            <w:shd w:val="clear" w:color="auto" w:fill="auto"/>
            <w:noWrap/>
            <w:vAlign w:val="center"/>
          </w:tcPr>
          <w:p w14:paraId="27537AE6" w14:textId="77777777" w:rsidR="003D639D" w:rsidRPr="004540B9" w:rsidRDefault="003D639D" w:rsidP="009E3076">
            <w:pPr>
              <w:jc w:val="both"/>
              <w:rPr>
                <w:rFonts w:eastAsiaTheme="minorEastAsia"/>
                <w:color w:val="000000" w:themeColor="text1"/>
                <w:sz w:val="20"/>
                <w:szCs w:val="20"/>
              </w:rPr>
            </w:pPr>
            <w:r>
              <w:rPr>
                <w:rFonts w:eastAsiaTheme="minorEastAsia"/>
                <w:color w:val="000000" w:themeColor="text1"/>
                <w:sz w:val="20"/>
                <w:szCs w:val="20"/>
              </w:rPr>
              <w:t>25/06/21</w:t>
            </w:r>
          </w:p>
        </w:tc>
        <w:tc>
          <w:tcPr>
            <w:tcW w:w="9203" w:type="dxa"/>
            <w:shd w:val="clear" w:color="auto" w:fill="auto"/>
            <w:noWrap/>
            <w:vAlign w:val="center"/>
          </w:tcPr>
          <w:p w14:paraId="489E9157" w14:textId="77777777" w:rsidR="003D639D" w:rsidRPr="00E32183" w:rsidRDefault="00F76EBD" w:rsidP="009E3076">
            <w:pPr>
              <w:jc w:val="both"/>
            </w:pPr>
            <w:hyperlink r:id="rId57" w:history="1">
              <w:r w:rsidR="003D639D" w:rsidRPr="003C1DC0">
                <w:rPr>
                  <w:rStyle w:val="Hyperlink"/>
                </w:rPr>
                <w:t>Dexamethasone 0.1% (Maxidex) 5ml eye drops</w:t>
              </w:r>
            </w:hyperlink>
          </w:p>
        </w:tc>
      </w:tr>
      <w:tr w:rsidR="003D639D" w:rsidRPr="00D912FB" w14:paraId="0BCEC57B" w14:textId="77777777" w:rsidTr="009E3076">
        <w:trPr>
          <w:trHeight w:val="315"/>
        </w:trPr>
        <w:tc>
          <w:tcPr>
            <w:tcW w:w="1410" w:type="dxa"/>
            <w:shd w:val="clear" w:color="auto" w:fill="auto"/>
            <w:noWrap/>
            <w:vAlign w:val="center"/>
          </w:tcPr>
          <w:p w14:paraId="0D8830D3" w14:textId="77777777" w:rsidR="003D639D" w:rsidRPr="004540B9" w:rsidRDefault="003D639D" w:rsidP="009E3076">
            <w:pPr>
              <w:jc w:val="both"/>
              <w:rPr>
                <w:rFonts w:eastAsiaTheme="minorEastAsia"/>
                <w:color w:val="000000" w:themeColor="text1"/>
                <w:sz w:val="20"/>
                <w:szCs w:val="20"/>
              </w:rPr>
            </w:pPr>
            <w:r>
              <w:rPr>
                <w:rFonts w:eastAsiaTheme="minorEastAsia"/>
                <w:color w:val="000000" w:themeColor="text1"/>
                <w:sz w:val="20"/>
                <w:szCs w:val="20"/>
              </w:rPr>
              <w:t>24/06/21</w:t>
            </w:r>
          </w:p>
        </w:tc>
        <w:tc>
          <w:tcPr>
            <w:tcW w:w="9203" w:type="dxa"/>
            <w:shd w:val="clear" w:color="auto" w:fill="auto"/>
            <w:noWrap/>
            <w:vAlign w:val="center"/>
          </w:tcPr>
          <w:p w14:paraId="3CC5D024" w14:textId="77777777" w:rsidR="003D639D" w:rsidRPr="00E32183" w:rsidRDefault="00F76EBD" w:rsidP="009E3076">
            <w:pPr>
              <w:jc w:val="both"/>
            </w:pPr>
            <w:hyperlink r:id="rId58" w:history="1">
              <w:r w:rsidR="003D639D" w:rsidRPr="00432E2C">
                <w:rPr>
                  <w:rStyle w:val="Hyperlink"/>
                </w:rPr>
                <w:t>Champix (Varenicline) 0.5mg and 1mg tablets – Pfizer</w:t>
              </w:r>
            </w:hyperlink>
          </w:p>
        </w:tc>
      </w:tr>
      <w:tr w:rsidR="003D639D" w:rsidRPr="00D912FB" w14:paraId="130064A5" w14:textId="77777777" w:rsidTr="009E3076">
        <w:trPr>
          <w:trHeight w:val="315"/>
        </w:trPr>
        <w:tc>
          <w:tcPr>
            <w:tcW w:w="1410" w:type="dxa"/>
            <w:shd w:val="clear" w:color="auto" w:fill="auto"/>
            <w:noWrap/>
            <w:vAlign w:val="center"/>
          </w:tcPr>
          <w:p w14:paraId="167AAF57" w14:textId="77777777" w:rsidR="003D639D" w:rsidRPr="004540B9" w:rsidRDefault="003D639D" w:rsidP="009E3076">
            <w:pPr>
              <w:jc w:val="both"/>
              <w:rPr>
                <w:rFonts w:eastAsiaTheme="minorEastAsia"/>
                <w:color w:val="000000"/>
                <w:sz w:val="20"/>
                <w:szCs w:val="20"/>
              </w:rPr>
            </w:pPr>
            <w:r>
              <w:rPr>
                <w:rFonts w:eastAsiaTheme="minorEastAsia"/>
                <w:color w:val="000000"/>
                <w:sz w:val="20"/>
                <w:szCs w:val="20"/>
              </w:rPr>
              <w:lastRenderedPageBreak/>
              <w:t>17/06/21</w:t>
            </w:r>
          </w:p>
        </w:tc>
        <w:tc>
          <w:tcPr>
            <w:tcW w:w="9203" w:type="dxa"/>
            <w:shd w:val="clear" w:color="auto" w:fill="auto"/>
            <w:noWrap/>
            <w:vAlign w:val="center"/>
          </w:tcPr>
          <w:p w14:paraId="7BA56429" w14:textId="77777777" w:rsidR="003D639D" w:rsidRPr="00E32183" w:rsidRDefault="00F76EBD" w:rsidP="009E3076">
            <w:pPr>
              <w:jc w:val="both"/>
            </w:pPr>
            <w:hyperlink r:id="rId59" w:history="1">
              <w:r w:rsidR="003D639D" w:rsidRPr="00B5494F">
                <w:rPr>
                  <w:rStyle w:val="Hyperlink"/>
                </w:rPr>
                <w:t>Kolanticon gel® (2.5mg dicycloverine hydrochloride, 200mg aluminium hydroxide, 100mg light magnesium oxide, 20mg simethicone per 5ml)</w:t>
              </w:r>
            </w:hyperlink>
          </w:p>
        </w:tc>
      </w:tr>
      <w:tr w:rsidR="003D639D" w:rsidRPr="00D912FB" w14:paraId="67916D83" w14:textId="77777777" w:rsidTr="009E3076">
        <w:trPr>
          <w:trHeight w:val="315"/>
        </w:trPr>
        <w:tc>
          <w:tcPr>
            <w:tcW w:w="1410" w:type="dxa"/>
            <w:shd w:val="clear" w:color="auto" w:fill="auto"/>
            <w:noWrap/>
            <w:vAlign w:val="center"/>
          </w:tcPr>
          <w:p w14:paraId="1121C936" w14:textId="77777777" w:rsidR="003D639D" w:rsidRPr="004540B9" w:rsidRDefault="003D639D" w:rsidP="009E3076">
            <w:pPr>
              <w:jc w:val="both"/>
              <w:rPr>
                <w:rFonts w:eastAsiaTheme="minorEastAsia"/>
                <w:color w:val="000000"/>
                <w:sz w:val="20"/>
                <w:szCs w:val="20"/>
              </w:rPr>
            </w:pPr>
            <w:r>
              <w:rPr>
                <w:rFonts w:eastAsiaTheme="minorEastAsia"/>
                <w:color w:val="000000"/>
                <w:sz w:val="20"/>
                <w:szCs w:val="20"/>
              </w:rPr>
              <w:t>14/06/21</w:t>
            </w:r>
          </w:p>
        </w:tc>
        <w:tc>
          <w:tcPr>
            <w:tcW w:w="9203" w:type="dxa"/>
            <w:shd w:val="clear" w:color="auto" w:fill="auto"/>
            <w:noWrap/>
            <w:vAlign w:val="center"/>
          </w:tcPr>
          <w:p w14:paraId="5830EA18" w14:textId="77777777" w:rsidR="003D639D" w:rsidRPr="00E32183" w:rsidRDefault="00F76EBD" w:rsidP="009E3076">
            <w:pPr>
              <w:jc w:val="both"/>
            </w:pPr>
            <w:hyperlink r:id="rId60" w:history="1">
              <w:r w:rsidR="003D639D" w:rsidRPr="00162EB5">
                <w:rPr>
                  <w:rStyle w:val="Hyperlink"/>
                </w:rPr>
                <w:t>Fluoxetine (Olena) 20mg dispersible sugar free tablets</w:t>
              </w:r>
            </w:hyperlink>
          </w:p>
        </w:tc>
      </w:tr>
      <w:tr w:rsidR="003D639D" w:rsidRPr="00D912FB" w14:paraId="0EEBC756" w14:textId="77777777" w:rsidTr="009E3076">
        <w:trPr>
          <w:trHeight w:val="315"/>
        </w:trPr>
        <w:tc>
          <w:tcPr>
            <w:tcW w:w="1410" w:type="dxa"/>
            <w:shd w:val="clear" w:color="auto" w:fill="auto"/>
            <w:noWrap/>
            <w:vAlign w:val="center"/>
          </w:tcPr>
          <w:p w14:paraId="51232FC7" w14:textId="77777777" w:rsidR="003D639D" w:rsidRPr="004540B9" w:rsidRDefault="003D639D" w:rsidP="009E3076">
            <w:pPr>
              <w:jc w:val="both"/>
              <w:rPr>
                <w:rFonts w:eastAsiaTheme="minorEastAsia"/>
                <w:color w:val="000000"/>
                <w:sz w:val="20"/>
                <w:szCs w:val="20"/>
              </w:rPr>
            </w:pPr>
            <w:r>
              <w:rPr>
                <w:rFonts w:eastAsiaTheme="minorEastAsia"/>
                <w:color w:val="000000"/>
                <w:sz w:val="20"/>
                <w:szCs w:val="20"/>
              </w:rPr>
              <w:t>14/06/21</w:t>
            </w:r>
          </w:p>
        </w:tc>
        <w:tc>
          <w:tcPr>
            <w:tcW w:w="9203" w:type="dxa"/>
            <w:shd w:val="clear" w:color="auto" w:fill="auto"/>
            <w:noWrap/>
            <w:vAlign w:val="center"/>
          </w:tcPr>
          <w:p w14:paraId="4DECC26E" w14:textId="77777777" w:rsidR="003D639D" w:rsidRPr="00E32183" w:rsidRDefault="00F76EBD" w:rsidP="009E3076">
            <w:pPr>
              <w:jc w:val="both"/>
            </w:pPr>
            <w:hyperlink r:id="rId61" w:history="1">
              <w:r w:rsidR="003D639D" w:rsidRPr="00941E1C">
                <w:rPr>
                  <w:rStyle w:val="Hyperlink"/>
                </w:rPr>
                <w:t>Dalacin® (clindamycin) 2% vaginal cream</w:t>
              </w:r>
            </w:hyperlink>
          </w:p>
        </w:tc>
      </w:tr>
      <w:tr w:rsidR="003D639D" w:rsidRPr="00D912FB" w14:paraId="48680BB1" w14:textId="77777777" w:rsidTr="009E3076">
        <w:trPr>
          <w:trHeight w:val="315"/>
        </w:trPr>
        <w:tc>
          <w:tcPr>
            <w:tcW w:w="1410" w:type="dxa"/>
            <w:shd w:val="clear" w:color="auto" w:fill="auto"/>
            <w:noWrap/>
            <w:vAlign w:val="center"/>
          </w:tcPr>
          <w:p w14:paraId="064AEBC3" w14:textId="77777777" w:rsidR="003D639D" w:rsidRPr="004540B9" w:rsidRDefault="003D639D" w:rsidP="009E3076">
            <w:pPr>
              <w:jc w:val="both"/>
              <w:rPr>
                <w:color w:val="000000"/>
                <w:sz w:val="20"/>
                <w:szCs w:val="20"/>
              </w:rPr>
            </w:pPr>
            <w:r>
              <w:rPr>
                <w:bCs/>
                <w:sz w:val="20"/>
                <w:szCs w:val="20"/>
              </w:rPr>
              <w:t>28</w:t>
            </w:r>
            <w:r w:rsidRPr="007541D8">
              <w:rPr>
                <w:bCs/>
                <w:sz w:val="20"/>
                <w:szCs w:val="20"/>
              </w:rPr>
              <w:t>/0</w:t>
            </w:r>
            <w:r>
              <w:rPr>
                <w:bCs/>
                <w:sz w:val="20"/>
                <w:szCs w:val="20"/>
              </w:rPr>
              <w:t>5</w:t>
            </w:r>
            <w:r w:rsidRPr="007541D8">
              <w:rPr>
                <w:bCs/>
                <w:sz w:val="20"/>
                <w:szCs w:val="20"/>
              </w:rPr>
              <w:t>/</w:t>
            </w:r>
            <w:r w:rsidRPr="750113E7">
              <w:rPr>
                <w:sz w:val="20"/>
                <w:szCs w:val="20"/>
              </w:rPr>
              <w:t>21</w:t>
            </w:r>
          </w:p>
        </w:tc>
        <w:tc>
          <w:tcPr>
            <w:tcW w:w="9203" w:type="dxa"/>
            <w:shd w:val="clear" w:color="auto" w:fill="auto"/>
            <w:noWrap/>
            <w:vAlign w:val="center"/>
          </w:tcPr>
          <w:p w14:paraId="03435031" w14:textId="77777777" w:rsidR="003D639D" w:rsidRPr="00E32183" w:rsidRDefault="00F76EBD" w:rsidP="009E3076">
            <w:pPr>
              <w:jc w:val="both"/>
            </w:pPr>
            <w:hyperlink r:id="rId62" w:history="1">
              <w:r w:rsidR="003D639D" w:rsidRPr="00125EFC">
                <w:rPr>
                  <w:rStyle w:val="Hyperlink"/>
                </w:rPr>
                <w:t>Alliance Calcium Syrup (calcium gluconate 544mg/5ml calcium lactate 276mg/5ml oral solution)</w:t>
              </w:r>
            </w:hyperlink>
          </w:p>
        </w:tc>
      </w:tr>
      <w:tr w:rsidR="003D639D" w:rsidRPr="00D912FB" w14:paraId="3A7B8A1C" w14:textId="77777777" w:rsidTr="009E3076">
        <w:trPr>
          <w:trHeight w:val="315"/>
        </w:trPr>
        <w:tc>
          <w:tcPr>
            <w:tcW w:w="1410" w:type="dxa"/>
            <w:shd w:val="clear" w:color="auto" w:fill="auto"/>
            <w:noWrap/>
            <w:vAlign w:val="center"/>
          </w:tcPr>
          <w:p w14:paraId="5A955F5E" w14:textId="77777777" w:rsidR="003D639D" w:rsidRPr="004540B9" w:rsidRDefault="003D639D" w:rsidP="009E3076">
            <w:pPr>
              <w:jc w:val="both"/>
              <w:rPr>
                <w:color w:val="000000"/>
                <w:sz w:val="20"/>
                <w:szCs w:val="20"/>
              </w:rPr>
            </w:pPr>
            <w:r>
              <w:rPr>
                <w:bCs/>
                <w:sz w:val="20"/>
                <w:szCs w:val="20"/>
              </w:rPr>
              <w:t>28</w:t>
            </w:r>
            <w:r w:rsidRPr="007541D8">
              <w:rPr>
                <w:bCs/>
                <w:sz w:val="20"/>
                <w:szCs w:val="20"/>
              </w:rPr>
              <w:t>/0</w:t>
            </w:r>
            <w:r>
              <w:rPr>
                <w:bCs/>
                <w:sz w:val="20"/>
                <w:szCs w:val="20"/>
              </w:rPr>
              <w:t>5</w:t>
            </w:r>
            <w:r w:rsidRPr="007541D8">
              <w:rPr>
                <w:bCs/>
                <w:sz w:val="20"/>
                <w:szCs w:val="20"/>
              </w:rPr>
              <w:t>/</w:t>
            </w:r>
            <w:r w:rsidRPr="750113E7">
              <w:rPr>
                <w:sz w:val="20"/>
                <w:szCs w:val="20"/>
              </w:rPr>
              <w:t>21</w:t>
            </w:r>
          </w:p>
        </w:tc>
        <w:tc>
          <w:tcPr>
            <w:tcW w:w="9203" w:type="dxa"/>
            <w:shd w:val="clear" w:color="auto" w:fill="auto"/>
            <w:noWrap/>
            <w:vAlign w:val="center"/>
          </w:tcPr>
          <w:p w14:paraId="2F78705E" w14:textId="77777777" w:rsidR="003D639D" w:rsidRPr="00E32183" w:rsidRDefault="00F76EBD" w:rsidP="009E3076">
            <w:pPr>
              <w:jc w:val="both"/>
            </w:pPr>
            <w:hyperlink r:id="rId63" w:history="1">
              <w:r w:rsidR="003D639D" w:rsidRPr="005C5CA5">
                <w:rPr>
                  <w:rStyle w:val="Hyperlink"/>
                </w:rPr>
                <w:t>Flixotide® (fluticasone propionate) 100 microgram Accuhaler – Update</w:t>
              </w:r>
            </w:hyperlink>
          </w:p>
        </w:tc>
      </w:tr>
      <w:tr w:rsidR="003D639D" w:rsidRPr="00D912FB" w14:paraId="06108856" w14:textId="77777777" w:rsidTr="009E3076">
        <w:trPr>
          <w:trHeight w:val="315"/>
        </w:trPr>
        <w:tc>
          <w:tcPr>
            <w:tcW w:w="1410" w:type="dxa"/>
            <w:shd w:val="clear" w:color="auto" w:fill="auto"/>
            <w:noWrap/>
            <w:vAlign w:val="center"/>
          </w:tcPr>
          <w:p w14:paraId="306E2459" w14:textId="77777777" w:rsidR="003D639D" w:rsidRPr="004540B9" w:rsidRDefault="003D639D" w:rsidP="009E3076">
            <w:pPr>
              <w:jc w:val="both"/>
              <w:rPr>
                <w:color w:val="000000"/>
                <w:sz w:val="20"/>
                <w:szCs w:val="20"/>
              </w:rPr>
            </w:pPr>
            <w:r>
              <w:rPr>
                <w:bCs/>
                <w:sz w:val="20"/>
                <w:szCs w:val="20"/>
              </w:rPr>
              <w:t>28</w:t>
            </w:r>
            <w:r w:rsidRPr="007541D8">
              <w:rPr>
                <w:bCs/>
                <w:sz w:val="20"/>
                <w:szCs w:val="20"/>
              </w:rPr>
              <w:t>/0</w:t>
            </w:r>
            <w:r>
              <w:rPr>
                <w:bCs/>
                <w:sz w:val="20"/>
                <w:szCs w:val="20"/>
              </w:rPr>
              <w:t>5</w:t>
            </w:r>
            <w:r w:rsidRPr="007541D8">
              <w:rPr>
                <w:bCs/>
                <w:sz w:val="20"/>
                <w:szCs w:val="20"/>
              </w:rPr>
              <w:t>/</w:t>
            </w:r>
            <w:r w:rsidRPr="750113E7">
              <w:rPr>
                <w:sz w:val="20"/>
                <w:szCs w:val="20"/>
              </w:rPr>
              <w:t>21</w:t>
            </w:r>
          </w:p>
        </w:tc>
        <w:tc>
          <w:tcPr>
            <w:tcW w:w="9203" w:type="dxa"/>
            <w:shd w:val="clear" w:color="auto" w:fill="auto"/>
            <w:noWrap/>
            <w:vAlign w:val="center"/>
          </w:tcPr>
          <w:p w14:paraId="0C752B73" w14:textId="77777777" w:rsidR="003D639D" w:rsidRPr="00E32183" w:rsidRDefault="00F76EBD" w:rsidP="009E3076">
            <w:pPr>
              <w:jc w:val="both"/>
            </w:pPr>
            <w:hyperlink r:id="rId64" w:history="1">
              <w:r w:rsidR="003D639D" w:rsidRPr="007B3C9F">
                <w:rPr>
                  <w:rStyle w:val="Hyperlink"/>
                </w:rPr>
                <w:t>Fluoxetine 30mg capsules (Advanz) – Update</w:t>
              </w:r>
            </w:hyperlink>
          </w:p>
        </w:tc>
      </w:tr>
      <w:tr w:rsidR="003D639D" w:rsidRPr="00D912FB" w14:paraId="2AA90ADA" w14:textId="77777777" w:rsidTr="009E3076">
        <w:trPr>
          <w:trHeight w:val="315"/>
        </w:trPr>
        <w:tc>
          <w:tcPr>
            <w:tcW w:w="1410" w:type="dxa"/>
            <w:shd w:val="clear" w:color="auto" w:fill="auto"/>
            <w:noWrap/>
            <w:vAlign w:val="center"/>
          </w:tcPr>
          <w:p w14:paraId="434B0F81" w14:textId="77777777" w:rsidR="003D639D" w:rsidRPr="004540B9" w:rsidRDefault="003D639D" w:rsidP="009E3076">
            <w:pPr>
              <w:jc w:val="both"/>
              <w:rPr>
                <w:color w:val="000000"/>
                <w:sz w:val="20"/>
                <w:szCs w:val="20"/>
              </w:rPr>
            </w:pPr>
            <w:r>
              <w:rPr>
                <w:bCs/>
                <w:sz w:val="20"/>
                <w:szCs w:val="20"/>
              </w:rPr>
              <w:t>13</w:t>
            </w:r>
            <w:r w:rsidRPr="007541D8">
              <w:rPr>
                <w:bCs/>
                <w:sz w:val="20"/>
                <w:szCs w:val="20"/>
              </w:rPr>
              <w:t>/0</w:t>
            </w:r>
            <w:r>
              <w:rPr>
                <w:bCs/>
                <w:sz w:val="20"/>
                <w:szCs w:val="20"/>
              </w:rPr>
              <w:t>5</w:t>
            </w:r>
            <w:r w:rsidRPr="007541D8">
              <w:rPr>
                <w:bCs/>
                <w:sz w:val="20"/>
                <w:szCs w:val="20"/>
              </w:rPr>
              <w:t>/</w:t>
            </w:r>
            <w:r w:rsidRPr="750113E7">
              <w:rPr>
                <w:sz w:val="20"/>
                <w:szCs w:val="20"/>
              </w:rPr>
              <w:t>21</w:t>
            </w:r>
          </w:p>
        </w:tc>
        <w:tc>
          <w:tcPr>
            <w:tcW w:w="9203" w:type="dxa"/>
            <w:shd w:val="clear" w:color="auto" w:fill="auto"/>
            <w:noWrap/>
            <w:vAlign w:val="center"/>
          </w:tcPr>
          <w:p w14:paraId="319E8D8C" w14:textId="77777777" w:rsidR="003D639D" w:rsidRPr="00E32183" w:rsidRDefault="00F76EBD" w:rsidP="009E3076">
            <w:pPr>
              <w:jc w:val="both"/>
            </w:pPr>
            <w:hyperlink r:id="rId65" w:history="1">
              <w:r w:rsidR="003D639D" w:rsidRPr="004D1734">
                <w:rPr>
                  <w:rStyle w:val="Hyperlink"/>
                </w:rPr>
                <w:t>VFEND (Voriconazole) 40mg/ml powder for oral suspension – Updated</w:t>
              </w:r>
            </w:hyperlink>
          </w:p>
        </w:tc>
      </w:tr>
      <w:tr w:rsidR="003D639D" w:rsidRPr="00D912FB" w14:paraId="6F637063" w14:textId="77777777" w:rsidTr="009E3076">
        <w:trPr>
          <w:trHeight w:val="315"/>
        </w:trPr>
        <w:tc>
          <w:tcPr>
            <w:tcW w:w="1410" w:type="dxa"/>
            <w:shd w:val="clear" w:color="auto" w:fill="auto"/>
            <w:noWrap/>
            <w:vAlign w:val="center"/>
          </w:tcPr>
          <w:p w14:paraId="3212229D" w14:textId="77777777" w:rsidR="003D639D" w:rsidRPr="004540B9" w:rsidRDefault="003D639D" w:rsidP="009E3076">
            <w:pPr>
              <w:jc w:val="both"/>
              <w:rPr>
                <w:color w:val="000000"/>
                <w:sz w:val="20"/>
                <w:szCs w:val="20"/>
              </w:rPr>
            </w:pPr>
            <w:r>
              <w:rPr>
                <w:bCs/>
                <w:sz w:val="20"/>
                <w:szCs w:val="20"/>
              </w:rPr>
              <w:t>12</w:t>
            </w:r>
            <w:r w:rsidRPr="007541D8">
              <w:rPr>
                <w:bCs/>
                <w:sz w:val="20"/>
                <w:szCs w:val="20"/>
              </w:rPr>
              <w:t>/0</w:t>
            </w:r>
            <w:r>
              <w:rPr>
                <w:bCs/>
                <w:sz w:val="20"/>
                <w:szCs w:val="20"/>
              </w:rPr>
              <w:t>5</w:t>
            </w:r>
            <w:r w:rsidRPr="007541D8">
              <w:rPr>
                <w:bCs/>
                <w:sz w:val="20"/>
                <w:szCs w:val="20"/>
              </w:rPr>
              <w:t>/</w:t>
            </w:r>
            <w:r w:rsidRPr="750113E7">
              <w:rPr>
                <w:sz w:val="20"/>
                <w:szCs w:val="20"/>
              </w:rPr>
              <w:t>21</w:t>
            </w:r>
          </w:p>
        </w:tc>
        <w:tc>
          <w:tcPr>
            <w:tcW w:w="9203" w:type="dxa"/>
            <w:shd w:val="clear" w:color="auto" w:fill="auto"/>
            <w:noWrap/>
            <w:vAlign w:val="center"/>
          </w:tcPr>
          <w:p w14:paraId="7CC6BD91" w14:textId="77777777" w:rsidR="003D639D" w:rsidRPr="00DE322A" w:rsidRDefault="00F76EBD" w:rsidP="009E3076">
            <w:pPr>
              <w:jc w:val="both"/>
            </w:pPr>
            <w:hyperlink r:id="rId66" w:history="1">
              <w:r w:rsidR="003D639D" w:rsidRPr="009C2178">
                <w:rPr>
                  <w:rStyle w:val="Hyperlink"/>
                </w:rPr>
                <w:t>Irbesartan/ hydrochlorothiazide 150mg/12.5mg tablets – Update</w:t>
              </w:r>
            </w:hyperlink>
          </w:p>
        </w:tc>
      </w:tr>
    </w:tbl>
    <w:p w14:paraId="54DB8AF6" w14:textId="77777777" w:rsidR="003D639D" w:rsidRDefault="003D639D" w:rsidP="003D639D">
      <w:pPr>
        <w:pStyle w:val="NoSpacing"/>
        <w:jc w:val="both"/>
        <w:rPr>
          <w:rFonts w:ascii="Calibri Light" w:eastAsia="Calibri Light" w:hAnsi="Calibri Light" w:cs="Calibri Light"/>
          <w:b/>
          <w:color w:val="44546A" w:themeColor="text2"/>
        </w:rPr>
      </w:pPr>
    </w:p>
    <w:p w14:paraId="056EE918" w14:textId="77777777" w:rsidR="003D639D" w:rsidRPr="008B0778" w:rsidRDefault="003D639D" w:rsidP="003D639D">
      <w:pPr>
        <w:pStyle w:val="NoSpacing"/>
        <w:jc w:val="both"/>
        <w:rPr>
          <w:rFonts w:ascii="Calibri Light" w:eastAsia="Calibri Light" w:hAnsi="Calibri Light" w:cs="Calibri Light"/>
          <w:b/>
          <w:color w:val="44546A" w:themeColor="text2"/>
        </w:rPr>
      </w:pPr>
    </w:p>
    <w:p w14:paraId="0AF0FC83" w14:textId="77777777" w:rsidR="003D639D" w:rsidRDefault="003D639D" w:rsidP="003D639D">
      <w:pPr>
        <w:pStyle w:val="NoSpacing"/>
        <w:rPr>
          <w:rStyle w:val="Hyperlink"/>
        </w:rPr>
      </w:pPr>
      <w:bookmarkStart w:id="13" w:name="cd_webinar"/>
      <w:r w:rsidRPr="541BB74F">
        <w:rPr>
          <w:rFonts w:ascii="Calibri Light" w:eastAsia="Calibri Light" w:hAnsi="Calibri Light" w:cs="Calibri Light"/>
          <w:color w:val="1F487C"/>
          <w:sz w:val="32"/>
          <w:szCs w:val="32"/>
        </w:rPr>
        <w:t xml:space="preserve">Dispensing Controlled drugs webinar </w:t>
      </w:r>
      <w:bookmarkEnd w:id="13"/>
      <w:r>
        <w:br/>
      </w:r>
      <w:r>
        <w:br/>
      </w:r>
      <w:r w:rsidRPr="541BB74F">
        <w:rPr>
          <w:color w:val="000000" w:themeColor="text1"/>
        </w:rPr>
        <w:t>PSNC’s Dispensing Controlled Drugs (CDs) webinar for community pharmacy teams is now available to watch on-demand. Of the participants who joined the event last night, </w:t>
      </w:r>
      <w:r w:rsidRPr="541BB74F">
        <w:rPr>
          <w:rStyle w:val="Strong"/>
          <w:color w:val="000000" w:themeColor="text1"/>
        </w:rPr>
        <w:t>96%</w:t>
      </w:r>
      <w:r w:rsidRPr="541BB74F">
        <w:rPr>
          <w:color w:val="000000" w:themeColor="text1"/>
        </w:rPr>
        <w:t> of attendees found it useful, with </w:t>
      </w:r>
      <w:r w:rsidRPr="541BB74F">
        <w:rPr>
          <w:rStyle w:val="Strong"/>
          <w:color w:val="000000" w:themeColor="text1"/>
        </w:rPr>
        <w:t>90%</w:t>
      </w:r>
      <w:r w:rsidRPr="541BB74F">
        <w:rPr>
          <w:color w:val="000000" w:themeColor="text1"/>
        </w:rPr>
        <w:t xml:space="preserve"> saying they would recommend it to others. </w:t>
      </w:r>
      <w:hyperlink r:id="rId67">
        <w:r w:rsidRPr="541BB74F">
          <w:rPr>
            <w:rStyle w:val="Hyperlink"/>
          </w:rPr>
          <w:t>Click here to view an on-demand version of the webinar</w:t>
        </w:r>
      </w:hyperlink>
    </w:p>
    <w:p w14:paraId="5A13E94E" w14:textId="77777777" w:rsidR="003D639D" w:rsidRDefault="003D639D" w:rsidP="003D639D">
      <w:pPr>
        <w:pStyle w:val="NoSpacing"/>
      </w:pPr>
      <w:r>
        <w:br/>
      </w:r>
    </w:p>
    <w:p w14:paraId="48EA4C9F" w14:textId="77777777" w:rsidR="003D639D" w:rsidRDefault="003D639D" w:rsidP="003D639D">
      <w:pPr>
        <w:jc w:val="both"/>
        <w:rPr>
          <w:rFonts w:ascii="Calibri Light" w:eastAsia="Calibri Light" w:hAnsi="Calibri Light" w:cs="Calibri Light"/>
          <w:color w:val="1F487C"/>
          <w:sz w:val="32"/>
          <w:szCs w:val="32"/>
        </w:rPr>
      </w:pPr>
      <w:bookmarkStart w:id="14" w:name="factsheets"/>
      <w:r w:rsidRPr="5EFB577B">
        <w:rPr>
          <w:rFonts w:ascii="Calibri Light" w:eastAsia="Calibri Light" w:hAnsi="Calibri Light" w:cs="Calibri Light"/>
          <w:color w:val="1F487C"/>
          <w:sz w:val="32"/>
          <w:szCs w:val="32"/>
        </w:rPr>
        <w:t xml:space="preserve">Pharmacy factsheets for </w:t>
      </w:r>
      <w:r>
        <w:rPr>
          <w:rFonts w:ascii="Calibri Light" w:eastAsia="Calibri Light" w:hAnsi="Calibri Light" w:cs="Calibri Light"/>
          <w:color w:val="1F487C"/>
          <w:sz w:val="32"/>
          <w:szCs w:val="32"/>
        </w:rPr>
        <w:t>c</w:t>
      </w:r>
      <w:r w:rsidRPr="5EFB577B">
        <w:rPr>
          <w:rFonts w:ascii="Calibri Light" w:eastAsia="Calibri Light" w:hAnsi="Calibri Light" w:cs="Calibri Light"/>
          <w:color w:val="1F487C"/>
          <w:sz w:val="32"/>
          <w:szCs w:val="32"/>
        </w:rPr>
        <w:t xml:space="preserve">ommunity </w:t>
      </w:r>
      <w:r>
        <w:rPr>
          <w:rFonts w:ascii="Calibri Light" w:eastAsia="Calibri Light" w:hAnsi="Calibri Light" w:cs="Calibri Light"/>
          <w:color w:val="1F487C"/>
          <w:sz w:val="32"/>
          <w:szCs w:val="32"/>
        </w:rPr>
        <w:t>p</w:t>
      </w:r>
      <w:r w:rsidRPr="5EFB577B">
        <w:rPr>
          <w:rFonts w:ascii="Calibri Light" w:eastAsia="Calibri Light" w:hAnsi="Calibri Light" w:cs="Calibri Light"/>
          <w:color w:val="1F487C"/>
          <w:sz w:val="32"/>
          <w:szCs w:val="32"/>
        </w:rPr>
        <w:t>harmacy</w:t>
      </w:r>
    </w:p>
    <w:bookmarkEnd w:id="14"/>
    <w:p w14:paraId="5F8A5031" w14:textId="77777777" w:rsidR="003D639D" w:rsidRPr="00344EC1" w:rsidRDefault="003D639D" w:rsidP="003D639D">
      <w:pPr>
        <w:spacing w:after="200"/>
        <w:jc w:val="both"/>
      </w:pPr>
      <w:r>
        <w:br/>
      </w:r>
      <w:r w:rsidRPr="5DFB1571">
        <w:t>The </w:t>
      </w:r>
      <w:hyperlink r:id="rId68">
        <w:r w:rsidRPr="5DFB1571">
          <w:rPr>
            <w:rStyle w:val="Hyperlink"/>
          </w:rPr>
          <w:t>May 2021 edition of Community Pharmacy News (CPN) magazine</w:t>
        </w:r>
      </w:hyperlink>
      <w:r w:rsidRPr="5DFB1571">
        <w:t> was the last issue produced by PSNC.</w:t>
      </w:r>
    </w:p>
    <w:p w14:paraId="58335F3C" w14:textId="77777777" w:rsidR="003D639D" w:rsidRPr="00D303D2" w:rsidRDefault="003D639D" w:rsidP="003D639D">
      <w:pPr>
        <w:spacing w:after="200"/>
        <w:jc w:val="both"/>
      </w:pPr>
      <w:r w:rsidRPr="5DFB1571">
        <w:t>PSNC will continue to produce its daily email updates so that community pharmacists and their teams receive important information and guidance from us in a timely manner. We will also continue to publish the content that appeared in CPN on our website: this will include the Dispensing and Supply Team factsheets and monthly Drug Tariff Watch.</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8240"/>
      </w:tblGrid>
      <w:tr w:rsidR="003D639D" w:rsidRPr="00D568C5" w14:paraId="7B6163E5" w14:textId="77777777" w:rsidTr="009E3076">
        <w:trPr>
          <w:trHeight w:val="315"/>
          <w:tblHeader/>
        </w:trPr>
        <w:tc>
          <w:tcPr>
            <w:tcW w:w="1180" w:type="dxa"/>
            <w:shd w:val="clear" w:color="auto" w:fill="65922E"/>
            <w:noWrap/>
            <w:vAlign w:val="center"/>
            <w:hideMark/>
          </w:tcPr>
          <w:p w14:paraId="45D96F2B" w14:textId="77777777" w:rsidR="003D639D" w:rsidRPr="002E5EA5" w:rsidRDefault="003D639D" w:rsidP="009E3076">
            <w:pPr>
              <w:jc w:val="both"/>
              <w:rPr>
                <w:rFonts w:eastAsia="Times New Roman"/>
                <w:b/>
                <w:color w:val="FFFFFF"/>
                <w:sz w:val="20"/>
                <w:szCs w:val="20"/>
                <w:lang w:eastAsia="en-GB"/>
              </w:rPr>
            </w:pPr>
            <w:r w:rsidRPr="28713B3F">
              <w:rPr>
                <w:rFonts w:eastAsia="Times New Roman"/>
                <w:b/>
                <w:color w:val="FFFFFF" w:themeColor="background1"/>
                <w:sz w:val="20"/>
                <w:szCs w:val="20"/>
                <w:lang w:eastAsia="en-GB"/>
              </w:rPr>
              <w:t>CPN Month</w:t>
            </w:r>
          </w:p>
        </w:tc>
        <w:tc>
          <w:tcPr>
            <w:tcW w:w="8240" w:type="dxa"/>
            <w:shd w:val="clear" w:color="auto" w:fill="65922E"/>
            <w:noWrap/>
            <w:vAlign w:val="center"/>
            <w:hideMark/>
          </w:tcPr>
          <w:p w14:paraId="418A8D74" w14:textId="77777777" w:rsidR="003D639D" w:rsidRPr="002E5EA5" w:rsidRDefault="003D639D" w:rsidP="009E3076">
            <w:pPr>
              <w:jc w:val="both"/>
              <w:rPr>
                <w:rFonts w:eastAsia="Times New Roman"/>
                <w:b/>
                <w:color w:val="FFFFFF"/>
                <w:sz w:val="20"/>
                <w:szCs w:val="20"/>
                <w:lang w:eastAsia="en-GB"/>
              </w:rPr>
            </w:pPr>
            <w:r w:rsidRPr="28713B3F">
              <w:rPr>
                <w:rFonts w:eastAsia="Times New Roman"/>
                <w:b/>
                <w:color w:val="FFFFFF" w:themeColor="background1"/>
                <w:sz w:val="20"/>
                <w:szCs w:val="20"/>
                <w:lang w:eastAsia="en-GB"/>
              </w:rPr>
              <w:t>Factsheet title</w:t>
            </w:r>
          </w:p>
        </w:tc>
      </w:tr>
      <w:tr w:rsidR="003D639D" w:rsidRPr="00275A98" w14:paraId="2167EE04" w14:textId="77777777" w:rsidTr="009E3076">
        <w:trPr>
          <w:trHeight w:val="315"/>
        </w:trPr>
        <w:tc>
          <w:tcPr>
            <w:tcW w:w="1180" w:type="dxa"/>
            <w:shd w:val="clear" w:color="auto" w:fill="auto"/>
            <w:noWrap/>
            <w:vAlign w:val="center"/>
          </w:tcPr>
          <w:p w14:paraId="62423057" w14:textId="77777777" w:rsidR="003D639D" w:rsidRPr="00275A98" w:rsidRDefault="003D639D" w:rsidP="009E3076">
            <w:pPr>
              <w:jc w:val="both"/>
              <w:rPr>
                <w:rFonts w:eastAsia="Times New Roman"/>
                <w:color w:val="000000" w:themeColor="text1"/>
                <w:sz w:val="20"/>
                <w:szCs w:val="20"/>
                <w:lang w:eastAsia="en-GB"/>
              </w:rPr>
            </w:pPr>
            <w:r>
              <w:rPr>
                <w:rFonts w:eastAsia="Times New Roman"/>
                <w:color w:val="000000" w:themeColor="text1"/>
                <w:sz w:val="20"/>
                <w:szCs w:val="20"/>
                <w:lang w:eastAsia="en-GB"/>
              </w:rPr>
              <w:t>July-21</w:t>
            </w:r>
          </w:p>
        </w:tc>
        <w:tc>
          <w:tcPr>
            <w:tcW w:w="8240" w:type="dxa"/>
            <w:shd w:val="clear" w:color="auto" w:fill="auto"/>
            <w:noWrap/>
            <w:vAlign w:val="center"/>
          </w:tcPr>
          <w:p w14:paraId="20456607" w14:textId="77777777" w:rsidR="003D639D" w:rsidRPr="00A3261D" w:rsidRDefault="00F76EBD" w:rsidP="009E3076">
            <w:pPr>
              <w:jc w:val="both"/>
              <w:rPr>
                <w:rFonts w:eastAsia="Times New Roman"/>
                <w:color w:val="000000" w:themeColor="text1"/>
                <w:sz w:val="20"/>
                <w:szCs w:val="20"/>
                <w:lang w:eastAsia="en-GB"/>
              </w:rPr>
            </w:pPr>
            <w:hyperlink r:id="rId69" w:tgtFrame="_blank" w:history="1">
              <w:r w:rsidR="003D639D" w:rsidRPr="00A3261D">
                <w:rPr>
                  <w:rStyle w:val="Hyperlink"/>
                  <w:rFonts w:eastAsia="Times New Roman"/>
                  <w:sz w:val="20"/>
                  <w:szCs w:val="20"/>
                  <w:lang w:eastAsia="en-GB"/>
                </w:rPr>
                <w:t>FOC items factsheet</w:t>
              </w:r>
            </w:hyperlink>
            <w:r w:rsidR="003D639D" w:rsidRPr="00A3261D">
              <w:rPr>
                <w:rFonts w:eastAsia="Times New Roman"/>
                <w:color w:val="000000" w:themeColor="text1"/>
                <w:sz w:val="20"/>
                <w:szCs w:val="20"/>
                <w:lang w:eastAsia="en-GB"/>
              </w:rPr>
              <w:t> </w:t>
            </w:r>
          </w:p>
        </w:tc>
      </w:tr>
      <w:tr w:rsidR="003D639D" w:rsidRPr="00275A98" w14:paraId="2090F048" w14:textId="77777777" w:rsidTr="009E3076">
        <w:trPr>
          <w:trHeight w:val="315"/>
        </w:trPr>
        <w:tc>
          <w:tcPr>
            <w:tcW w:w="1180" w:type="dxa"/>
            <w:shd w:val="clear" w:color="auto" w:fill="auto"/>
            <w:noWrap/>
            <w:vAlign w:val="center"/>
          </w:tcPr>
          <w:p w14:paraId="2B22D045" w14:textId="77777777" w:rsidR="003D639D" w:rsidRDefault="003D639D" w:rsidP="009E3076">
            <w:pPr>
              <w:jc w:val="both"/>
              <w:rPr>
                <w:rFonts w:eastAsia="Times New Roman"/>
                <w:color w:val="000000" w:themeColor="text1"/>
                <w:sz w:val="20"/>
                <w:szCs w:val="20"/>
                <w:lang w:eastAsia="en-GB"/>
              </w:rPr>
            </w:pPr>
            <w:r>
              <w:rPr>
                <w:rFonts w:eastAsia="Times New Roman"/>
                <w:color w:val="000000" w:themeColor="text1"/>
                <w:sz w:val="20"/>
                <w:szCs w:val="20"/>
                <w:lang w:eastAsia="en-GB"/>
              </w:rPr>
              <w:t>May-21</w:t>
            </w:r>
          </w:p>
        </w:tc>
        <w:tc>
          <w:tcPr>
            <w:tcW w:w="8240" w:type="dxa"/>
            <w:shd w:val="clear" w:color="auto" w:fill="auto"/>
            <w:noWrap/>
            <w:vAlign w:val="center"/>
          </w:tcPr>
          <w:p w14:paraId="719C9F1C" w14:textId="77777777" w:rsidR="003D639D" w:rsidRDefault="00F76EBD" w:rsidP="009E3076">
            <w:pPr>
              <w:jc w:val="both"/>
              <w:rPr>
                <w:rFonts w:eastAsia="Times New Roman"/>
                <w:color w:val="000000" w:themeColor="text1"/>
                <w:sz w:val="20"/>
                <w:szCs w:val="20"/>
                <w:lang w:eastAsia="en-GB"/>
              </w:rPr>
            </w:pPr>
            <w:hyperlink r:id="rId70" w:history="1">
              <w:r w:rsidR="003D639D" w:rsidRPr="00693844">
                <w:rPr>
                  <w:rStyle w:val="Hyperlink"/>
                  <w:rFonts w:eastAsia="Times New Roman"/>
                  <w:sz w:val="20"/>
                  <w:szCs w:val="20"/>
                  <w:lang w:eastAsia="en-GB"/>
                </w:rPr>
                <w:t>Understanding Prescription Returns</w:t>
              </w:r>
            </w:hyperlink>
          </w:p>
        </w:tc>
      </w:tr>
      <w:tr w:rsidR="003D639D" w:rsidRPr="00275A98" w14:paraId="04D622BB" w14:textId="77777777" w:rsidTr="009E3076">
        <w:trPr>
          <w:trHeight w:val="315"/>
        </w:trPr>
        <w:tc>
          <w:tcPr>
            <w:tcW w:w="1180" w:type="dxa"/>
            <w:shd w:val="clear" w:color="auto" w:fill="auto"/>
            <w:noWrap/>
            <w:vAlign w:val="center"/>
          </w:tcPr>
          <w:p w14:paraId="735EBE6A" w14:textId="77777777" w:rsidR="003D639D" w:rsidRPr="28713B3F" w:rsidRDefault="003D639D" w:rsidP="009E3076">
            <w:pPr>
              <w:jc w:val="both"/>
              <w:rPr>
                <w:rFonts w:eastAsia="Times New Roman"/>
                <w:color w:val="000000" w:themeColor="text1"/>
                <w:sz w:val="20"/>
                <w:szCs w:val="20"/>
                <w:lang w:eastAsia="en-GB"/>
              </w:rPr>
            </w:pPr>
            <w:r w:rsidRPr="28713B3F">
              <w:rPr>
                <w:rFonts w:eastAsia="Times New Roman"/>
                <w:color w:val="000000" w:themeColor="text1"/>
                <w:sz w:val="20"/>
                <w:szCs w:val="20"/>
                <w:lang w:eastAsia="en-GB"/>
              </w:rPr>
              <w:t>Apr-21</w:t>
            </w:r>
          </w:p>
        </w:tc>
        <w:tc>
          <w:tcPr>
            <w:tcW w:w="8240" w:type="dxa"/>
            <w:shd w:val="clear" w:color="auto" w:fill="auto"/>
            <w:noWrap/>
            <w:vAlign w:val="center"/>
          </w:tcPr>
          <w:p w14:paraId="14BBD48F" w14:textId="77777777" w:rsidR="003D639D" w:rsidRDefault="00F76EBD" w:rsidP="009E3076">
            <w:pPr>
              <w:jc w:val="both"/>
            </w:pPr>
            <w:hyperlink r:id="rId71" w:history="1">
              <w:r w:rsidR="003D639D" w:rsidRPr="005323CF">
                <w:rPr>
                  <w:rStyle w:val="Hyperlink"/>
                  <w:rFonts w:eastAsia="Times New Roman"/>
                  <w:sz w:val="20"/>
                  <w:szCs w:val="20"/>
                  <w:lang w:eastAsia="en-GB"/>
                </w:rPr>
                <w:t>Multi-Charge Items</w:t>
              </w:r>
            </w:hyperlink>
            <w:r w:rsidR="003D639D">
              <w:rPr>
                <w:rFonts w:eastAsia="Times New Roman"/>
                <w:color w:val="000000" w:themeColor="text1"/>
                <w:sz w:val="20"/>
                <w:szCs w:val="20"/>
                <w:lang w:eastAsia="en-GB"/>
              </w:rPr>
              <w:t xml:space="preserve"> and </w:t>
            </w:r>
            <w:hyperlink r:id="rId72" w:history="1">
              <w:r w:rsidR="003D639D" w:rsidRPr="002A674B">
                <w:rPr>
                  <w:rStyle w:val="Hyperlink"/>
                  <w:rFonts w:eastAsia="Times New Roman"/>
                  <w:sz w:val="20"/>
                  <w:szCs w:val="20"/>
                  <w:lang w:eastAsia="en-GB"/>
                </w:rPr>
                <w:t>How to access your Prescription Item Reports</w:t>
              </w:r>
            </w:hyperlink>
          </w:p>
        </w:tc>
      </w:tr>
      <w:tr w:rsidR="003D639D" w:rsidRPr="00275A98" w14:paraId="39B4D76E" w14:textId="77777777" w:rsidTr="009E3076">
        <w:trPr>
          <w:trHeight w:val="315"/>
        </w:trPr>
        <w:tc>
          <w:tcPr>
            <w:tcW w:w="1180" w:type="dxa"/>
            <w:shd w:val="clear" w:color="auto" w:fill="auto"/>
            <w:noWrap/>
            <w:vAlign w:val="center"/>
          </w:tcPr>
          <w:p w14:paraId="25FF1CED" w14:textId="77777777" w:rsidR="003D639D" w:rsidRPr="00275A98" w:rsidRDefault="003D639D" w:rsidP="009E3076">
            <w:pPr>
              <w:jc w:val="both"/>
              <w:rPr>
                <w:rFonts w:eastAsia="Times New Roman"/>
                <w:color w:val="000000" w:themeColor="text1"/>
                <w:sz w:val="20"/>
                <w:szCs w:val="20"/>
                <w:lang w:eastAsia="en-GB"/>
              </w:rPr>
            </w:pPr>
            <w:r w:rsidRPr="28713B3F">
              <w:rPr>
                <w:rFonts w:eastAsia="Times New Roman"/>
                <w:color w:val="000000" w:themeColor="text1"/>
                <w:sz w:val="20"/>
                <w:szCs w:val="20"/>
                <w:lang w:eastAsia="en-GB"/>
              </w:rPr>
              <w:t>Mar-21</w:t>
            </w:r>
          </w:p>
        </w:tc>
        <w:tc>
          <w:tcPr>
            <w:tcW w:w="8240" w:type="dxa"/>
            <w:shd w:val="clear" w:color="auto" w:fill="auto"/>
            <w:noWrap/>
            <w:vAlign w:val="center"/>
          </w:tcPr>
          <w:p w14:paraId="47058464" w14:textId="77777777" w:rsidR="003D639D" w:rsidRPr="00275A98" w:rsidRDefault="00F76EBD" w:rsidP="009E3076">
            <w:pPr>
              <w:jc w:val="both"/>
              <w:rPr>
                <w:rFonts w:eastAsia="Times New Roman"/>
                <w:color w:val="000000" w:themeColor="text1"/>
                <w:sz w:val="20"/>
                <w:szCs w:val="20"/>
                <w:lang w:eastAsia="en-GB"/>
              </w:rPr>
            </w:pPr>
            <w:hyperlink r:id="rId73" w:history="1">
              <w:r w:rsidR="003D639D" w:rsidRPr="6B8E8425">
                <w:rPr>
                  <w:rStyle w:val="Hyperlink"/>
                  <w:rFonts w:eastAsia="Times New Roman"/>
                  <w:sz w:val="20"/>
                  <w:szCs w:val="20"/>
                  <w:lang w:eastAsia="en-GB"/>
                </w:rPr>
                <w:t>Expensive Items</w:t>
              </w:r>
            </w:hyperlink>
          </w:p>
        </w:tc>
      </w:tr>
      <w:tr w:rsidR="003D639D" w:rsidRPr="00275A98" w14:paraId="21DB3A55" w14:textId="77777777" w:rsidTr="009E3076">
        <w:trPr>
          <w:trHeight w:val="315"/>
        </w:trPr>
        <w:tc>
          <w:tcPr>
            <w:tcW w:w="1180" w:type="dxa"/>
            <w:shd w:val="clear" w:color="auto" w:fill="auto"/>
            <w:noWrap/>
            <w:vAlign w:val="center"/>
          </w:tcPr>
          <w:p w14:paraId="69B96E66" w14:textId="77777777" w:rsidR="003D639D" w:rsidRPr="00275A98" w:rsidRDefault="003D639D" w:rsidP="009E3076">
            <w:pPr>
              <w:jc w:val="both"/>
              <w:rPr>
                <w:rFonts w:eastAsia="Times New Roman"/>
                <w:color w:val="000000" w:themeColor="text1"/>
                <w:sz w:val="20"/>
                <w:szCs w:val="20"/>
                <w:lang w:eastAsia="en-GB"/>
              </w:rPr>
            </w:pPr>
            <w:r w:rsidRPr="28713B3F">
              <w:rPr>
                <w:rFonts w:eastAsia="Times New Roman"/>
                <w:color w:val="000000" w:themeColor="text1"/>
                <w:sz w:val="20"/>
                <w:szCs w:val="20"/>
                <w:lang w:eastAsia="en-GB"/>
              </w:rPr>
              <w:t>Feb-21</w:t>
            </w:r>
          </w:p>
        </w:tc>
        <w:tc>
          <w:tcPr>
            <w:tcW w:w="8240" w:type="dxa"/>
            <w:shd w:val="clear" w:color="auto" w:fill="auto"/>
            <w:noWrap/>
            <w:vAlign w:val="center"/>
          </w:tcPr>
          <w:p w14:paraId="09CD3E49" w14:textId="77777777" w:rsidR="003D639D" w:rsidRPr="00275A98" w:rsidRDefault="00F76EBD" w:rsidP="009E3076">
            <w:pPr>
              <w:jc w:val="both"/>
              <w:rPr>
                <w:rFonts w:eastAsia="Times New Roman"/>
                <w:color w:val="000000" w:themeColor="text1"/>
                <w:sz w:val="20"/>
                <w:szCs w:val="20"/>
                <w:lang w:eastAsia="en-GB"/>
              </w:rPr>
            </w:pPr>
            <w:hyperlink r:id="rId74" w:history="1">
              <w:r w:rsidR="003D639D" w:rsidRPr="28713B3F">
                <w:rPr>
                  <w:rStyle w:val="Hyperlink"/>
                  <w:rFonts w:eastAsia="Times New Roman"/>
                  <w:sz w:val="20"/>
                  <w:szCs w:val="20"/>
                  <w:lang w:eastAsia="en-GB"/>
                </w:rPr>
                <w:t>Dispensing prescriptions for Controlled Drugs</w:t>
              </w:r>
            </w:hyperlink>
          </w:p>
        </w:tc>
      </w:tr>
      <w:tr w:rsidR="003D639D" w:rsidRPr="00D568C5" w14:paraId="186D91DD" w14:textId="77777777" w:rsidTr="009E3076">
        <w:trPr>
          <w:trHeight w:val="315"/>
        </w:trPr>
        <w:tc>
          <w:tcPr>
            <w:tcW w:w="1180" w:type="dxa"/>
            <w:shd w:val="clear" w:color="auto" w:fill="auto"/>
            <w:noWrap/>
            <w:vAlign w:val="center"/>
          </w:tcPr>
          <w:p w14:paraId="7259911D" w14:textId="77777777" w:rsidR="003D639D" w:rsidRPr="0C77C136" w:rsidRDefault="003D639D" w:rsidP="009E3076">
            <w:pPr>
              <w:jc w:val="both"/>
              <w:rPr>
                <w:rFonts w:eastAsiaTheme="minorEastAsia"/>
                <w:color w:val="000000" w:themeColor="text1"/>
                <w:sz w:val="20"/>
                <w:szCs w:val="20"/>
                <w:lang w:eastAsia="en-GB"/>
              </w:rPr>
            </w:pPr>
            <w:r>
              <w:rPr>
                <w:rFonts w:eastAsiaTheme="minorEastAsia"/>
                <w:color w:val="000000" w:themeColor="text1"/>
                <w:sz w:val="20"/>
                <w:szCs w:val="20"/>
                <w:lang w:eastAsia="en-GB"/>
              </w:rPr>
              <w:t>Jan-</w:t>
            </w:r>
            <w:r w:rsidRPr="10A60352">
              <w:rPr>
                <w:rFonts w:eastAsiaTheme="minorEastAsia"/>
                <w:color w:val="000000" w:themeColor="text1"/>
                <w:sz w:val="20"/>
                <w:szCs w:val="20"/>
                <w:lang w:eastAsia="en-GB"/>
              </w:rPr>
              <w:t>21</w:t>
            </w:r>
          </w:p>
        </w:tc>
        <w:tc>
          <w:tcPr>
            <w:tcW w:w="8240" w:type="dxa"/>
            <w:shd w:val="clear" w:color="auto" w:fill="auto"/>
            <w:noWrap/>
            <w:vAlign w:val="center"/>
          </w:tcPr>
          <w:p w14:paraId="7120F540" w14:textId="77777777" w:rsidR="003D639D" w:rsidRPr="00C90797" w:rsidRDefault="00F76EBD" w:rsidP="009E3076">
            <w:pPr>
              <w:jc w:val="both"/>
              <w:rPr>
                <w:rStyle w:val="normaltextrun"/>
                <w:color w:val="000000"/>
                <w:sz w:val="20"/>
                <w:szCs w:val="20"/>
                <w:shd w:val="clear" w:color="auto" w:fill="FFFFFF"/>
              </w:rPr>
            </w:pPr>
            <w:hyperlink r:id="rId75" w:history="1">
              <w:r w:rsidR="003D639D" w:rsidRPr="00BA140E">
                <w:rPr>
                  <w:rStyle w:val="Hyperlink"/>
                  <w:sz w:val="20"/>
                  <w:szCs w:val="20"/>
                  <w:shd w:val="clear" w:color="auto" w:fill="FFFFFF"/>
                </w:rPr>
                <w:t>Disallowed items</w:t>
              </w:r>
            </w:hyperlink>
          </w:p>
        </w:tc>
      </w:tr>
      <w:tr w:rsidR="003D639D" w:rsidRPr="00D568C5" w14:paraId="5312ADEA" w14:textId="77777777" w:rsidTr="009E3076">
        <w:trPr>
          <w:trHeight w:val="315"/>
        </w:trPr>
        <w:tc>
          <w:tcPr>
            <w:tcW w:w="1180" w:type="dxa"/>
            <w:shd w:val="clear" w:color="auto" w:fill="auto"/>
            <w:noWrap/>
            <w:vAlign w:val="center"/>
          </w:tcPr>
          <w:p w14:paraId="3E817745" w14:textId="77777777" w:rsidR="003D639D" w:rsidRPr="0C77C136" w:rsidRDefault="003D639D" w:rsidP="009E3076">
            <w:pPr>
              <w:jc w:val="both"/>
              <w:rPr>
                <w:rFonts w:eastAsiaTheme="minorEastAsia"/>
                <w:color w:val="000000" w:themeColor="text1"/>
                <w:sz w:val="20"/>
                <w:szCs w:val="20"/>
                <w:lang w:eastAsia="en-GB"/>
              </w:rPr>
            </w:pPr>
            <w:r>
              <w:rPr>
                <w:rFonts w:eastAsiaTheme="minorEastAsia"/>
                <w:color w:val="000000" w:themeColor="text1"/>
                <w:sz w:val="20"/>
                <w:szCs w:val="20"/>
                <w:lang w:eastAsia="en-GB"/>
              </w:rPr>
              <w:t>Dec-20</w:t>
            </w:r>
          </w:p>
        </w:tc>
        <w:tc>
          <w:tcPr>
            <w:tcW w:w="8240" w:type="dxa"/>
            <w:shd w:val="clear" w:color="auto" w:fill="auto"/>
            <w:noWrap/>
            <w:vAlign w:val="center"/>
          </w:tcPr>
          <w:p w14:paraId="07C95D73" w14:textId="77777777" w:rsidR="003D639D" w:rsidRPr="00C90797" w:rsidRDefault="00F76EBD" w:rsidP="009E3076">
            <w:pPr>
              <w:jc w:val="both"/>
              <w:rPr>
                <w:rStyle w:val="normaltextrun"/>
                <w:color w:val="000000"/>
                <w:sz w:val="20"/>
                <w:szCs w:val="20"/>
                <w:shd w:val="clear" w:color="auto" w:fill="FFFFFF"/>
              </w:rPr>
            </w:pPr>
            <w:hyperlink r:id="rId76" w:history="1">
              <w:r w:rsidR="003D639D" w:rsidRPr="00416462">
                <w:rPr>
                  <w:rStyle w:val="Hyperlink"/>
                  <w:sz w:val="20"/>
                  <w:szCs w:val="20"/>
                  <w:shd w:val="clear" w:color="auto" w:fill="FFFFFF"/>
                </w:rPr>
                <w:t>Is this item allowed</w:t>
              </w:r>
            </w:hyperlink>
          </w:p>
        </w:tc>
      </w:tr>
      <w:tr w:rsidR="003D639D" w:rsidRPr="00D568C5" w14:paraId="37ED60E4" w14:textId="77777777" w:rsidTr="009E3076">
        <w:trPr>
          <w:trHeight w:val="315"/>
        </w:trPr>
        <w:tc>
          <w:tcPr>
            <w:tcW w:w="1180" w:type="dxa"/>
            <w:shd w:val="clear" w:color="auto" w:fill="auto"/>
            <w:noWrap/>
            <w:vAlign w:val="center"/>
          </w:tcPr>
          <w:p w14:paraId="0EA6B923" w14:textId="77777777" w:rsidR="003D639D" w:rsidRPr="00D568C5" w:rsidRDefault="003D639D" w:rsidP="009E3076">
            <w:pPr>
              <w:jc w:val="both"/>
              <w:rPr>
                <w:rFonts w:eastAsiaTheme="minorEastAsia"/>
                <w:color w:val="000000"/>
                <w:sz w:val="20"/>
                <w:szCs w:val="20"/>
                <w:lang w:eastAsia="en-GB"/>
              </w:rPr>
            </w:pPr>
            <w:r w:rsidRPr="0C77C136">
              <w:rPr>
                <w:rFonts w:eastAsiaTheme="minorEastAsia"/>
                <w:color w:val="000000" w:themeColor="text1"/>
                <w:sz w:val="20"/>
                <w:szCs w:val="20"/>
                <w:lang w:eastAsia="en-GB"/>
              </w:rPr>
              <w:lastRenderedPageBreak/>
              <w:t>Nov-20</w:t>
            </w:r>
          </w:p>
        </w:tc>
        <w:tc>
          <w:tcPr>
            <w:tcW w:w="8240" w:type="dxa"/>
            <w:shd w:val="clear" w:color="auto" w:fill="auto"/>
            <w:noWrap/>
            <w:vAlign w:val="center"/>
          </w:tcPr>
          <w:p w14:paraId="2D192000" w14:textId="77777777" w:rsidR="003D639D" w:rsidRPr="00D568C5" w:rsidRDefault="00F76EBD" w:rsidP="009E3076">
            <w:pPr>
              <w:jc w:val="both"/>
              <w:rPr>
                <w:rFonts w:eastAsiaTheme="minorEastAsia"/>
                <w:color w:val="000000" w:themeColor="text1"/>
                <w:sz w:val="20"/>
                <w:szCs w:val="20"/>
                <w:lang w:eastAsia="en-GB"/>
              </w:rPr>
            </w:pPr>
            <w:hyperlink r:id="rId77" w:history="1">
              <w:r w:rsidR="003D639D" w:rsidRPr="00E855C1">
                <w:rPr>
                  <w:rStyle w:val="Hyperlink"/>
                  <w:sz w:val="20"/>
                  <w:szCs w:val="20"/>
                  <w:shd w:val="clear" w:color="auto" w:fill="FFFFFF"/>
                </w:rPr>
                <w:t>Dispensing and submission guidance following the suspension of patient signatures on prescriptions</w:t>
              </w:r>
            </w:hyperlink>
          </w:p>
        </w:tc>
      </w:tr>
      <w:tr w:rsidR="003D639D" w:rsidRPr="00D568C5" w14:paraId="2AF14148" w14:textId="77777777" w:rsidTr="009E3076">
        <w:trPr>
          <w:trHeight w:val="315"/>
        </w:trPr>
        <w:tc>
          <w:tcPr>
            <w:tcW w:w="1180" w:type="dxa"/>
            <w:shd w:val="clear" w:color="auto" w:fill="auto"/>
            <w:noWrap/>
            <w:vAlign w:val="center"/>
          </w:tcPr>
          <w:p w14:paraId="28AAC9D8" w14:textId="77777777" w:rsidR="003D639D" w:rsidRPr="00D568C5" w:rsidRDefault="003D639D" w:rsidP="009E3076">
            <w:pPr>
              <w:jc w:val="both"/>
              <w:rPr>
                <w:rFonts w:eastAsiaTheme="minorEastAsia"/>
                <w:color w:val="000000"/>
                <w:sz w:val="20"/>
                <w:szCs w:val="20"/>
                <w:lang w:eastAsia="en-GB"/>
              </w:rPr>
            </w:pPr>
            <w:r w:rsidRPr="0C77C136">
              <w:rPr>
                <w:rFonts w:eastAsiaTheme="minorEastAsia"/>
                <w:color w:val="000000" w:themeColor="text1"/>
                <w:sz w:val="20"/>
                <w:szCs w:val="20"/>
                <w:lang w:eastAsia="en-GB"/>
              </w:rPr>
              <w:t>Oct-20</w:t>
            </w:r>
          </w:p>
        </w:tc>
        <w:tc>
          <w:tcPr>
            <w:tcW w:w="8240" w:type="dxa"/>
            <w:shd w:val="clear" w:color="auto" w:fill="auto"/>
            <w:noWrap/>
            <w:vAlign w:val="center"/>
          </w:tcPr>
          <w:p w14:paraId="3B0E3418" w14:textId="77777777" w:rsidR="003D639D" w:rsidRPr="00D568C5" w:rsidRDefault="00F76EBD" w:rsidP="009E3076">
            <w:pPr>
              <w:jc w:val="both"/>
              <w:rPr>
                <w:rFonts w:eastAsiaTheme="minorEastAsia"/>
                <w:color w:val="000000" w:themeColor="text1"/>
                <w:sz w:val="20"/>
                <w:szCs w:val="20"/>
                <w:lang w:eastAsia="en-GB"/>
              </w:rPr>
            </w:pPr>
            <w:hyperlink r:id="rId78">
              <w:r w:rsidR="003D639D" w:rsidRPr="0C77C136">
                <w:rPr>
                  <w:rStyle w:val="Hyperlink"/>
                  <w:rFonts w:eastAsiaTheme="minorEastAsia"/>
                  <w:sz w:val="20"/>
                  <w:szCs w:val="20"/>
                  <w:lang w:eastAsia="en-GB"/>
                </w:rPr>
                <w:t>Red separator submission</w:t>
              </w:r>
            </w:hyperlink>
          </w:p>
        </w:tc>
      </w:tr>
      <w:tr w:rsidR="003D639D" w:rsidRPr="00D568C5" w14:paraId="1BB7AACF" w14:textId="77777777" w:rsidTr="009E3076">
        <w:trPr>
          <w:trHeight w:val="315"/>
        </w:trPr>
        <w:tc>
          <w:tcPr>
            <w:tcW w:w="1180" w:type="dxa"/>
            <w:shd w:val="clear" w:color="auto" w:fill="auto"/>
            <w:noWrap/>
            <w:vAlign w:val="center"/>
          </w:tcPr>
          <w:p w14:paraId="0462225B" w14:textId="77777777" w:rsidR="003D639D" w:rsidRPr="00D568C5" w:rsidRDefault="003D639D" w:rsidP="009E3076">
            <w:pPr>
              <w:jc w:val="both"/>
              <w:rPr>
                <w:rFonts w:eastAsiaTheme="minorEastAsia"/>
                <w:color w:val="000000"/>
                <w:sz w:val="20"/>
                <w:szCs w:val="20"/>
                <w:lang w:eastAsia="en-GB"/>
              </w:rPr>
            </w:pPr>
            <w:r w:rsidRPr="0C77C136">
              <w:rPr>
                <w:rFonts w:eastAsiaTheme="minorEastAsia"/>
                <w:color w:val="000000" w:themeColor="text1"/>
                <w:sz w:val="20"/>
                <w:szCs w:val="20"/>
                <w:lang w:eastAsia="en-GB"/>
              </w:rPr>
              <w:t>Sep-20</w:t>
            </w:r>
          </w:p>
        </w:tc>
        <w:tc>
          <w:tcPr>
            <w:tcW w:w="8240" w:type="dxa"/>
            <w:shd w:val="clear" w:color="auto" w:fill="auto"/>
            <w:noWrap/>
            <w:vAlign w:val="center"/>
          </w:tcPr>
          <w:p w14:paraId="43CC9D34" w14:textId="77777777" w:rsidR="003D639D" w:rsidRPr="00D568C5" w:rsidRDefault="00F76EBD" w:rsidP="009E3076">
            <w:pPr>
              <w:jc w:val="both"/>
              <w:rPr>
                <w:rFonts w:eastAsiaTheme="minorEastAsia"/>
                <w:color w:val="000000" w:themeColor="text1"/>
                <w:sz w:val="20"/>
                <w:szCs w:val="20"/>
                <w:lang w:eastAsia="en-GB"/>
              </w:rPr>
            </w:pPr>
            <w:hyperlink r:id="rId79">
              <w:r w:rsidR="003D639D" w:rsidRPr="0C77C136">
                <w:rPr>
                  <w:rStyle w:val="Hyperlink"/>
                  <w:rFonts w:eastAsiaTheme="minorEastAsia"/>
                  <w:sz w:val="20"/>
                  <w:szCs w:val="20"/>
                  <w:lang w:eastAsia="en-GB"/>
                </w:rPr>
                <w:t>Prescription re-check</w:t>
              </w:r>
            </w:hyperlink>
          </w:p>
        </w:tc>
      </w:tr>
      <w:tr w:rsidR="003D639D" w:rsidRPr="00D568C5" w14:paraId="54FE807E" w14:textId="77777777" w:rsidTr="009E3076">
        <w:trPr>
          <w:trHeight w:val="315"/>
        </w:trPr>
        <w:tc>
          <w:tcPr>
            <w:tcW w:w="1180" w:type="dxa"/>
            <w:shd w:val="clear" w:color="auto" w:fill="auto"/>
            <w:noWrap/>
            <w:vAlign w:val="center"/>
            <w:hideMark/>
          </w:tcPr>
          <w:p w14:paraId="702095A6" w14:textId="77777777" w:rsidR="003D639D" w:rsidRPr="00D568C5" w:rsidRDefault="003D639D" w:rsidP="009E3076">
            <w:pPr>
              <w:jc w:val="both"/>
              <w:rPr>
                <w:rFonts w:eastAsiaTheme="minorEastAsia"/>
                <w:color w:val="000000"/>
                <w:sz w:val="20"/>
                <w:szCs w:val="20"/>
                <w:lang w:eastAsia="en-GB"/>
              </w:rPr>
            </w:pPr>
            <w:r w:rsidRPr="0C77C136">
              <w:rPr>
                <w:rFonts w:eastAsiaTheme="minorEastAsia"/>
                <w:color w:val="000000" w:themeColor="text1"/>
                <w:sz w:val="20"/>
                <w:szCs w:val="20"/>
                <w:lang w:eastAsia="en-GB"/>
              </w:rPr>
              <w:t>Aug-20</w:t>
            </w:r>
          </w:p>
        </w:tc>
        <w:tc>
          <w:tcPr>
            <w:tcW w:w="8240" w:type="dxa"/>
            <w:shd w:val="clear" w:color="auto" w:fill="auto"/>
            <w:noWrap/>
            <w:vAlign w:val="center"/>
            <w:hideMark/>
          </w:tcPr>
          <w:p w14:paraId="2D19E1F7" w14:textId="77777777" w:rsidR="003D639D" w:rsidRPr="00D568C5" w:rsidRDefault="00F76EBD" w:rsidP="009E3076">
            <w:pPr>
              <w:jc w:val="both"/>
              <w:rPr>
                <w:rFonts w:eastAsiaTheme="minorEastAsia"/>
                <w:color w:val="000000"/>
                <w:sz w:val="20"/>
                <w:szCs w:val="20"/>
                <w:lang w:eastAsia="en-GB"/>
              </w:rPr>
            </w:pPr>
            <w:hyperlink r:id="rId80">
              <w:r w:rsidR="003D639D" w:rsidRPr="0C77C136">
                <w:rPr>
                  <w:rStyle w:val="Hyperlink"/>
                  <w:rFonts w:eastAsiaTheme="minorEastAsia"/>
                  <w:sz w:val="20"/>
                  <w:szCs w:val="20"/>
                  <w:lang w:eastAsia="en-GB"/>
                </w:rPr>
                <w:t>Exemptions from prescription charges</w:t>
              </w:r>
            </w:hyperlink>
          </w:p>
        </w:tc>
      </w:tr>
      <w:tr w:rsidR="003D639D" w:rsidRPr="00D568C5" w14:paraId="2A8149E4" w14:textId="77777777" w:rsidTr="009E3076">
        <w:trPr>
          <w:trHeight w:val="315"/>
        </w:trPr>
        <w:tc>
          <w:tcPr>
            <w:tcW w:w="1180" w:type="dxa"/>
            <w:shd w:val="clear" w:color="auto" w:fill="auto"/>
            <w:noWrap/>
            <w:vAlign w:val="center"/>
            <w:hideMark/>
          </w:tcPr>
          <w:p w14:paraId="429451B7" w14:textId="77777777" w:rsidR="003D639D" w:rsidRPr="00D568C5" w:rsidRDefault="003D639D" w:rsidP="009E3076">
            <w:pPr>
              <w:jc w:val="both"/>
              <w:rPr>
                <w:rFonts w:eastAsiaTheme="minorEastAsia"/>
                <w:color w:val="000000"/>
                <w:sz w:val="20"/>
                <w:szCs w:val="20"/>
                <w:lang w:eastAsia="en-GB"/>
              </w:rPr>
            </w:pPr>
            <w:r w:rsidRPr="0C77C136">
              <w:rPr>
                <w:rFonts w:eastAsiaTheme="minorEastAsia"/>
                <w:color w:val="000000" w:themeColor="text1"/>
                <w:sz w:val="20"/>
                <w:szCs w:val="20"/>
                <w:lang w:eastAsia="en-GB"/>
              </w:rPr>
              <w:t>Jul-20</w:t>
            </w:r>
          </w:p>
        </w:tc>
        <w:tc>
          <w:tcPr>
            <w:tcW w:w="8240" w:type="dxa"/>
            <w:shd w:val="clear" w:color="auto" w:fill="auto"/>
            <w:noWrap/>
            <w:vAlign w:val="center"/>
            <w:hideMark/>
          </w:tcPr>
          <w:p w14:paraId="4F0FC18E" w14:textId="77777777" w:rsidR="003D639D" w:rsidRPr="00D568C5" w:rsidRDefault="00F76EBD" w:rsidP="009E3076">
            <w:pPr>
              <w:jc w:val="both"/>
              <w:rPr>
                <w:rFonts w:eastAsiaTheme="minorEastAsia"/>
                <w:color w:val="000000"/>
                <w:sz w:val="20"/>
                <w:szCs w:val="20"/>
                <w:lang w:eastAsia="en-GB"/>
              </w:rPr>
            </w:pPr>
            <w:hyperlink r:id="rId81">
              <w:r w:rsidR="003D639D" w:rsidRPr="0C77C136">
                <w:rPr>
                  <w:rStyle w:val="Hyperlink"/>
                  <w:rFonts w:eastAsiaTheme="minorEastAsia"/>
                  <w:sz w:val="20"/>
                  <w:szCs w:val="20"/>
                  <w:lang w:eastAsia="en-GB"/>
                </w:rPr>
                <w:t>New prescriber endorsement ‘FS’ for free supply of sexual health treatment</w:t>
              </w:r>
            </w:hyperlink>
          </w:p>
        </w:tc>
      </w:tr>
      <w:tr w:rsidR="003D639D" w:rsidRPr="00D568C5" w14:paraId="2BEB8AC1" w14:textId="77777777" w:rsidTr="009E3076">
        <w:trPr>
          <w:trHeight w:val="315"/>
        </w:trPr>
        <w:tc>
          <w:tcPr>
            <w:tcW w:w="1180" w:type="dxa"/>
            <w:shd w:val="clear" w:color="auto" w:fill="auto"/>
            <w:noWrap/>
            <w:vAlign w:val="center"/>
            <w:hideMark/>
          </w:tcPr>
          <w:p w14:paraId="3CFC797C" w14:textId="77777777" w:rsidR="003D639D" w:rsidRPr="00D568C5" w:rsidRDefault="003D639D" w:rsidP="009E3076">
            <w:pPr>
              <w:jc w:val="both"/>
              <w:rPr>
                <w:rFonts w:eastAsiaTheme="minorEastAsia"/>
                <w:color w:val="000000"/>
                <w:sz w:val="20"/>
                <w:szCs w:val="20"/>
                <w:lang w:eastAsia="en-GB"/>
              </w:rPr>
            </w:pPr>
            <w:r w:rsidRPr="0C77C136">
              <w:rPr>
                <w:rFonts w:eastAsiaTheme="minorEastAsia"/>
                <w:color w:val="000000" w:themeColor="text1"/>
                <w:sz w:val="20"/>
                <w:szCs w:val="20"/>
                <w:lang w:eastAsia="en-GB"/>
              </w:rPr>
              <w:t>Jun-20</w:t>
            </w:r>
          </w:p>
        </w:tc>
        <w:tc>
          <w:tcPr>
            <w:tcW w:w="8240" w:type="dxa"/>
            <w:shd w:val="clear" w:color="auto" w:fill="auto"/>
            <w:noWrap/>
            <w:vAlign w:val="center"/>
            <w:hideMark/>
          </w:tcPr>
          <w:p w14:paraId="3CCD52BA" w14:textId="77777777" w:rsidR="003D639D" w:rsidRPr="00D568C5" w:rsidRDefault="00F76EBD" w:rsidP="009E3076">
            <w:pPr>
              <w:jc w:val="both"/>
              <w:rPr>
                <w:rFonts w:eastAsiaTheme="minorEastAsia"/>
                <w:color w:val="000000"/>
                <w:sz w:val="20"/>
                <w:szCs w:val="20"/>
                <w:lang w:eastAsia="en-GB"/>
              </w:rPr>
            </w:pPr>
            <w:hyperlink r:id="rId82">
              <w:r w:rsidR="003D639D" w:rsidRPr="0C77C136">
                <w:rPr>
                  <w:rStyle w:val="Hyperlink"/>
                  <w:rFonts w:eastAsiaTheme="minorEastAsia"/>
                  <w:sz w:val="20"/>
                  <w:szCs w:val="20"/>
                  <w:lang w:eastAsia="en-GB"/>
                </w:rPr>
                <w:t>All you need to know about: Special containers and products requiring reconstitution</w:t>
              </w:r>
            </w:hyperlink>
          </w:p>
        </w:tc>
      </w:tr>
      <w:tr w:rsidR="003D639D" w:rsidRPr="00D568C5" w14:paraId="2F328886" w14:textId="77777777" w:rsidTr="009E3076">
        <w:trPr>
          <w:trHeight w:val="315"/>
        </w:trPr>
        <w:tc>
          <w:tcPr>
            <w:tcW w:w="1180" w:type="dxa"/>
            <w:shd w:val="clear" w:color="auto" w:fill="auto"/>
            <w:noWrap/>
            <w:vAlign w:val="center"/>
            <w:hideMark/>
          </w:tcPr>
          <w:p w14:paraId="0636D825" w14:textId="77777777" w:rsidR="003D639D" w:rsidRPr="00D568C5" w:rsidRDefault="003D639D" w:rsidP="009E3076">
            <w:pPr>
              <w:jc w:val="both"/>
              <w:rPr>
                <w:rFonts w:eastAsiaTheme="minorEastAsia"/>
                <w:color w:val="000000"/>
                <w:sz w:val="20"/>
                <w:szCs w:val="20"/>
                <w:lang w:eastAsia="en-GB"/>
              </w:rPr>
            </w:pPr>
            <w:r w:rsidRPr="0C77C136">
              <w:rPr>
                <w:rFonts w:eastAsiaTheme="minorEastAsia"/>
                <w:color w:val="000000" w:themeColor="text1"/>
                <w:sz w:val="20"/>
                <w:szCs w:val="20"/>
                <w:lang w:eastAsia="en-GB"/>
              </w:rPr>
              <w:t>May-20</w:t>
            </w:r>
          </w:p>
        </w:tc>
        <w:tc>
          <w:tcPr>
            <w:tcW w:w="8240" w:type="dxa"/>
            <w:shd w:val="clear" w:color="auto" w:fill="auto"/>
            <w:noWrap/>
            <w:vAlign w:val="center"/>
            <w:hideMark/>
          </w:tcPr>
          <w:p w14:paraId="010EC89B" w14:textId="77777777" w:rsidR="003D639D" w:rsidRPr="00D568C5" w:rsidRDefault="00F76EBD" w:rsidP="009E3076">
            <w:pPr>
              <w:jc w:val="both"/>
              <w:rPr>
                <w:rFonts w:eastAsiaTheme="minorEastAsia"/>
                <w:color w:val="000000"/>
                <w:sz w:val="20"/>
                <w:szCs w:val="20"/>
                <w:lang w:eastAsia="en-GB"/>
              </w:rPr>
            </w:pPr>
            <w:hyperlink r:id="rId83">
              <w:r w:rsidR="003D639D" w:rsidRPr="0C77C136">
                <w:rPr>
                  <w:rStyle w:val="Hyperlink"/>
                  <w:rFonts w:eastAsiaTheme="minorEastAsia"/>
                  <w:sz w:val="20"/>
                  <w:szCs w:val="20"/>
                  <w:lang w:eastAsia="en-GB"/>
                </w:rPr>
                <w:t>C-19 related payments in June/July</w:t>
              </w:r>
            </w:hyperlink>
          </w:p>
        </w:tc>
      </w:tr>
      <w:tr w:rsidR="003D639D" w:rsidRPr="00D568C5" w14:paraId="61CFF8BF" w14:textId="77777777" w:rsidTr="009E3076">
        <w:trPr>
          <w:trHeight w:val="315"/>
        </w:trPr>
        <w:tc>
          <w:tcPr>
            <w:tcW w:w="1180" w:type="dxa"/>
            <w:shd w:val="clear" w:color="auto" w:fill="auto"/>
            <w:noWrap/>
            <w:vAlign w:val="center"/>
            <w:hideMark/>
          </w:tcPr>
          <w:p w14:paraId="40AC4895" w14:textId="77777777" w:rsidR="003D639D" w:rsidRPr="00D568C5" w:rsidRDefault="003D639D" w:rsidP="009E3076">
            <w:pPr>
              <w:jc w:val="both"/>
              <w:rPr>
                <w:rFonts w:eastAsiaTheme="minorEastAsia"/>
                <w:color w:val="000000"/>
                <w:sz w:val="20"/>
                <w:szCs w:val="20"/>
                <w:lang w:eastAsia="en-GB"/>
              </w:rPr>
            </w:pPr>
            <w:r w:rsidRPr="0C77C136">
              <w:rPr>
                <w:rFonts w:eastAsiaTheme="minorEastAsia"/>
                <w:color w:val="000000" w:themeColor="text1"/>
                <w:sz w:val="20"/>
                <w:szCs w:val="20"/>
                <w:lang w:eastAsia="en-GB"/>
              </w:rPr>
              <w:t>Apr-20</w:t>
            </w:r>
          </w:p>
        </w:tc>
        <w:tc>
          <w:tcPr>
            <w:tcW w:w="8240" w:type="dxa"/>
            <w:shd w:val="clear" w:color="auto" w:fill="auto"/>
            <w:noWrap/>
            <w:vAlign w:val="center"/>
            <w:hideMark/>
          </w:tcPr>
          <w:p w14:paraId="2C69618C" w14:textId="77777777" w:rsidR="003D639D" w:rsidRPr="00D568C5" w:rsidRDefault="00F76EBD" w:rsidP="009E3076">
            <w:pPr>
              <w:jc w:val="both"/>
              <w:rPr>
                <w:rFonts w:eastAsiaTheme="minorEastAsia"/>
                <w:color w:val="000000"/>
                <w:sz w:val="20"/>
                <w:szCs w:val="20"/>
                <w:lang w:eastAsia="en-GB"/>
              </w:rPr>
            </w:pPr>
            <w:hyperlink r:id="rId84">
              <w:r w:rsidR="003D639D" w:rsidRPr="0C77C136">
                <w:rPr>
                  <w:rStyle w:val="Hyperlink"/>
                  <w:rFonts w:eastAsiaTheme="minorEastAsia"/>
                  <w:sz w:val="20"/>
                  <w:szCs w:val="20"/>
                  <w:lang w:eastAsia="en-GB"/>
                </w:rPr>
                <w:t>C-19 related payments in April/May</w:t>
              </w:r>
            </w:hyperlink>
          </w:p>
        </w:tc>
      </w:tr>
      <w:tr w:rsidR="003D639D" w:rsidRPr="00D568C5" w14:paraId="7D561893" w14:textId="77777777" w:rsidTr="009E3076">
        <w:trPr>
          <w:trHeight w:val="315"/>
        </w:trPr>
        <w:tc>
          <w:tcPr>
            <w:tcW w:w="1180" w:type="dxa"/>
            <w:shd w:val="clear" w:color="auto" w:fill="auto"/>
            <w:noWrap/>
            <w:vAlign w:val="center"/>
            <w:hideMark/>
          </w:tcPr>
          <w:p w14:paraId="02869CC5" w14:textId="77777777" w:rsidR="003D639D" w:rsidRPr="00D568C5" w:rsidRDefault="003D639D" w:rsidP="009E3076">
            <w:pPr>
              <w:jc w:val="both"/>
              <w:rPr>
                <w:rFonts w:eastAsiaTheme="minorEastAsia"/>
                <w:color w:val="000000"/>
                <w:sz w:val="20"/>
                <w:szCs w:val="20"/>
                <w:lang w:eastAsia="en-GB"/>
              </w:rPr>
            </w:pPr>
            <w:r w:rsidRPr="0C77C136">
              <w:rPr>
                <w:rFonts w:eastAsiaTheme="minorEastAsia"/>
                <w:color w:val="000000" w:themeColor="text1"/>
                <w:sz w:val="20"/>
                <w:szCs w:val="20"/>
                <w:lang w:eastAsia="en-GB"/>
              </w:rPr>
              <w:t>Mar-20</w:t>
            </w:r>
          </w:p>
        </w:tc>
        <w:tc>
          <w:tcPr>
            <w:tcW w:w="8240" w:type="dxa"/>
            <w:shd w:val="clear" w:color="auto" w:fill="auto"/>
            <w:noWrap/>
            <w:vAlign w:val="center"/>
            <w:hideMark/>
          </w:tcPr>
          <w:p w14:paraId="0138DBD5" w14:textId="77777777" w:rsidR="003D639D" w:rsidRPr="00D568C5" w:rsidRDefault="00F76EBD" w:rsidP="009E3076">
            <w:pPr>
              <w:jc w:val="both"/>
              <w:rPr>
                <w:rFonts w:eastAsiaTheme="minorEastAsia"/>
                <w:color w:val="000000"/>
                <w:sz w:val="20"/>
                <w:szCs w:val="20"/>
                <w:lang w:eastAsia="en-GB"/>
              </w:rPr>
            </w:pPr>
            <w:hyperlink r:id="rId85">
              <w:r w:rsidR="003D639D" w:rsidRPr="0C77C136">
                <w:rPr>
                  <w:rStyle w:val="Hyperlink"/>
                  <w:rFonts w:eastAsiaTheme="minorEastAsia"/>
                  <w:sz w:val="20"/>
                  <w:szCs w:val="20"/>
                  <w:lang w:eastAsia="en-GB"/>
                </w:rPr>
                <w:t>Dispensing Factsheet: Prescription endorsements</w:t>
              </w:r>
            </w:hyperlink>
          </w:p>
        </w:tc>
      </w:tr>
      <w:tr w:rsidR="003D639D" w:rsidRPr="00D568C5" w14:paraId="395B7EFE" w14:textId="77777777" w:rsidTr="009E3076">
        <w:trPr>
          <w:trHeight w:val="315"/>
        </w:trPr>
        <w:tc>
          <w:tcPr>
            <w:tcW w:w="1180" w:type="dxa"/>
            <w:shd w:val="clear" w:color="auto" w:fill="auto"/>
            <w:noWrap/>
            <w:vAlign w:val="center"/>
            <w:hideMark/>
          </w:tcPr>
          <w:p w14:paraId="6AF9B7F4" w14:textId="77777777" w:rsidR="003D639D" w:rsidRPr="00D568C5" w:rsidRDefault="003D639D" w:rsidP="009E3076">
            <w:pPr>
              <w:jc w:val="both"/>
              <w:rPr>
                <w:rFonts w:eastAsiaTheme="minorEastAsia"/>
                <w:color w:val="000000"/>
                <w:sz w:val="20"/>
                <w:szCs w:val="20"/>
                <w:lang w:eastAsia="en-GB"/>
              </w:rPr>
            </w:pPr>
            <w:r w:rsidRPr="0C77C136">
              <w:rPr>
                <w:rFonts w:eastAsiaTheme="minorEastAsia"/>
                <w:color w:val="000000" w:themeColor="text1"/>
                <w:sz w:val="20"/>
                <w:szCs w:val="20"/>
                <w:lang w:eastAsia="en-GB"/>
              </w:rPr>
              <w:t>Feb-20</w:t>
            </w:r>
          </w:p>
        </w:tc>
        <w:tc>
          <w:tcPr>
            <w:tcW w:w="8240" w:type="dxa"/>
            <w:shd w:val="clear" w:color="auto" w:fill="auto"/>
            <w:noWrap/>
            <w:vAlign w:val="center"/>
            <w:hideMark/>
          </w:tcPr>
          <w:p w14:paraId="091302B5" w14:textId="77777777" w:rsidR="003D639D" w:rsidRPr="00D568C5" w:rsidRDefault="00F76EBD" w:rsidP="009E3076">
            <w:pPr>
              <w:jc w:val="both"/>
              <w:rPr>
                <w:rFonts w:eastAsiaTheme="minorEastAsia"/>
                <w:color w:val="000000"/>
                <w:sz w:val="20"/>
                <w:szCs w:val="20"/>
                <w:lang w:eastAsia="en-GB"/>
              </w:rPr>
            </w:pPr>
            <w:hyperlink r:id="rId86">
              <w:r w:rsidR="003D639D" w:rsidRPr="0C77C136">
                <w:rPr>
                  <w:rStyle w:val="Hyperlink"/>
                  <w:rFonts w:eastAsiaTheme="minorEastAsia"/>
                  <w:sz w:val="20"/>
                  <w:szCs w:val="20"/>
                  <w:lang w:eastAsia="en-GB"/>
                </w:rPr>
                <w:t>Dispensing and endorsing FP10MDA instalment forms correctly</w:t>
              </w:r>
            </w:hyperlink>
          </w:p>
        </w:tc>
      </w:tr>
      <w:tr w:rsidR="003D639D" w:rsidRPr="00D568C5" w14:paraId="344A8F3A" w14:textId="77777777" w:rsidTr="009E3076">
        <w:trPr>
          <w:trHeight w:val="315"/>
        </w:trPr>
        <w:tc>
          <w:tcPr>
            <w:tcW w:w="1180" w:type="dxa"/>
            <w:shd w:val="clear" w:color="auto" w:fill="auto"/>
            <w:noWrap/>
            <w:vAlign w:val="center"/>
            <w:hideMark/>
          </w:tcPr>
          <w:p w14:paraId="0623BAAE" w14:textId="77777777" w:rsidR="003D639D" w:rsidRPr="00D568C5" w:rsidRDefault="003D639D" w:rsidP="009E3076">
            <w:pPr>
              <w:jc w:val="both"/>
              <w:rPr>
                <w:rFonts w:eastAsiaTheme="minorEastAsia"/>
                <w:color w:val="000000"/>
                <w:sz w:val="20"/>
                <w:szCs w:val="20"/>
                <w:lang w:eastAsia="en-GB"/>
              </w:rPr>
            </w:pPr>
            <w:r w:rsidRPr="0C77C136">
              <w:rPr>
                <w:rFonts w:eastAsiaTheme="minorEastAsia"/>
                <w:color w:val="000000" w:themeColor="text1"/>
                <w:sz w:val="20"/>
                <w:szCs w:val="20"/>
                <w:lang w:eastAsia="en-GB"/>
              </w:rPr>
              <w:t>Jan-20</w:t>
            </w:r>
          </w:p>
        </w:tc>
        <w:tc>
          <w:tcPr>
            <w:tcW w:w="8240" w:type="dxa"/>
            <w:shd w:val="clear" w:color="auto" w:fill="auto"/>
            <w:noWrap/>
            <w:vAlign w:val="center"/>
            <w:hideMark/>
          </w:tcPr>
          <w:p w14:paraId="23BD67F9" w14:textId="77777777" w:rsidR="003D639D" w:rsidRPr="00D568C5" w:rsidRDefault="00F76EBD" w:rsidP="009E3076">
            <w:pPr>
              <w:jc w:val="both"/>
              <w:rPr>
                <w:rFonts w:eastAsiaTheme="minorEastAsia"/>
                <w:color w:val="000000"/>
                <w:sz w:val="20"/>
                <w:szCs w:val="20"/>
                <w:lang w:eastAsia="en-GB"/>
              </w:rPr>
            </w:pPr>
            <w:hyperlink r:id="rId87">
              <w:r w:rsidR="003D639D" w:rsidRPr="0C77C136">
                <w:rPr>
                  <w:rStyle w:val="Hyperlink"/>
                  <w:rFonts w:eastAsiaTheme="minorEastAsia"/>
                  <w:sz w:val="20"/>
                  <w:szCs w:val="20"/>
                  <w:lang w:eastAsia="en-GB"/>
                </w:rPr>
                <w:t>Changes to FP10 NHS Prescription forms and EPS Tokens</w:t>
              </w:r>
            </w:hyperlink>
          </w:p>
        </w:tc>
      </w:tr>
    </w:tbl>
    <w:p w14:paraId="2B6580C2" w14:textId="77777777" w:rsidR="003D639D" w:rsidRPr="00907E6A" w:rsidRDefault="003D639D" w:rsidP="003D639D">
      <w:pPr>
        <w:jc w:val="both"/>
        <w:rPr>
          <w:b/>
        </w:rPr>
      </w:pPr>
    </w:p>
    <w:p w14:paraId="47B6D367" w14:textId="70BE392F" w:rsidR="003D639D" w:rsidRDefault="003D639D">
      <w:pPr>
        <w:rPr>
          <w:rFonts w:ascii="Segoe UI" w:eastAsia="Times New Roman" w:hAnsi="Segoe UI" w:cs="Segoe UI"/>
          <w:sz w:val="18"/>
          <w:szCs w:val="18"/>
          <w:lang w:eastAsia="en-GB"/>
        </w:rPr>
      </w:pPr>
      <w:r>
        <w:rPr>
          <w:rFonts w:ascii="Segoe UI" w:hAnsi="Segoe UI" w:cs="Segoe UI"/>
          <w:sz w:val="18"/>
          <w:szCs w:val="18"/>
        </w:rPr>
        <w:br w:type="page"/>
      </w:r>
    </w:p>
    <w:p w14:paraId="251ADF65" w14:textId="23A40FC4" w:rsidR="003D639D" w:rsidRDefault="003D639D" w:rsidP="003D639D">
      <w:pPr>
        <w:pStyle w:val="BodyText"/>
        <w:spacing w:after="1"/>
        <w:jc w:val="right"/>
        <w:rPr>
          <w:rStyle w:val="normaltextrun"/>
          <w:rFonts w:eastAsia="Times New Roman"/>
          <w:color w:val="5B518E"/>
          <w:sz w:val="24"/>
          <w:szCs w:val="24"/>
          <w:shd w:val="clear" w:color="auto" w:fill="FFFFFF"/>
          <w:lang w:eastAsia="en-GB" w:bidi="ar-SA"/>
        </w:rPr>
      </w:pPr>
      <w:r w:rsidRPr="003D639D">
        <w:rPr>
          <w:rStyle w:val="normaltextrun"/>
          <w:rFonts w:eastAsia="Times New Roman"/>
          <w:color w:val="5B518E"/>
          <w:sz w:val="24"/>
          <w:szCs w:val="24"/>
          <w:shd w:val="clear" w:color="auto" w:fill="FFFFFF"/>
          <w:lang w:eastAsia="en-GB" w:bidi="ar-SA"/>
        </w:rPr>
        <w:lastRenderedPageBreak/>
        <w:t>Appendix FCS 08/09/21</w:t>
      </w:r>
    </w:p>
    <w:p w14:paraId="67FD969C" w14:textId="0687D8A9" w:rsidR="003D639D" w:rsidRDefault="003D639D" w:rsidP="003D639D">
      <w:pPr>
        <w:pStyle w:val="BodyText"/>
        <w:spacing w:after="1"/>
        <w:jc w:val="right"/>
        <w:rPr>
          <w:rStyle w:val="normaltextrun"/>
          <w:rFonts w:eastAsia="Times New Roman"/>
          <w:color w:val="5B518E"/>
          <w:sz w:val="24"/>
          <w:szCs w:val="24"/>
          <w:shd w:val="clear" w:color="auto" w:fill="FFFFFF"/>
          <w:lang w:eastAsia="en-GB" w:bidi="ar-SA"/>
        </w:rPr>
      </w:pPr>
    </w:p>
    <w:p w14:paraId="248F73C8" w14:textId="77777777" w:rsidR="003D639D" w:rsidRPr="003D639D" w:rsidRDefault="003D639D" w:rsidP="003D639D">
      <w:pPr>
        <w:pStyle w:val="BodyText"/>
        <w:spacing w:after="1"/>
        <w:jc w:val="right"/>
        <w:rPr>
          <w:rStyle w:val="normaltextrun"/>
          <w:rFonts w:eastAsia="Times New Roman"/>
          <w:color w:val="5B518E"/>
          <w:sz w:val="24"/>
          <w:szCs w:val="24"/>
          <w:shd w:val="clear" w:color="auto" w:fill="FFFFFF"/>
          <w:lang w:eastAsia="en-GB" w:bidi="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0"/>
      </w:tblGrid>
      <w:tr w:rsidR="003D639D" w:rsidRPr="00907E6A" w14:paraId="02B54257" w14:textId="77777777" w:rsidTr="009E3076">
        <w:trPr>
          <w:trHeight w:val="805"/>
          <w:jc w:val="center"/>
        </w:trPr>
        <w:tc>
          <w:tcPr>
            <w:tcW w:w="4508" w:type="dxa"/>
          </w:tcPr>
          <w:p w14:paraId="12F8E070" w14:textId="77777777" w:rsidR="003D639D" w:rsidRPr="00907E6A" w:rsidRDefault="003D639D" w:rsidP="009E3076">
            <w:pPr>
              <w:pStyle w:val="TableParagraph"/>
              <w:spacing w:before="11"/>
              <w:jc w:val="both"/>
              <w:rPr>
                <w:b/>
              </w:rPr>
            </w:pPr>
          </w:p>
          <w:p w14:paraId="70C6EBBF" w14:textId="77777777" w:rsidR="003D639D" w:rsidRPr="00907E6A" w:rsidRDefault="003D639D" w:rsidP="009E3076">
            <w:pPr>
              <w:pStyle w:val="TableParagraph"/>
              <w:ind w:left="107"/>
              <w:jc w:val="both"/>
            </w:pPr>
            <w:r w:rsidRPr="00907E6A">
              <w:t>Subject</w:t>
            </w:r>
          </w:p>
        </w:tc>
        <w:tc>
          <w:tcPr>
            <w:tcW w:w="4510" w:type="dxa"/>
          </w:tcPr>
          <w:p w14:paraId="1A4EEE08" w14:textId="77777777" w:rsidR="003D639D" w:rsidRPr="00907E6A" w:rsidRDefault="003D639D" w:rsidP="009E3076">
            <w:pPr>
              <w:pStyle w:val="TableParagraph"/>
              <w:spacing w:before="11"/>
              <w:jc w:val="both"/>
              <w:rPr>
                <w:b/>
              </w:rPr>
            </w:pPr>
          </w:p>
          <w:p w14:paraId="610E7542" w14:textId="77777777" w:rsidR="003D639D" w:rsidRPr="00907E6A" w:rsidRDefault="003D639D" w:rsidP="009E3076">
            <w:pPr>
              <w:pStyle w:val="TableParagraph"/>
              <w:ind w:left="107"/>
              <w:jc w:val="both"/>
            </w:pPr>
            <w:r w:rsidRPr="00907E6A">
              <w:t>Statistics</w:t>
            </w:r>
          </w:p>
        </w:tc>
      </w:tr>
      <w:tr w:rsidR="003D639D" w:rsidRPr="00907E6A" w14:paraId="33D7274B" w14:textId="77777777" w:rsidTr="009E3076">
        <w:trPr>
          <w:trHeight w:val="806"/>
          <w:jc w:val="center"/>
        </w:trPr>
        <w:tc>
          <w:tcPr>
            <w:tcW w:w="4508" w:type="dxa"/>
          </w:tcPr>
          <w:p w14:paraId="7EBEC384" w14:textId="77777777" w:rsidR="003D639D" w:rsidRPr="00907E6A" w:rsidRDefault="003D639D" w:rsidP="009E3076">
            <w:pPr>
              <w:pStyle w:val="TableParagraph"/>
              <w:spacing w:before="11"/>
              <w:jc w:val="both"/>
              <w:rPr>
                <w:b/>
              </w:rPr>
            </w:pPr>
          </w:p>
          <w:p w14:paraId="775F9CD5" w14:textId="77777777" w:rsidR="003D639D" w:rsidRPr="00907E6A" w:rsidRDefault="003D639D" w:rsidP="009E3076">
            <w:pPr>
              <w:pStyle w:val="TableParagraph"/>
              <w:ind w:left="107"/>
              <w:jc w:val="both"/>
            </w:pPr>
            <w:r w:rsidRPr="00907E6A">
              <w:t>Date of meeting</w:t>
            </w:r>
          </w:p>
        </w:tc>
        <w:tc>
          <w:tcPr>
            <w:tcW w:w="4510" w:type="dxa"/>
          </w:tcPr>
          <w:p w14:paraId="2A108E4B" w14:textId="77777777" w:rsidR="003D639D" w:rsidRPr="00907E6A" w:rsidRDefault="003D639D" w:rsidP="009E3076">
            <w:pPr>
              <w:pStyle w:val="TableParagraph"/>
              <w:spacing w:before="11"/>
              <w:jc w:val="both"/>
              <w:rPr>
                <w:b/>
              </w:rPr>
            </w:pPr>
          </w:p>
          <w:p w14:paraId="582F90E9" w14:textId="77777777" w:rsidR="003D639D" w:rsidRPr="00907E6A" w:rsidRDefault="003D639D" w:rsidP="009E3076">
            <w:pPr>
              <w:pStyle w:val="TableParagraph"/>
              <w:ind w:left="107"/>
              <w:jc w:val="both"/>
            </w:pPr>
            <w:r>
              <w:t>September 2021</w:t>
            </w:r>
          </w:p>
        </w:tc>
      </w:tr>
      <w:tr w:rsidR="003D639D" w:rsidRPr="00907E6A" w14:paraId="33109552" w14:textId="77777777" w:rsidTr="009E3076">
        <w:trPr>
          <w:trHeight w:val="805"/>
          <w:jc w:val="center"/>
        </w:trPr>
        <w:tc>
          <w:tcPr>
            <w:tcW w:w="4508" w:type="dxa"/>
          </w:tcPr>
          <w:p w14:paraId="600B2A42" w14:textId="77777777" w:rsidR="003D639D" w:rsidRPr="00907E6A" w:rsidRDefault="003D639D" w:rsidP="009E3076">
            <w:pPr>
              <w:pStyle w:val="TableParagraph"/>
              <w:spacing w:before="11"/>
              <w:jc w:val="both"/>
              <w:rPr>
                <w:b/>
              </w:rPr>
            </w:pPr>
          </w:p>
          <w:p w14:paraId="276100CB" w14:textId="77777777" w:rsidR="003D639D" w:rsidRPr="00907E6A" w:rsidRDefault="003D639D" w:rsidP="009E3076">
            <w:pPr>
              <w:pStyle w:val="TableParagraph"/>
              <w:ind w:left="107"/>
              <w:jc w:val="both"/>
            </w:pPr>
            <w:r w:rsidRPr="00907E6A">
              <w:t>Committee/Subcommittee</w:t>
            </w:r>
          </w:p>
        </w:tc>
        <w:tc>
          <w:tcPr>
            <w:tcW w:w="4510" w:type="dxa"/>
          </w:tcPr>
          <w:p w14:paraId="4F6824EA" w14:textId="77777777" w:rsidR="003D639D" w:rsidRPr="00907E6A" w:rsidRDefault="003D639D" w:rsidP="009E3076">
            <w:pPr>
              <w:pStyle w:val="TableParagraph"/>
              <w:spacing w:before="11"/>
              <w:jc w:val="both"/>
              <w:rPr>
                <w:b/>
              </w:rPr>
            </w:pPr>
          </w:p>
          <w:p w14:paraId="695D158C" w14:textId="77777777" w:rsidR="003D639D" w:rsidRPr="00907E6A" w:rsidRDefault="003D639D" w:rsidP="009E3076">
            <w:pPr>
              <w:pStyle w:val="TableParagraph"/>
              <w:ind w:left="107"/>
              <w:jc w:val="both"/>
            </w:pPr>
            <w:r w:rsidRPr="00907E6A">
              <w:t>FunCon</w:t>
            </w:r>
          </w:p>
        </w:tc>
      </w:tr>
      <w:tr w:rsidR="003D639D" w:rsidRPr="00907E6A" w14:paraId="0544AA3E" w14:textId="77777777" w:rsidTr="009E3076">
        <w:trPr>
          <w:trHeight w:val="806"/>
          <w:jc w:val="center"/>
        </w:trPr>
        <w:tc>
          <w:tcPr>
            <w:tcW w:w="4508" w:type="dxa"/>
          </w:tcPr>
          <w:p w14:paraId="1E3D2F20" w14:textId="77777777" w:rsidR="003D639D" w:rsidRPr="00907E6A" w:rsidRDefault="003D639D" w:rsidP="009E3076">
            <w:pPr>
              <w:pStyle w:val="TableParagraph"/>
              <w:spacing w:before="12"/>
              <w:jc w:val="both"/>
              <w:rPr>
                <w:b/>
              </w:rPr>
            </w:pPr>
          </w:p>
          <w:p w14:paraId="2C45AB47" w14:textId="77777777" w:rsidR="003D639D" w:rsidRPr="00907E6A" w:rsidRDefault="003D639D" w:rsidP="009E3076">
            <w:pPr>
              <w:pStyle w:val="TableParagraph"/>
              <w:ind w:left="107"/>
              <w:jc w:val="both"/>
            </w:pPr>
            <w:r w:rsidRPr="00907E6A">
              <w:t>Status</w:t>
            </w:r>
          </w:p>
        </w:tc>
        <w:tc>
          <w:tcPr>
            <w:tcW w:w="4510" w:type="dxa"/>
          </w:tcPr>
          <w:p w14:paraId="07C895AB" w14:textId="77777777" w:rsidR="003D639D" w:rsidRPr="00907E6A" w:rsidRDefault="003D639D" w:rsidP="009E3076">
            <w:pPr>
              <w:pStyle w:val="TableParagraph"/>
              <w:spacing w:before="12"/>
              <w:jc w:val="both"/>
              <w:rPr>
                <w:b/>
              </w:rPr>
            </w:pPr>
          </w:p>
          <w:p w14:paraId="3522708D" w14:textId="77777777" w:rsidR="003D639D" w:rsidRPr="00907E6A" w:rsidRDefault="003D639D" w:rsidP="009E3076">
            <w:pPr>
              <w:pStyle w:val="TableParagraph"/>
              <w:ind w:left="107"/>
              <w:jc w:val="both"/>
            </w:pPr>
            <w:r w:rsidRPr="00907E6A">
              <w:t>Not confidential</w:t>
            </w:r>
          </w:p>
        </w:tc>
      </w:tr>
      <w:tr w:rsidR="003D639D" w:rsidRPr="00907E6A" w14:paraId="640932D8" w14:textId="77777777" w:rsidTr="009E3076">
        <w:trPr>
          <w:trHeight w:val="805"/>
          <w:jc w:val="center"/>
        </w:trPr>
        <w:tc>
          <w:tcPr>
            <w:tcW w:w="4508" w:type="dxa"/>
          </w:tcPr>
          <w:p w14:paraId="3643B7E8" w14:textId="77777777" w:rsidR="003D639D" w:rsidRPr="00907E6A" w:rsidRDefault="003D639D" w:rsidP="009E3076">
            <w:pPr>
              <w:pStyle w:val="TableParagraph"/>
              <w:spacing w:before="11"/>
              <w:jc w:val="both"/>
              <w:rPr>
                <w:b/>
              </w:rPr>
            </w:pPr>
          </w:p>
          <w:p w14:paraId="5EF31FA3" w14:textId="77777777" w:rsidR="003D639D" w:rsidRPr="00907E6A" w:rsidRDefault="003D639D" w:rsidP="009E3076">
            <w:pPr>
              <w:pStyle w:val="TableParagraph"/>
              <w:ind w:left="107"/>
              <w:jc w:val="both"/>
            </w:pPr>
            <w:r w:rsidRPr="00907E6A">
              <w:t>Overview</w:t>
            </w:r>
          </w:p>
        </w:tc>
        <w:tc>
          <w:tcPr>
            <w:tcW w:w="4510" w:type="dxa"/>
          </w:tcPr>
          <w:p w14:paraId="3011A0AF" w14:textId="77777777" w:rsidR="003D639D" w:rsidRPr="00907E6A" w:rsidRDefault="003D639D" w:rsidP="009E3076">
            <w:pPr>
              <w:pStyle w:val="TableParagraph"/>
              <w:spacing w:before="11"/>
              <w:jc w:val="both"/>
              <w:rPr>
                <w:b/>
              </w:rPr>
            </w:pPr>
          </w:p>
          <w:p w14:paraId="2F4E25B4" w14:textId="77777777" w:rsidR="003D639D" w:rsidRPr="00907E6A" w:rsidRDefault="003D639D" w:rsidP="009E3076">
            <w:pPr>
              <w:pStyle w:val="TableParagraph"/>
              <w:ind w:left="107"/>
              <w:jc w:val="both"/>
            </w:pPr>
            <w:r w:rsidRPr="00907E6A">
              <w:t>Latest statistics for information</w:t>
            </w:r>
          </w:p>
        </w:tc>
      </w:tr>
      <w:tr w:rsidR="003D639D" w:rsidRPr="00907E6A" w14:paraId="0678D156" w14:textId="77777777" w:rsidTr="009E3076">
        <w:trPr>
          <w:trHeight w:val="806"/>
          <w:jc w:val="center"/>
        </w:trPr>
        <w:tc>
          <w:tcPr>
            <w:tcW w:w="4508" w:type="dxa"/>
          </w:tcPr>
          <w:p w14:paraId="4FF07B1C" w14:textId="77777777" w:rsidR="003D639D" w:rsidRPr="00907E6A" w:rsidRDefault="003D639D" w:rsidP="009E3076">
            <w:pPr>
              <w:pStyle w:val="TableParagraph"/>
              <w:spacing w:before="11"/>
              <w:jc w:val="both"/>
              <w:rPr>
                <w:b/>
              </w:rPr>
            </w:pPr>
          </w:p>
          <w:p w14:paraId="57AFB790" w14:textId="77777777" w:rsidR="003D639D" w:rsidRPr="00907E6A" w:rsidRDefault="003D639D" w:rsidP="009E3076">
            <w:pPr>
              <w:pStyle w:val="TableParagraph"/>
              <w:ind w:left="107"/>
              <w:jc w:val="both"/>
            </w:pPr>
            <w:r w:rsidRPr="00907E6A">
              <w:t>Proposed action(s)</w:t>
            </w:r>
          </w:p>
        </w:tc>
        <w:tc>
          <w:tcPr>
            <w:tcW w:w="4510" w:type="dxa"/>
          </w:tcPr>
          <w:p w14:paraId="0B21F9B7" w14:textId="77777777" w:rsidR="003D639D" w:rsidRPr="00907E6A" w:rsidRDefault="003D639D" w:rsidP="009E3076">
            <w:pPr>
              <w:pStyle w:val="TableParagraph"/>
              <w:spacing w:before="11"/>
              <w:jc w:val="both"/>
              <w:rPr>
                <w:b/>
              </w:rPr>
            </w:pPr>
          </w:p>
          <w:p w14:paraId="31759243" w14:textId="77777777" w:rsidR="003D639D" w:rsidRPr="00907E6A" w:rsidRDefault="003D639D" w:rsidP="009E3076">
            <w:pPr>
              <w:pStyle w:val="TableParagraph"/>
              <w:ind w:left="107"/>
              <w:jc w:val="both"/>
            </w:pPr>
            <w:r w:rsidRPr="00907E6A">
              <w:t>No action required</w:t>
            </w:r>
          </w:p>
        </w:tc>
      </w:tr>
      <w:tr w:rsidR="003D639D" w:rsidRPr="00907E6A" w14:paraId="59B67E8E" w14:textId="77777777" w:rsidTr="009E3076">
        <w:trPr>
          <w:trHeight w:val="806"/>
          <w:jc w:val="center"/>
        </w:trPr>
        <w:tc>
          <w:tcPr>
            <w:tcW w:w="4508" w:type="dxa"/>
          </w:tcPr>
          <w:p w14:paraId="64037E2C" w14:textId="77777777" w:rsidR="003D639D" w:rsidRPr="00907E6A" w:rsidRDefault="003D639D" w:rsidP="009E3076">
            <w:pPr>
              <w:pStyle w:val="TableParagraph"/>
              <w:spacing w:before="11"/>
              <w:jc w:val="both"/>
              <w:rPr>
                <w:b/>
              </w:rPr>
            </w:pPr>
          </w:p>
          <w:p w14:paraId="750C4515" w14:textId="77777777" w:rsidR="003D639D" w:rsidRPr="00907E6A" w:rsidRDefault="003D639D" w:rsidP="009E3076">
            <w:pPr>
              <w:pStyle w:val="TableParagraph"/>
              <w:ind w:left="107"/>
              <w:jc w:val="both"/>
            </w:pPr>
            <w:r w:rsidRPr="00907E6A">
              <w:t>Author(s) of the paper</w:t>
            </w:r>
          </w:p>
        </w:tc>
        <w:tc>
          <w:tcPr>
            <w:tcW w:w="4510" w:type="dxa"/>
          </w:tcPr>
          <w:p w14:paraId="72C3346E" w14:textId="77777777" w:rsidR="003D639D" w:rsidRPr="00907E6A" w:rsidRDefault="003D639D" w:rsidP="009E3076">
            <w:pPr>
              <w:pStyle w:val="TableParagraph"/>
              <w:spacing w:before="11"/>
              <w:jc w:val="both"/>
              <w:rPr>
                <w:b/>
              </w:rPr>
            </w:pPr>
          </w:p>
          <w:p w14:paraId="45BF5F44" w14:textId="77777777" w:rsidR="003D639D" w:rsidRPr="00907E6A" w:rsidRDefault="003D639D" w:rsidP="009E3076">
            <w:pPr>
              <w:pStyle w:val="TableParagraph"/>
              <w:ind w:left="107"/>
              <w:jc w:val="both"/>
            </w:pPr>
            <w:r w:rsidRPr="00907E6A">
              <w:t>PSNC Pharmacy Funding Team</w:t>
            </w:r>
          </w:p>
        </w:tc>
      </w:tr>
    </w:tbl>
    <w:p w14:paraId="4921F908" w14:textId="77777777" w:rsidR="003D639D" w:rsidRDefault="003D639D" w:rsidP="003D639D"/>
    <w:p w14:paraId="375B93E1" w14:textId="77777777" w:rsidR="003D639D" w:rsidRDefault="003D639D" w:rsidP="003D639D"/>
    <w:p w14:paraId="4F44EEC3" w14:textId="77777777" w:rsidR="003D639D" w:rsidRDefault="003D639D" w:rsidP="003D639D"/>
    <w:p w14:paraId="22888862" w14:textId="77777777" w:rsidR="003D639D" w:rsidRDefault="003D639D" w:rsidP="003D639D"/>
    <w:p w14:paraId="6AE4CD66" w14:textId="77777777" w:rsidR="003D639D" w:rsidRDefault="003D639D" w:rsidP="003D639D"/>
    <w:p w14:paraId="66A8ABED" w14:textId="77777777" w:rsidR="003D639D" w:rsidRDefault="003D639D" w:rsidP="003D639D"/>
    <w:p w14:paraId="6FD89643" w14:textId="77777777" w:rsidR="003D639D" w:rsidRDefault="003D639D" w:rsidP="003D639D"/>
    <w:p w14:paraId="63096925" w14:textId="77777777" w:rsidR="003D639D" w:rsidRDefault="003D639D" w:rsidP="003D639D"/>
    <w:p w14:paraId="7B13A45A" w14:textId="77777777" w:rsidR="003D639D" w:rsidRDefault="003D639D" w:rsidP="003D639D"/>
    <w:p w14:paraId="3B9510D3" w14:textId="77777777" w:rsidR="003D639D" w:rsidRDefault="003D639D" w:rsidP="003D639D"/>
    <w:p w14:paraId="60B33981" w14:textId="77777777" w:rsidR="003D639D" w:rsidRDefault="003D639D" w:rsidP="003D639D"/>
    <w:p w14:paraId="56B1F54F" w14:textId="77777777" w:rsidR="003D639D" w:rsidRDefault="003D639D" w:rsidP="003D639D"/>
    <w:p w14:paraId="041CC3AD" w14:textId="77777777" w:rsidR="003D639D" w:rsidRDefault="003D639D" w:rsidP="003D639D"/>
    <w:p w14:paraId="5E8B6D82" w14:textId="77777777" w:rsidR="003D639D" w:rsidRDefault="003D639D" w:rsidP="003D639D"/>
    <w:p w14:paraId="25F4EDC5" w14:textId="77777777" w:rsidR="003D639D" w:rsidRDefault="003D639D" w:rsidP="003D639D"/>
    <w:p w14:paraId="4052545D" w14:textId="77777777" w:rsidR="003D639D" w:rsidRDefault="003D639D" w:rsidP="003D639D"/>
    <w:p w14:paraId="64C4E91F" w14:textId="677F17E7" w:rsidR="003D639D" w:rsidRPr="006C0DB9" w:rsidRDefault="003D639D" w:rsidP="0070525D">
      <w:pPr>
        <w:rPr>
          <w:b/>
          <w:bCs/>
          <w:color w:val="5B518E"/>
          <w:sz w:val="28"/>
          <w:szCs w:val="28"/>
        </w:rPr>
      </w:pPr>
      <w:r>
        <w:rPr>
          <w:b/>
          <w:bCs/>
          <w:color w:val="5B518E"/>
          <w:sz w:val="28"/>
          <w:szCs w:val="28"/>
        </w:rPr>
        <w:br w:type="page"/>
      </w:r>
      <w:r>
        <w:rPr>
          <w:b/>
          <w:bCs/>
          <w:noProof/>
          <w:color w:val="5B518E"/>
          <w:sz w:val="28"/>
          <w:szCs w:val="28"/>
        </w:rPr>
        <w:lastRenderedPageBreak/>
        <mc:AlternateContent>
          <mc:Choice Requires="wps">
            <w:drawing>
              <wp:anchor distT="0" distB="0" distL="114300" distR="114300" simplePos="0" relativeHeight="251659264" behindDoc="0" locked="0" layoutInCell="1" allowOverlap="1" wp14:anchorId="5A59B8AB" wp14:editId="3F0E539C">
                <wp:simplePos x="0" y="0"/>
                <wp:positionH relativeFrom="column">
                  <wp:posOffset>4314825</wp:posOffset>
                </wp:positionH>
                <wp:positionV relativeFrom="paragraph">
                  <wp:posOffset>295275</wp:posOffset>
                </wp:positionV>
                <wp:extent cx="1666875" cy="2772000"/>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666875" cy="2772000"/>
                        </a:xfrm>
                        <a:prstGeom prst="rect">
                          <a:avLst/>
                        </a:prstGeom>
                        <a:solidFill>
                          <a:schemeClr val="lt1"/>
                        </a:solidFill>
                        <a:ln w="6350">
                          <a:solidFill>
                            <a:prstClr val="black"/>
                          </a:solidFill>
                        </a:ln>
                      </wps:spPr>
                      <wps:txbx>
                        <w:txbxContent>
                          <w:p w14:paraId="119C08C4" w14:textId="77777777" w:rsidR="003D639D" w:rsidRDefault="003D639D" w:rsidP="003D639D"/>
                          <w:p w14:paraId="2A08FF7A" w14:textId="77777777" w:rsidR="003D639D" w:rsidRDefault="003D639D" w:rsidP="003D639D">
                            <w:r>
                              <w:t xml:space="preserve">The latest rolling 12 month item volume as per </w:t>
                            </w:r>
                            <w:r>
                              <w:rPr>
                                <w:b/>
                                <w:bCs/>
                                <w:sz w:val="32"/>
                                <w:szCs w:val="32"/>
                              </w:rPr>
                              <w:t>May</w:t>
                            </w:r>
                            <w:r w:rsidRPr="00BF4190">
                              <w:rPr>
                                <w:b/>
                                <w:bCs/>
                                <w:sz w:val="32"/>
                                <w:szCs w:val="32"/>
                              </w:rPr>
                              <w:t>-21</w:t>
                            </w:r>
                            <w:r>
                              <w:t xml:space="preserve"> is </w:t>
                            </w:r>
                            <w:r w:rsidRPr="00BF4190">
                              <w:rPr>
                                <w:b/>
                                <w:bCs/>
                                <w:sz w:val="32"/>
                                <w:szCs w:val="32"/>
                              </w:rPr>
                              <w:t>1,0</w:t>
                            </w:r>
                            <w:r>
                              <w:rPr>
                                <w:b/>
                                <w:bCs/>
                                <w:sz w:val="32"/>
                                <w:szCs w:val="32"/>
                              </w:rPr>
                              <w:t>27.7</w:t>
                            </w:r>
                            <w:r w:rsidRPr="00BF4190">
                              <w:rPr>
                                <w:b/>
                                <w:bCs/>
                                <w:sz w:val="32"/>
                                <w:szCs w:val="32"/>
                              </w:rPr>
                              <w:t>m</w:t>
                            </w:r>
                            <w:r w:rsidRPr="00BF4190">
                              <w:rPr>
                                <w:sz w:val="32"/>
                                <w:szCs w:val="32"/>
                              </w:rPr>
                              <w:t xml:space="preserve"> </w:t>
                            </w:r>
                            <w:r>
                              <w:t>items.</w:t>
                            </w:r>
                          </w:p>
                          <w:p w14:paraId="363DAE9B" w14:textId="77777777" w:rsidR="003D639D" w:rsidRDefault="003D639D" w:rsidP="003D639D">
                            <w:r>
                              <w:t xml:space="preserve">In the last 24 months the peak was </w:t>
                            </w:r>
                            <w:r w:rsidRPr="001436A1">
                              <w:rPr>
                                <w:b/>
                                <w:bCs/>
                                <w:sz w:val="32"/>
                                <w:szCs w:val="32"/>
                              </w:rPr>
                              <w:t>1,055.7m</w:t>
                            </w:r>
                            <w:r w:rsidRPr="001436A1">
                              <w:rPr>
                                <w:sz w:val="32"/>
                                <w:szCs w:val="32"/>
                              </w:rPr>
                              <w:t xml:space="preserve"> </w:t>
                            </w:r>
                            <w:r>
                              <w:t xml:space="preserve">items in </w:t>
                            </w:r>
                            <w:r w:rsidRPr="001436A1">
                              <w:rPr>
                                <w:b/>
                                <w:bCs/>
                                <w:sz w:val="32"/>
                                <w:szCs w:val="32"/>
                              </w:rPr>
                              <w:t>Apr-20</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9B8AB" id="_x0000_t202" coordsize="21600,21600" o:spt="202" path="m,l,21600r21600,l21600,xe">
                <v:stroke joinstyle="miter"/>
                <v:path gradientshapeok="t" o:connecttype="rect"/>
              </v:shapetype>
              <v:shape id="Text Box 5" o:spid="_x0000_s1026" type="#_x0000_t202" style="position:absolute;left:0;text-align:left;margin-left:339.75pt;margin-top:23.25pt;width:131.25pt;height:2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" fillcolor="white [3201]" strokeweight=".5pt">
                <v:textbox>
                  <w:txbxContent>
                    <w:p w14:paraId="119C08C4" w14:textId="77777777" w:rsidR="003D639D" w:rsidRDefault="003D639D" w:rsidP="003D639D"/>
                    <w:p w14:paraId="2A08FF7A" w14:textId="77777777" w:rsidR="003D639D" w:rsidRDefault="003D639D" w:rsidP="003D639D">
                      <w:r>
                        <w:t xml:space="preserve">The latest rolling </w:t>
                      </w:r>
                      <w:proofErr w:type="gramStart"/>
                      <w:r>
                        <w:t>12 month</w:t>
                      </w:r>
                      <w:proofErr w:type="gramEnd"/>
                      <w:r>
                        <w:t xml:space="preserve"> item volume as per </w:t>
                      </w:r>
                      <w:r>
                        <w:rPr>
                          <w:b/>
                          <w:bCs/>
                          <w:sz w:val="32"/>
                          <w:szCs w:val="32"/>
                        </w:rPr>
                        <w:t>May</w:t>
                      </w:r>
                      <w:r w:rsidRPr="00BF4190">
                        <w:rPr>
                          <w:b/>
                          <w:bCs/>
                          <w:sz w:val="32"/>
                          <w:szCs w:val="32"/>
                        </w:rPr>
                        <w:t>-21</w:t>
                      </w:r>
                      <w:r>
                        <w:t xml:space="preserve"> is </w:t>
                      </w:r>
                      <w:r w:rsidRPr="00BF4190">
                        <w:rPr>
                          <w:b/>
                          <w:bCs/>
                          <w:sz w:val="32"/>
                          <w:szCs w:val="32"/>
                        </w:rPr>
                        <w:t>1,0</w:t>
                      </w:r>
                      <w:r>
                        <w:rPr>
                          <w:b/>
                          <w:bCs/>
                          <w:sz w:val="32"/>
                          <w:szCs w:val="32"/>
                        </w:rPr>
                        <w:t>27.7</w:t>
                      </w:r>
                      <w:r w:rsidRPr="00BF4190">
                        <w:rPr>
                          <w:b/>
                          <w:bCs/>
                          <w:sz w:val="32"/>
                          <w:szCs w:val="32"/>
                        </w:rPr>
                        <w:t>m</w:t>
                      </w:r>
                      <w:r w:rsidRPr="00BF4190">
                        <w:rPr>
                          <w:sz w:val="32"/>
                          <w:szCs w:val="32"/>
                        </w:rPr>
                        <w:t xml:space="preserve"> </w:t>
                      </w:r>
                      <w:r>
                        <w:t>items.</w:t>
                      </w:r>
                    </w:p>
                    <w:p w14:paraId="363DAE9B" w14:textId="77777777" w:rsidR="003D639D" w:rsidRDefault="003D639D" w:rsidP="003D639D">
                      <w:r>
                        <w:t xml:space="preserve">In the last 24 months the peak was </w:t>
                      </w:r>
                      <w:r w:rsidRPr="001436A1">
                        <w:rPr>
                          <w:b/>
                          <w:bCs/>
                          <w:sz w:val="32"/>
                          <w:szCs w:val="32"/>
                        </w:rPr>
                        <w:t>1,055.7m</w:t>
                      </w:r>
                      <w:r w:rsidRPr="001436A1">
                        <w:rPr>
                          <w:sz w:val="32"/>
                          <w:szCs w:val="32"/>
                        </w:rPr>
                        <w:t xml:space="preserve"> </w:t>
                      </w:r>
                      <w:r>
                        <w:t xml:space="preserve">items in </w:t>
                      </w:r>
                      <w:r w:rsidRPr="001436A1">
                        <w:rPr>
                          <w:b/>
                          <w:bCs/>
                          <w:sz w:val="32"/>
                          <w:szCs w:val="32"/>
                        </w:rPr>
                        <w:t>Apr-20</w:t>
                      </w:r>
                      <w:r>
                        <w:t>.</w:t>
                      </w:r>
                    </w:p>
                  </w:txbxContent>
                </v:textbox>
              </v:shape>
            </w:pict>
          </mc:Fallback>
        </mc:AlternateContent>
      </w:r>
      <w:r w:rsidRPr="006C0DB9">
        <w:rPr>
          <w:b/>
          <w:bCs/>
          <w:color w:val="5B518E"/>
          <w:sz w:val="28"/>
          <w:szCs w:val="28"/>
        </w:rPr>
        <w:t>Statistics</w:t>
      </w:r>
    </w:p>
    <w:p w14:paraId="71302419" w14:textId="77777777" w:rsidR="003D639D" w:rsidRDefault="003D639D" w:rsidP="003D639D">
      <w:pPr>
        <w:spacing w:before="15"/>
        <w:ind w:left="-567" w:right="-22"/>
        <w:rPr>
          <w:b/>
          <w:bCs/>
          <w:color w:val="5B518E"/>
          <w:sz w:val="28"/>
          <w:szCs w:val="28"/>
        </w:rPr>
      </w:pPr>
      <w:r>
        <w:rPr>
          <w:b/>
          <w:bCs/>
          <w:noProof/>
          <w:color w:val="5B518E"/>
          <w:sz w:val="28"/>
          <w:szCs w:val="28"/>
        </w:rPr>
        <mc:AlternateContent>
          <mc:Choice Requires="wps">
            <w:drawing>
              <wp:anchor distT="0" distB="0" distL="114300" distR="114300" simplePos="0" relativeHeight="251660288" behindDoc="0" locked="0" layoutInCell="1" allowOverlap="1" wp14:anchorId="23AA5932" wp14:editId="592C9E9E">
                <wp:simplePos x="0" y="0"/>
                <wp:positionH relativeFrom="column">
                  <wp:posOffset>-314325</wp:posOffset>
                </wp:positionH>
                <wp:positionV relativeFrom="paragraph">
                  <wp:posOffset>2889885</wp:posOffset>
                </wp:positionV>
                <wp:extent cx="1666875" cy="2772000"/>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666875" cy="2772000"/>
                        </a:xfrm>
                        <a:prstGeom prst="rect">
                          <a:avLst/>
                        </a:prstGeom>
                        <a:solidFill>
                          <a:schemeClr val="lt1"/>
                        </a:solidFill>
                        <a:ln w="6350">
                          <a:solidFill>
                            <a:prstClr val="black"/>
                          </a:solidFill>
                        </a:ln>
                      </wps:spPr>
                      <wps:txbx>
                        <w:txbxContent>
                          <w:p w14:paraId="44B01DFA" w14:textId="77777777" w:rsidR="003D639D" w:rsidRDefault="003D639D" w:rsidP="003D639D"/>
                          <w:p w14:paraId="337AD05F" w14:textId="77777777" w:rsidR="003D639D" w:rsidRDefault="003D639D" w:rsidP="003D639D"/>
                          <w:p w14:paraId="09988A1B" w14:textId="77777777" w:rsidR="003D639D" w:rsidRDefault="003D639D" w:rsidP="003D639D">
                            <w:r>
                              <w:t xml:space="preserve">The </w:t>
                            </w:r>
                            <w:r>
                              <w:rPr>
                                <w:b/>
                                <w:bCs/>
                                <w:sz w:val="32"/>
                                <w:szCs w:val="32"/>
                              </w:rPr>
                              <w:t>Jul</w:t>
                            </w:r>
                            <w:r w:rsidRPr="001436A1">
                              <w:rPr>
                                <w:b/>
                                <w:bCs/>
                                <w:sz w:val="32"/>
                                <w:szCs w:val="32"/>
                              </w:rPr>
                              <w:t>-21</w:t>
                            </w:r>
                            <w:r w:rsidRPr="001436A1">
                              <w:rPr>
                                <w:sz w:val="32"/>
                                <w:szCs w:val="32"/>
                              </w:rPr>
                              <w:t xml:space="preserve"> </w:t>
                            </w:r>
                            <w:r>
                              <w:t xml:space="preserve">Cat-M list will have an estimated impact of </w:t>
                            </w:r>
                            <w:r w:rsidRPr="004477C4">
                              <w:rPr>
                                <w:b/>
                                <w:bCs/>
                                <w:sz w:val="32"/>
                                <w:szCs w:val="32"/>
                              </w:rPr>
                              <w:t>-</w:t>
                            </w:r>
                            <w:r>
                              <w:rPr>
                                <w:b/>
                                <w:bCs/>
                                <w:sz w:val="32"/>
                                <w:szCs w:val="32"/>
                              </w:rPr>
                              <w:t>23</w:t>
                            </w:r>
                            <w:r w:rsidRPr="004477C4">
                              <w:rPr>
                                <w:b/>
                                <w:bCs/>
                                <w:sz w:val="32"/>
                                <w:szCs w:val="32"/>
                              </w:rPr>
                              <w:t xml:space="preserve"> pence per item</w:t>
                            </w:r>
                            <w:r>
                              <w:t xml:space="preserve"> on like-for-like reimbursement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A5932" id="Text Box 7" o:spid="_x0000_s1027" type="#_x0000_t202" style="position:absolute;left:0;text-align:left;margin-left:-24.75pt;margin-top:227.55pt;width:131.25pt;height:2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" fillcolor="white [3201]" strokeweight=".5pt">
                <v:textbox>
                  <w:txbxContent>
                    <w:p w14:paraId="44B01DFA" w14:textId="77777777" w:rsidR="003D639D" w:rsidRDefault="003D639D" w:rsidP="003D639D"/>
                    <w:p w14:paraId="337AD05F" w14:textId="77777777" w:rsidR="003D639D" w:rsidRDefault="003D639D" w:rsidP="003D639D"/>
                    <w:p w14:paraId="09988A1B" w14:textId="77777777" w:rsidR="003D639D" w:rsidRDefault="003D639D" w:rsidP="003D639D">
                      <w:r>
                        <w:t xml:space="preserve">The </w:t>
                      </w:r>
                      <w:r>
                        <w:rPr>
                          <w:b/>
                          <w:bCs/>
                          <w:sz w:val="32"/>
                          <w:szCs w:val="32"/>
                        </w:rPr>
                        <w:t>Jul</w:t>
                      </w:r>
                      <w:r w:rsidRPr="001436A1">
                        <w:rPr>
                          <w:b/>
                          <w:bCs/>
                          <w:sz w:val="32"/>
                          <w:szCs w:val="32"/>
                        </w:rPr>
                        <w:t>-21</w:t>
                      </w:r>
                      <w:r w:rsidRPr="001436A1">
                        <w:rPr>
                          <w:sz w:val="32"/>
                          <w:szCs w:val="32"/>
                        </w:rPr>
                        <w:t xml:space="preserve"> </w:t>
                      </w:r>
                      <w:r>
                        <w:t xml:space="preserve">Cat-M list will have an estimated impact of </w:t>
                      </w:r>
                      <w:r w:rsidRPr="004477C4">
                        <w:rPr>
                          <w:b/>
                          <w:bCs/>
                          <w:sz w:val="32"/>
                          <w:szCs w:val="32"/>
                        </w:rPr>
                        <w:t>-</w:t>
                      </w:r>
                      <w:r>
                        <w:rPr>
                          <w:b/>
                          <w:bCs/>
                          <w:sz w:val="32"/>
                          <w:szCs w:val="32"/>
                        </w:rPr>
                        <w:t>23</w:t>
                      </w:r>
                      <w:r w:rsidRPr="004477C4">
                        <w:rPr>
                          <w:b/>
                          <w:bCs/>
                          <w:sz w:val="32"/>
                          <w:szCs w:val="32"/>
                        </w:rPr>
                        <w:t xml:space="preserve"> pence per item</w:t>
                      </w:r>
                      <w:r>
                        <w:t xml:space="preserve"> on like-for-like reimbursement</w:t>
                      </w:r>
                    </w:p>
                  </w:txbxContent>
                </v:textbox>
              </v:shape>
            </w:pict>
          </mc:Fallback>
        </mc:AlternateContent>
      </w:r>
      <w:r>
        <w:rPr>
          <w:b/>
          <w:bCs/>
          <w:noProof/>
          <w:color w:val="5B518E"/>
          <w:sz w:val="28"/>
          <w:szCs w:val="28"/>
        </w:rPr>
        <w:drawing>
          <wp:inline distT="0" distB="0" distL="0" distR="0" wp14:anchorId="1FCDE9DE" wp14:editId="3991B4A7">
            <wp:extent cx="4495800" cy="2777916"/>
            <wp:effectExtent l="0" t="0" r="0" b="381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507611" cy="2785214"/>
                    </a:xfrm>
                    <a:prstGeom prst="rect">
                      <a:avLst/>
                    </a:prstGeom>
                    <a:noFill/>
                  </pic:spPr>
                </pic:pic>
              </a:graphicData>
            </a:graphic>
          </wp:inline>
        </w:drawing>
      </w:r>
    </w:p>
    <w:p w14:paraId="5EE5CB1E" w14:textId="77777777" w:rsidR="003D639D" w:rsidRDefault="003D639D" w:rsidP="003D639D">
      <w:pPr>
        <w:spacing w:before="15"/>
        <w:ind w:right="-472"/>
        <w:jc w:val="right"/>
        <w:rPr>
          <w:b/>
          <w:bCs/>
          <w:color w:val="5B518E"/>
          <w:sz w:val="28"/>
          <w:szCs w:val="28"/>
        </w:rPr>
      </w:pPr>
      <w:r>
        <w:rPr>
          <w:b/>
          <w:bCs/>
          <w:noProof/>
          <w:color w:val="5B518E"/>
          <w:sz w:val="28"/>
          <w:szCs w:val="28"/>
        </w:rPr>
        <mc:AlternateContent>
          <mc:Choice Requires="wps">
            <w:drawing>
              <wp:anchor distT="0" distB="0" distL="114300" distR="114300" simplePos="0" relativeHeight="251662336" behindDoc="0" locked="0" layoutInCell="1" allowOverlap="1" wp14:anchorId="25CC3DB1" wp14:editId="27676CAB">
                <wp:simplePos x="0" y="0"/>
                <wp:positionH relativeFrom="column">
                  <wp:posOffset>4416425</wp:posOffset>
                </wp:positionH>
                <wp:positionV relativeFrom="paragraph">
                  <wp:posOffset>2814320</wp:posOffset>
                </wp:positionV>
                <wp:extent cx="1666875" cy="2772000"/>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666875" cy="2772000"/>
                        </a:xfrm>
                        <a:prstGeom prst="rect">
                          <a:avLst/>
                        </a:prstGeom>
                        <a:solidFill>
                          <a:schemeClr val="lt1"/>
                        </a:solidFill>
                        <a:ln w="6350">
                          <a:solidFill>
                            <a:prstClr val="black"/>
                          </a:solidFill>
                        </a:ln>
                      </wps:spPr>
                      <wps:txbx>
                        <w:txbxContent>
                          <w:p w14:paraId="0AF3AAC3" w14:textId="77777777" w:rsidR="003D639D" w:rsidRDefault="003D639D" w:rsidP="003D639D"/>
                          <w:p w14:paraId="40EAAEEA" w14:textId="77777777" w:rsidR="003D639D" w:rsidRDefault="003D639D" w:rsidP="003D639D"/>
                          <w:p w14:paraId="06452A11" w14:textId="77777777" w:rsidR="003D639D" w:rsidRDefault="003D639D" w:rsidP="003D639D">
                            <w:r>
                              <w:t xml:space="preserve">The cumulative total of like-for-like changes since 2019 is currently </w:t>
                            </w:r>
                            <w:r>
                              <w:rPr>
                                <w:b/>
                                <w:bCs/>
                                <w:sz w:val="32"/>
                                <w:szCs w:val="32"/>
                              </w:rPr>
                              <w:t>+27</w:t>
                            </w:r>
                            <w:r w:rsidRPr="004477C4">
                              <w:rPr>
                                <w:b/>
                                <w:bCs/>
                                <w:sz w:val="32"/>
                                <w:szCs w:val="32"/>
                              </w:rPr>
                              <w:t xml:space="preserve"> pence per item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C3DB1" id="Text Box 4" o:spid="_x0000_s1028" type="#_x0000_t202" style="position:absolute;left:0;text-align:left;margin-left:347.75pt;margin-top:221.6pt;width:131.25pt;height:2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" fillcolor="white [3201]" strokeweight=".5pt">
                <v:textbox>
                  <w:txbxContent>
                    <w:p w14:paraId="0AF3AAC3" w14:textId="77777777" w:rsidR="003D639D" w:rsidRDefault="003D639D" w:rsidP="003D639D"/>
                    <w:p w14:paraId="40EAAEEA" w14:textId="77777777" w:rsidR="003D639D" w:rsidRDefault="003D639D" w:rsidP="003D639D"/>
                    <w:p w14:paraId="06452A11" w14:textId="77777777" w:rsidR="003D639D" w:rsidRDefault="003D639D" w:rsidP="003D639D">
                      <w:r>
                        <w:t xml:space="preserve">The cumulative total of like-for-like changes since 2019 is currently </w:t>
                      </w:r>
                      <w:r>
                        <w:rPr>
                          <w:b/>
                          <w:bCs/>
                          <w:sz w:val="32"/>
                          <w:szCs w:val="32"/>
                        </w:rPr>
                        <w:t>+27</w:t>
                      </w:r>
                      <w:r w:rsidRPr="004477C4">
                        <w:rPr>
                          <w:b/>
                          <w:bCs/>
                          <w:sz w:val="32"/>
                          <w:szCs w:val="32"/>
                        </w:rPr>
                        <w:t xml:space="preserve"> pence per item</w:t>
                      </w:r>
                    </w:p>
                  </w:txbxContent>
                </v:textbox>
              </v:shape>
            </w:pict>
          </mc:Fallback>
        </mc:AlternateContent>
      </w:r>
      <w:r>
        <w:rPr>
          <w:b/>
          <w:bCs/>
          <w:noProof/>
          <w:color w:val="5B518E"/>
          <w:sz w:val="28"/>
          <w:szCs w:val="28"/>
        </w:rPr>
        <w:drawing>
          <wp:inline distT="0" distB="0" distL="0" distR="0" wp14:anchorId="45C0ACE5" wp14:editId="0BB59FB1">
            <wp:extent cx="4566647" cy="2743200"/>
            <wp:effectExtent l="0" t="0" r="5715" b="0"/>
            <wp:docPr id="8" name="Picture 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line chart&#10;&#10;Description automatically generated"/>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578210" cy="2750146"/>
                    </a:xfrm>
                    <a:prstGeom prst="rect">
                      <a:avLst/>
                    </a:prstGeom>
                    <a:noFill/>
                  </pic:spPr>
                </pic:pic>
              </a:graphicData>
            </a:graphic>
          </wp:inline>
        </w:drawing>
      </w:r>
    </w:p>
    <w:p w14:paraId="30AE1770" w14:textId="77777777" w:rsidR="003D639D" w:rsidRDefault="003D639D" w:rsidP="003D639D">
      <w:pPr>
        <w:spacing w:before="15"/>
        <w:ind w:left="-567" w:right="-472"/>
        <w:rPr>
          <w:b/>
          <w:bCs/>
          <w:color w:val="5B518E"/>
          <w:sz w:val="28"/>
          <w:szCs w:val="28"/>
        </w:rPr>
      </w:pPr>
      <w:r>
        <w:rPr>
          <w:b/>
          <w:bCs/>
          <w:noProof/>
          <w:color w:val="5B518E"/>
          <w:sz w:val="28"/>
          <w:szCs w:val="28"/>
        </w:rPr>
        <w:drawing>
          <wp:inline distT="0" distB="0" distL="0" distR="0" wp14:anchorId="51BBFC40" wp14:editId="33C910DF">
            <wp:extent cx="4600575" cy="2763581"/>
            <wp:effectExtent l="0" t="0" r="0" b="0"/>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602801" cy="2764918"/>
                    </a:xfrm>
                    <a:prstGeom prst="rect">
                      <a:avLst/>
                    </a:prstGeom>
                    <a:noFill/>
                  </pic:spPr>
                </pic:pic>
              </a:graphicData>
            </a:graphic>
          </wp:inline>
        </w:drawing>
      </w:r>
    </w:p>
    <w:p w14:paraId="21C5FFDA" w14:textId="77777777" w:rsidR="003D639D" w:rsidRDefault="003D639D" w:rsidP="003D639D">
      <w:pPr>
        <w:spacing w:before="15"/>
        <w:ind w:right="-472"/>
        <w:jc w:val="right"/>
        <w:rPr>
          <w:b/>
          <w:bCs/>
          <w:color w:val="5B518E"/>
          <w:sz w:val="28"/>
          <w:szCs w:val="28"/>
        </w:rPr>
      </w:pPr>
    </w:p>
    <w:p w14:paraId="43F511B5" w14:textId="77777777" w:rsidR="003D639D" w:rsidRDefault="003D639D" w:rsidP="003D639D">
      <w:pPr>
        <w:spacing w:before="15"/>
        <w:ind w:right="-22" w:hanging="567"/>
        <w:jc w:val="center"/>
        <w:rPr>
          <w:b/>
          <w:bCs/>
          <w:color w:val="5B518E"/>
          <w:sz w:val="28"/>
          <w:szCs w:val="28"/>
        </w:rPr>
      </w:pPr>
      <w:r w:rsidRPr="003034D7">
        <w:rPr>
          <w:noProof/>
        </w:rPr>
        <w:drawing>
          <wp:inline distT="0" distB="0" distL="0" distR="0" wp14:anchorId="43990AE3" wp14:editId="61437211">
            <wp:extent cx="5731510" cy="2354580"/>
            <wp:effectExtent l="0" t="0" r="254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731510" cy="2354580"/>
                    </a:xfrm>
                    <a:prstGeom prst="rect">
                      <a:avLst/>
                    </a:prstGeom>
                    <a:noFill/>
                    <a:ln>
                      <a:noFill/>
                    </a:ln>
                  </pic:spPr>
                </pic:pic>
              </a:graphicData>
            </a:graphic>
          </wp:inline>
        </w:drawing>
      </w:r>
    </w:p>
    <w:p w14:paraId="2BB5197B" w14:textId="77777777" w:rsidR="003D639D" w:rsidRDefault="003D639D" w:rsidP="003D639D">
      <w:pPr>
        <w:spacing w:before="15"/>
        <w:ind w:left="-284" w:right="-22"/>
        <w:rPr>
          <w:b/>
          <w:bCs/>
          <w:color w:val="5B518E"/>
          <w:sz w:val="28"/>
          <w:szCs w:val="28"/>
        </w:rPr>
      </w:pPr>
      <w:r>
        <w:rPr>
          <w:b/>
          <w:bCs/>
          <w:noProof/>
          <w:color w:val="5B518E"/>
          <w:sz w:val="28"/>
          <w:szCs w:val="28"/>
        </w:rPr>
        <mc:AlternateContent>
          <mc:Choice Requires="wps">
            <w:drawing>
              <wp:anchor distT="0" distB="0" distL="114300" distR="114300" simplePos="0" relativeHeight="251661312" behindDoc="0" locked="0" layoutInCell="1" allowOverlap="1" wp14:anchorId="737BDA94" wp14:editId="717D48E3">
                <wp:simplePos x="0" y="0"/>
                <wp:positionH relativeFrom="column">
                  <wp:posOffset>4238625</wp:posOffset>
                </wp:positionH>
                <wp:positionV relativeFrom="paragraph">
                  <wp:posOffset>9525</wp:posOffset>
                </wp:positionV>
                <wp:extent cx="1666875" cy="2772000"/>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666875" cy="2772000"/>
                        </a:xfrm>
                        <a:prstGeom prst="rect">
                          <a:avLst/>
                        </a:prstGeom>
                        <a:solidFill>
                          <a:schemeClr val="lt1"/>
                        </a:solidFill>
                        <a:ln w="6350">
                          <a:solidFill>
                            <a:prstClr val="black"/>
                          </a:solidFill>
                        </a:ln>
                      </wps:spPr>
                      <wps:txbx>
                        <w:txbxContent>
                          <w:p w14:paraId="06176CCF" w14:textId="77777777" w:rsidR="003D639D" w:rsidRDefault="003D639D" w:rsidP="003D639D"/>
                          <w:p w14:paraId="4BB5F0C7" w14:textId="77777777" w:rsidR="003D639D" w:rsidRDefault="003D639D" w:rsidP="003D639D">
                            <w:r>
                              <w:t xml:space="preserve">In </w:t>
                            </w:r>
                            <w:r w:rsidRPr="00314A3D">
                              <w:rPr>
                                <w:b/>
                                <w:bCs/>
                                <w:sz w:val="32"/>
                                <w:szCs w:val="32"/>
                              </w:rPr>
                              <w:t>20/21 Q</w:t>
                            </w:r>
                            <w:r>
                              <w:rPr>
                                <w:b/>
                                <w:bCs/>
                                <w:sz w:val="32"/>
                                <w:szCs w:val="32"/>
                              </w:rPr>
                              <w:t>4</w:t>
                            </w:r>
                            <w:r w:rsidRPr="00314A3D">
                              <w:rPr>
                                <w:sz w:val="32"/>
                                <w:szCs w:val="32"/>
                              </w:rPr>
                              <w:t xml:space="preserve"> </w:t>
                            </w:r>
                            <w:r>
                              <w:t xml:space="preserve">the average fees per item increased by </w:t>
                            </w:r>
                            <w:r>
                              <w:rPr>
                                <w:b/>
                                <w:bCs/>
                                <w:sz w:val="32"/>
                                <w:szCs w:val="32"/>
                              </w:rPr>
                              <w:t>+6</w:t>
                            </w:r>
                            <w:r w:rsidRPr="00314A3D">
                              <w:rPr>
                                <w:b/>
                                <w:bCs/>
                                <w:sz w:val="32"/>
                                <w:szCs w:val="32"/>
                              </w:rPr>
                              <w:t xml:space="preserve"> pence per item</w:t>
                            </w:r>
                            <w:r w:rsidRPr="00314A3D">
                              <w:rPr>
                                <w:sz w:val="32"/>
                                <w:szCs w:val="32"/>
                              </w:rPr>
                              <w:t xml:space="preserve"> </w:t>
                            </w:r>
                            <w:r>
                              <w:t xml:space="preserve">to </w:t>
                            </w:r>
                            <w:r w:rsidRPr="00314A3D">
                              <w:rPr>
                                <w:b/>
                                <w:bCs/>
                                <w:sz w:val="32"/>
                                <w:szCs w:val="32"/>
                              </w:rPr>
                              <w:t>£1.6</w:t>
                            </w:r>
                            <w:r>
                              <w:rPr>
                                <w:b/>
                                <w:bCs/>
                                <w:sz w:val="32"/>
                                <w:szCs w:val="32"/>
                              </w:rPr>
                              <w:t>9</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BDA94" id="Text Box 12" o:spid="_x0000_s1029" type="#_x0000_t202" style="position:absolute;left:0;text-align:left;margin-left:333.75pt;margin-top:.75pt;width:131.25pt;height:2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" fillcolor="white [3201]" strokeweight=".5pt">
                <v:textbox>
                  <w:txbxContent>
                    <w:p w14:paraId="06176CCF" w14:textId="77777777" w:rsidR="003D639D" w:rsidRDefault="003D639D" w:rsidP="003D639D"/>
                    <w:p w14:paraId="4BB5F0C7" w14:textId="77777777" w:rsidR="003D639D" w:rsidRDefault="003D639D" w:rsidP="003D639D">
                      <w:r>
                        <w:t xml:space="preserve">In </w:t>
                      </w:r>
                      <w:r w:rsidRPr="00314A3D">
                        <w:rPr>
                          <w:b/>
                          <w:bCs/>
                          <w:sz w:val="32"/>
                          <w:szCs w:val="32"/>
                        </w:rPr>
                        <w:t>20/21 Q</w:t>
                      </w:r>
                      <w:r>
                        <w:rPr>
                          <w:b/>
                          <w:bCs/>
                          <w:sz w:val="32"/>
                          <w:szCs w:val="32"/>
                        </w:rPr>
                        <w:t>4</w:t>
                      </w:r>
                      <w:r w:rsidRPr="00314A3D">
                        <w:rPr>
                          <w:sz w:val="32"/>
                          <w:szCs w:val="32"/>
                        </w:rPr>
                        <w:t xml:space="preserve"> </w:t>
                      </w:r>
                      <w:r>
                        <w:t xml:space="preserve">the average fees per item increased by </w:t>
                      </w:r>
                      <w:r>
                        <w:rPr>
                          <w:b/>
                          <w:bCs/>
                          <w:sz w:val="32"/>
                          <w:szCs w:val="32"/>
                        </w:rPr>
                        <w:t>+6</w:t>
                      </w:r>
                      <w:r w:rsidRPr="00314A3D">
                        <w:rPr>
                          <w:b/>
                          <w:bCs/>
                          <w:sz w:val="32"/>
                          <w:szCs w:val="32"/>
                        </w:rPr>
                        <w:t xml:space="preserve"> pence per item</w:t>
                      </w:r>
                      <w:r w:rsidRPr="00314A3D">
                        <w:rPr>
                          <w:sz w:val="32"/>
                          <w:szCs w:val="32"/>
                        </w:rPr>
                        <w:t xml:space="preserve"> </w:t>
                      </w:r>
                      <w:r>
                        <w:t xml:space="preserve">to </w:t>
                      </w:r>
                      <w:r w:rsidRPr="00314A3D">
                        <w:rPr>
                          <w:b/>
                          <w:bCs/>
                          <w:sz w:val="32"/>
                          <w:szCs w:val="32"/>
                        </w:rPr>
                        <w:t>£1.6</w:t>
                      </w:r>
                      <w:r>
                        <w:rPr>
                          <w:b/>
                          <w:bCs/>
                          <w:sz w:val="32"/>
                          <w:szCs w:val="32"/>
                        </w:rPr>
                        <w:t>9</w:t>
                      </w:r>
                      <w:r>
                        <w:t>.</w:t>
                      </w:r>
                    </w:p>
                  </w:txbxContent>
                </v:textbox>
              </v:shape>
            </w:pict>
          </mc:Fallback>
        </mc:AlternateContent>
      </w:r>
      <w:r>
        <w:rPr>
          <w:b/>
          <w:bCs/>
          <w:noProof/>
          <w:color w:val="5B518E"/>
          <w:sz w:val="28"/>
          <w:szCs w:val="28"/>
        </w:rPr>
        <w:drawing>
          <wp:inline distT="0" distB="0" distL="0" distR="0" wp14:anchorId="6E6226AC" wp14:editId="46727837">
            <wp:extent cx="4324350" cy="2812449"/>
            <wp:effectExtent l="0" t="0" r="0" b="6985"/>
            <wp:docPr id="16" name="Picture 1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bar chart&#10;&#10;Description automatically generated"/>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330297" cy="2816317"/>
                    </a:xfrm>
                    <a:prstGeom prst="rect">
                      <a:avLst/>
                    </a:prstGeom>
                    <a:noFill/>
                  </pic:spPr>
                </pic:pic>
              </a:graphicData>
            </a:graphic>
          </wp:inline>
        </w:drawing>
      </w:r>
    </w:p>
    <w:p w14:paraId="5D9F5D85" w14:textId="77777777" w:rsidR="003D639D" w:rsidRDefault="003D639D" w:rsidP="003D639D">
      <w:pPr>
        <w:spacing w:before="15"/>
        <w:ind w:right="-22"/>
        <w:jc w:val="center"/>
        <w:rPr>
          <w:b/>
          <w:bCs/>
          <w:color w:val="5B518E"/>
          <w:sz w:val="28"/>
          <w:szCs w:val="28"/>
        </w:rPr>
      </w:pPr>
    </w:p>
    <w:p w14:paraId="45D3AF5A" w14:textId="77777777" w:rsidR="003D639D" w:rsidRDefault="003D639D" w:rsidP="003D639D">
      <w:pPr>
        <w:spacing w:before="15"/>
        <w:ind w:right="-22"/>
        <w:jc w:val="center"/>
        <w:rPr>
          <w:b/>
          <w:bCs/>
          <w:color w:val="5B518E"/>
          <w:sz w:val="28"/>
          <w:szCs w:val="28"/>
        </w:rPr>
      </w:pPr>
      <w:r>
        <w:rPr>
          <w:b/>
          <w:bCs/>
          <w:noProof/>
          <w:color w:val="5B518E"/>
          <w:sz w:val="28"/>
          <w:szCs w:val="28"/>
        </w:rPr>
        <w:drawing>
          <wp:inline distT="0" distB="0" distL="0" distR="0" wp14:anchorId="307AA6D4" wp14:editId="6C5EEC7A">
            <wp:extent cx="5998845" cy="2755900"/>
            <wp:effectExtent l="0" t="0" r="1905" b="6350"/>
            <wp:docPr id="17" name="Picture 1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 bar chart&#10;&#10;Description automatically generated"/>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998845" cy="2755900"/>
                    </a:xfrm>
                    <a:prstGeom prst="rect">
                      <a:avLst/>
                    </a:prstGeom>
                    <a:noFill/>
                  </pic:spPr>
                </pic:pic>
              </a:graphicData>
            </a:graphic>
          </wp:inline>
        </w:drawing>
      </w:r>
    </w:p>
    <w:p w14:paraId="64FAE915" w14:textId="77777777" w:rsidR="003D639D" w:rsidRDefault="003D639D" w:rsidP="003D639D">
      <w:pPr>
        <w:spacing w:before="15"/>
        <w:ind w:right="-22"/>
        <w:jc w:val="center"/>
        <w:rPr>
          <w:b/>
          <w:bCs/>
          <w:color w:val="5B518E"/>
          <w:sz w:val="28"/>
          <w:szCs w:val="28"/>
        </w:rPr>
      </w:pPr>
      <w:r w:rsidRPr="00C218B4">
        <w:rPr>
          <w:b/>
          <w:bCs/>
          <w:color w:val="5B518E"/>
          <w:sz w:val="28"/>
          <w:szCs w:val="28"/>
        </w:rPr>
        <w:lastRenderedPageBreak/>
        <w:t>Pharmacy contract numbers</w:t>
      </w:r>
    </w:p>
    <w:p w14:paraId="08CCBF39" w14:textId="77777777" w:rsidR="003D639D" w:rsidRDefault="003D639D" w:rsidP="003D639D"/>
    <w:p w14:paraId="31D09319" w14:textId="77777777" w:rsidR="003D639D" w:rsidRDefault="003D639D" w:rsidP="003D639D">
      <w:r>
        <w:t>A waterfall chart of net change in pharmacy numbers per month indicates a cumulative drop of c-533 in the total number of pharmacy contracts since the announcement of the funding cuts.</w:t>
      </w:r>
    </w:p>
    <w:p w14:paraId="29A7F210" w14:textId="77777777" w:rsidR="003D639D" w:rsidRDefault="003D639D" w:rsidP="003D639D">
      <w:r>
        <w:rPr>
          <w:noProof/>
        </w:rPr>
        <w:drawing>
          <wp:inline distT="0" distB="0" distL="0" distR="0" wp14:anchorId="10A2FFE1" wp14:editId="583F2272">
            <wp:extent cx="5756462" cy="2971800"/>
            <wp:effectExtent l="0" t="0" r="0" b="0"/>
            <wp:docPr id="18" name="Picture 18"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art, waterfall chart&#10;&#10;Description automatically generated"/>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5767379" cy="2977436"/>
                    </a:xfrm>
                    <a:prstGeom prst="rect">
                      <a:avLst/>
                    </a:prstGeom>
                    <a:noFill/>
                  </pic:spPr>
                </pic:pic>
              </a:graphicData>
            </a:graphic>
          </wp:inline>
        </w:drawing>
      </w:r>
    </w:p>
    <w:p w14:paraId="2AFE0A55" w14:textId="77777777" w:rsidR="003D639D" w:rsidRDefault="003D639D" w:rsidP="003D639D"/>
    <w:p w14:paraId="6EDF3365" w14:textId="77777777" w:rsidR="003D639D" w:rsidRPr="00C218B4" w:rsidRDefault="003D639D" w:rsidP="003D639D">
      <w:r w:rsidRPr="00C218B4">
        <w:t>A long view of pharmacy contract numbers demonstrates steady growth since the introduction of the new contract in 2005, followed by a reversal from early 2018 onwards.</w:t>
      </w:r>
    </w:p>
    <w:p w14:paraId="03C3A5B4" w14:textId="77777777" w:rsidR="003D639D" w:rsidRDefault="003D639D" w:rsidP="003D639D">
      <w:pPr>
        <w:jc w:val="center"/>
      </w:pPr>
      <w:r>
        <w:rPr>
          <w:noProof/>
        </w:rPr>
        <w:drawing>
          <wp:inline distT="0" distB="0" distL="0" distR="0" wp14:anchorId="091942BD" wp14:editId="2921FF8A">
            <wp:extent cx="5763458" cy="2981325"/>
            <wp:effectExtent l="0" t="0" r="8890" b="0"/>
            <wp:docPr id="19" name="Picture 19"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creenshot of a computer&#10;&#10;Description automatically generated with medium confidence"/>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771226" cy="2985343"/>
                    </a:xfrm>
                    <a:prstGeom prst="rect">
                      <a:avLst/>
                    </a:prstGeom>
                    <a:noFill/>
                  </pic:spPr>
                </pic:pic>
              </a:graphicData>
            </a:graphic>
          </wp:inline>
        </w:drawing>
      </w:r>
    </w:p>
    <w:p w14:paraId="03B88F2F" w14:textId="77777777" w:rsidR="003D639D" w:rsidRDefault="003D639D" w:rsidP="003D639D">
      <w:pPr>
        <w:jc w:val="center"/>
      </w:pPr>
    </w:p>
    <w:p w14:paraId="4CA4B75C" w14:textId="77777777" w:rsidR="00AB5014" w:rsidRDefault="00AB5014" w:rsidP="06EF27C7">
      <w:pPr>
        <w:pStyle w:val="paragraph"/>
        <w:spacing w:before="0" w:beforeAutospacing="0" w:after="0" w:afterAutospacing="0"/>
        <w:ind w:left="1560" w:right="405"/>
        <w:jc w:val="right"/>
        <w:rPr>
          <w:rFonts w:ascii="Segoe UI" w:hAnsi="Segoe UI" w:cs="Segoe UI"/>
          <w:sz w:val="18"/>
          <w:szCs w:val="18"/>
        </w:rPr>
      </w:pPr>
    </w:p>
    <w:sectPr w:rsidR="00AB5014">
      <w:headerReference w:type="default" r:id="rId96"/>
      <w:footerReference w:type="default" r:id="rId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8FE1C" w14:textId="77777777" w:rsidR="00F76EBD" w:rsidRDefault="00F76EBD">
      <w:pPr>
        <w:spacing w:after="0" w:line="240" w:lineRule="auto"/>
      </w:pPr>
      <w:r>
        <w:separator/>
      </w:r>
    </w:p>
  </w:endnote>
  <w:endnote w:type="continuationSeparator" w:id="0">
    <w:p w14:paraId="054B9263" w14:textId="77777777" w:rsidR="00F76EBD" w:rsidRDefault="00F76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2CB99FF" w14:paraId="039EBE9E" w14:textId="77777777" w:rsidTr="52CB99FF">
      <w:tc>
        <w:tcPr>
          <w:tcW w:w="3005" w:type="dxa"/>
        </w:tcPr>
        <w:p w14:paraId="15EBB920" w14:textId="18321F1D" w:rsidR="52CB99FF" w:rsidRDefault="52CB99FF" w:rsidP="52CB99FF">
          <w:pPr>
            <w:pStyle w:val="Header"/>
            <w:ind w:left="-115"/>
          </w:pPr>
        </w:p>
      </w:tc>
      <w:tc>
        <w:tcPr>
          <w:tcW w:w="3005" w:type="dxa"/>
        </w:tcPr>
        <w:p w14:paraId="5B7357F9" w14:textId="44A52D41" w:rsidR="52CB99FF" w:rsidRDefault="52CB99FF" w:rsidP="52CB99FF">
          <w:pPr>
            <w:pStyle w:val="Header"/>
            <w:jc w:val="center"/>
          </w:pPr>
        </w:p>
      </w:tc>
      <w:tc>
        <w:tcPr>
          <w:tcW w:w="3005" w:type="dxa"/>
        </w:tcPr>
        <w:p w14:paraId="5A1ACCC3" w14:textId="6D1F1D90" w:rsidR="52CB99FF" w:rsidRDefault="52CB99FF" w:rsidP="52CB99FF">
          <w:pPr>
            <w:pStyle w:val="Header"/>
            <w:ind w:right="-115"/>
            <w:jc w:val="right"/>
          </w:pPr>
        </w:p>
      </w:tc>
    </w:tr>
  </w:tbl>
  <w:p w14:paraId="75B09614" w14:textId="60A9790F" w:rsidR="52CB99FF" w:rsidRDefault="52CB99FF" w:rsidP="52CB9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0507F" w14:textId="77777777" w:rsidR="00F76EBD" w:rsidRDefault="00F76EBD">
      <w:pPr>
        <w:spacing w:after="0" w:line="240" w:lineRule="auto"/>
      </w:pPr>
      <w:r>
        <w:separator/>
      </w:r>
    </w:p>
  </w:footnote>
  <w:footnote w:type="continuationSeparator" w:id="0">
    <w:p w14:paraId="19A80304" w14:textId="77777777" w:rsidR="00F76EBD" w:rsidRDefault="00F76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1965"/>
      <w:gridCol w:w="4005"/>
    </w:tblGrid>
    <w:tr w:rsidR="52CB99FF" w14:paraId="783D4D91" w14:textId="77777777" w:rsidTr="06EF27C7">
      <w:tc>
        <w:tcPr>
          <w:tcW w:w="3005" w:type="dxa"/>
        </w:tcPr>
        <w:p w14:paraId="51F5E2CA" w14:textId="64843D9A" w:rsidR="52CB99FF" w:rsidRDefault="52CB99FF" w:rsidP="52CB99FF">
          <w:pPr>
            <w:pStyle w:val="Header"/>
            <w:ind w:left="-115"/>
          </w:pPr>
        </w:p>
      </w:tc>
      <w:tc>
        <w:tcPr>
          <w:tcW w:w="1965" w:type="dxa"/>
        </w:tcPr>
        <w:p w14:paraId="7B6EE15E" w14:textId="418ED714" w:rsidR="52CB99FF" w:rsidRDefault="52CB99FF" w:rsidP="52CB99FF">
          <w:pPr>
            <w:pStyle w:val="Header"/>
            <w:jc w:val="center"/>
          </w:pPr>
        </w:p>
      </w:tc>
      <w:tc>
        <w:tcPr>
          <w:tcW w:w="4005" w:type="dxa"/>
        </w:tcPr>
        <w:p w14:paraId="49B88C5D" w14:textId="18C1B0F3" w:rsidR="52CB99FF" w:rsidRDefault="52CB99FF" w:rsidP="52CB99FF">
          <w:pPr>
            <w:pStyle w:val="Header"/>
            <w:ind w:right="-115"/>
            <w:jc w:val="right"/>
          </w:pPr>
        </w:p>
      </w:tc>
    </w:tr>
  </w:tbl>
  <w:p w14:paraId="5B166179" w14:textId="54BD195E" w:rsidR="52CB99FF" w:rsidRDefault="52CB99FF" w:rsidP="52CB9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0497"/>
    <w:multiLevelType w:val="multilevel"/>
    <w:tmpl w:val="92146F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B6139"/>
    <w:multiLevelType w:val="multilevel"/>
    <w:tmpl w:val="0B5295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CD6267"/>
    <w:multiLevelType w:val="multilevel"/>
    <w:tmpl w:val="C6BE06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1A653E2"/>
    <w:multiLevelType w:val="hybridMultilevel"/>
    <w:tmpl w:val="D0BC312A"/>
    <w:lvl w:ilvl="0" w:tplc="7BEEC498">
      <w:start w:val="1"/>
      <w:numFmt w:val="decimal"/>
      <w:lvlText w:val="%1."/>
      <w:lvlJc w:val="left"/>
      <w:pPr>
        <w:ind w:left="720" w:hanging="360"/>
      </w:pPr>
      <w:rPr>
        <w:rFonts w:asciiTheme="minorHAnsi" w:hAnsiTheme="minorHAnsi" w:cstheme="minorHAnsi" w:hint="default"/>
      </w:r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5211B7"/>
    <w:multiLevelType w:val="multilevel"/>
    <w:tmpl w:val="9DD8FCA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A380D5A"/>
    <w:multiLevelType w:val="hybridMultilevel"/>
    <w:tmpl w:val="1F2648C2"/>
    <w:lvl w:ilvl="0" w:tplc="08090019">
      <w:start w:val="1"/>
      <w:numFmt w:val="lowerLetter"/>
      <w:lvlText w:val="%1."/>
      <w:lvlJc w:val="left"/>
      <w:pPr>
        <w:ind w:left="1352" w:hanging="360"/>
      </w:p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6" w15:restartNumberingAfterBreak="0">
    <w:nsid w:val="1DB612EB"/>
    <w:multiLevelType w:val="multilevel"/>
    <w:tmpl w:val="E04AFB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F0318B"/>
    <w:multiLevelType w:val="multilevel"/>
    <w:tmpl w:val="D862C9F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1515FA7"/>
    <w:multiLevelType w:val="multilevel"/>
    <w:tmpl w:val="C460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453858"/>
    <w:multiLevelType w:val="multilevel"/>
    <w:tmpl w:val="8CE0D0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6B593C"/>
    <w:multiLevelType w:val="multilevel"/>
    <w:tmpl w:val="5CACB8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015D69"/>
    <w:multiLevelType w:val="multilevel"/>
    <w:tmpl w:val="B32E5F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3E5EFC"/>
    <w:multiLevelType w:val="hybridMultilevel"/>
    <w:tmpl w:val="45E27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B8306A"/>
    <w:multiLevelType w:val="multilevel"/>
    <w:tmpl w:val="1F5A3C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06F0203"/>
    <w:multiLevelType w:val="multilevel"/>
    <w:tmpl w:val="CFA484E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7266969"/>
    <w:multiLevelType w:val="hybridMultilevel"/>
    <w:tmpl w:val="54ACD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FD56FA"/>
    <w:multiLevelType w:val="multilevel"/>
    <w:tmpl w:val="F12E30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1F1CDA"/>
    <w:multiLevelType w:val="multilevel"/>
    <w:tmpl w:val="3102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441E57"/>
    <w:multiLevelType w:val="multilevel"/>
    <w:tmpl w:val="2E8C1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AC3FE5"/>
    <w:multiLevelType w:val="multilevel"/>
    <w:tmpl w:val="D79E51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74B3A04"/>
    <w:multiLevelType w:val="multilevel"/>
    <w:tmpl w:val="C8EA4B2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94F30AA"/>
    <w:multiLevelType w:val="multilevel"/>
    <w:tmpl w:val="290C33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A567942"/>
    <w:multiLevelType w:val="multilevel"/>
    <w:tmpl w:val="34B6AD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00539E"/>
    <w:multiLevelType w:val="multilevel"/>
    <w:tmpl w:val="2878EF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6"/>
  </w:num>
  <w:num w:numId="3">
    <w:abstractNumId w:val="9"/>
  </w:num>
  <w:num w:numId="4">
    <w:abstractNumId w:val="23"/>
  </w:num>
  <w:num w:numId="5">
    <w:abstractNumId w:val="1"/>
  </w:num>
  <w:num w:numId="6">
    <w:abstractNumId w:val="21"/>
  </w:num>
  <w:num w:numId="7">
    <w:abstractNumId w:val="4"/>
  </w:num>
  <w:num w:numId="8">
    <w:abstractNumId w:val="13"/>
  </w:num>
  <w:num w:numId="9">
    <w:abstractNumId w:val="20"/>
  </w:num>
  <w:num w:numId="10">
    <w:abstractNumId w:val="7"/>
  </w:num>
  <w:num w:numId="11">
    <w:abstractNumId w:val="14"/>
  </w:num>
  <w:num w:numId="12">
    <w:abstractNumId w:val="10"/>
  </w:num>
  <w:num w:numId="13">
    <w:abstractNumId w:val="19"/>
  </w:num>
  <w:num w:numId="14">
    <w:abstractNumId w:val="2"/>
  </w:num>
  <w:num w:numId="15">
    <w:abstractNumId w:val="22"/>
  </w:num>
  <w:num w:numId="16">
    <w:abstractNumId w:val="16"/>
  </w:num>
  <w:num w:numId="17">
    <w:abstractNumId w:val="11"/>
  </w:num>
  <w:num w:numId="18">
    <w:abstractNumId w:val="3"/>
  </w:num>
  <w:num w:numId="19">
    <w:abstractNumId w:val="15"/>
  </w:num>
  <w:num w:numId="20">
    <w:abstractNumId w:val="5"/>
  </w:num>
  <w:num w:numId="21">
    <w:abstractNumId w:val="8"/>
  </w:num>
  <w:num w:numId="22">
    <w:abstractNumId w:val="0"/>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43E"/>
    <w:rsid w:val="000209B0"/>
    <w:rsid w:val="00047372"/>
    <w:rsid w:val="001008FE"/>
    <w:rsid w:val="0010343E"/>
    <w:rsid w:val="00181176"/>
    <w:rsid w:val="002C1F7A"/>
    <w:rsid w:val="003008A5"/>
    <w:rsid w:val="003D639D"/>
    <w:rsid w:val="004F5BE9"/>
    <w:rsid w:val="00547FF1"/>
    <w:rsid w:val="00682EAB"/>
    <w:rsid w:val="0070525D"/>
    <w:rsid w:val="007549AA"/>
    <w:rsid w:val="0076576B"/>
    <w:rsid w:val="00783695"/>
    <w:rsid w:val="007934C4"/>
    <w:rsid w:val="007B7566"/>
    <w:rsid w:val="009562B2"/>
    <w:rsid w:val="009F19BD"/>
    <w:rsid w:val="00A01FB7"/>
    <w:rsid w:val="00A821DB"/>
    <w:rsid w:val="00AB5014"/>
    <w:rsid w:val="00AF450B"/>
    <w:rsid w:val="00B038C1"/>
    <w:rsid w:val="00C1487C"/>
    <w:rsid w:val="00D34AC6"/>
    <w:rsid w:val="00E373BA"/>
    <w:rsid w:val="00F14693"/>
    <w:rsid w:val="00F76EBD"/>
    <w:rsid w:val="00F9616F"/>
    <w:rsid w:val="00FA3801"/>
    <w:rsid w:val="00FB7900"/>
    <w:rsid w:val="0215C42A"/>
    <w:rsid w:val="04998FA9"/>
    <w:rsid w:val="05513E63"/>
    <w:rsid w:val="059DD88B"/>
    <w:rsid w:val="06E89438"/>
    <w:rsid w:val="06EF27C7"/>
    <w:rsid w:val="08B3BB5E"/>
    <w:rsid w:val="0BBC055B"/>
    <w:rsid w:val="0D6CD67E"/>
    <w:rsid w:val="0DD5A373"/>
    <w:rsid w:val="1549BF44"/>
    <w:rsid w:val="1573A5B8"/>
    <w:rsid w:val="15E69648"/>
    <w:rsid w:val="178266A9"/>
    <w:rsid w:val="195B416E"/>
    <w:rsid w:val="1F6ED8E4"/>
    <w:rsid w:val="218034DE"/>
    <w:rsid w:val="21DFA259"/>
    <w:rsid w:val="22C09E95"/>
    <w:rsid w:val="27D64E05"/>
    <w:rsid w:val="281675B2"/>
    <w:rsid w:val="28613A86"/>
    <w:rsid w:val="28E632B4"/>
    <w:rsid w:val="28FAD5D2"/>
    <w:rsid w:val="29721E66"/>
    <w:rsid w:val="299C885C"/>
    <w:rsid w:val="2A085415"/>
    <w:rsid w:val="2D59BA1C"/>
    <w:rsid w:val="2DE4FC03"/>
    <w:rsid w:val="2F1FDAF2"/>
    <w:rsid w:val="2FE8389B"/>
    <w:rsid w:val="301CD371"/>
    <w:rsid w:val="30C4F2E1"/>
    <w:rsid w:val="32731468"/>
    <w:rsid w:val="34672B86"/>
    <w:rsid w:val="38546DDD"/>
    <w:rsid w:val="39D042F4"/>
    <w:rsid w:val="3AA0DD3F"/>
    <w:rsid w:val="3C1B5A13"/>
    <w:rsid w:val="3EBDECBD"/>
    <w:rsid w:val="3F4F7646"/>
    <w:rsid w:val="41087B33"/>
    <w:rsid w:val="410B130B"/>
    <w:rsid w:val="48E4E68F"/>
    <w:rsid w:val="4C22328F"/>
    <w:rsid w:val="4E6DB004"/>
    <w:rsid w:val="4EAEB347"/>
    <w:rsid w:val="4ED2D31F"/>
    <w:rsid w:val="4FED64E0"/>
    <w:rsid w:val="5085C5C3"/>
    <w:rsid w:val="5287C831"/>
    <w:rsid w:val="52BCC125"/>
    <w:rsid w:val="52CB99FF"/>
    <w:rsid w:val="5579DA8C"/>
    <w:rsid w:val="58C2FEC1"/>
    <w:rsid w:val="59C3524F"/>
    <w:rsid w:val="5A9B08CB"/>
    <w:rsid w:val="5B10EBF2"/>
    <w:rsid w:val="5E000C78"/>
    <w:rsid w:val="5E4B53B1"/>
    <w:rsid w:val="5E57F8CA"/>
    <w:rsid w:val="5FD0204E"/>
    <w:rsid w:val="60AB1CE7"/>
    <w:rsid w:val="60ACD0ED"/>
    <w:rsid w:val="60E6DE1A"/>
    <w:rsid w:val="6672B848"/>
    <w:rsid w:val="668BBB0A"/>
    <w:rsid w:val="691B79D6"/>
    <w:rsid w:val="6A531491"/>
    <w:rsid w:val="6AA3CC37"/>
    <w:rsid w:val="6B24B736"/>
    <w:rsid w:val="6DC6CBFB"/>
    <w:rsid w:val="6F757EB3"/>
    <w:rsid w:val="6FB7532B"/>
    <w:rsid w:val="6FF9B0D5"/>
    <w:rsid w:val="701D7D48"/>
    <w:rsid w:val="7215D474"/>
    <w:rsid w:val="7292577B"/>
    <w:rsid w:val="734C5514"/>
    <w:rsid w:val="7416BF3A"/>
    <w:rsid w:val="75BB19B2"/>
    <w:rsid w:val="78FCE618"/>
    <w:rsid w:val="7A1914E7"/>
    <w:rsid w:val="7A70DFB6"/>
    <w:rsid w:val="7ADC0511"/>
    <w:rsid w:val="7EF8E1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C877"/>
  <w15:chartTrackingRefBased/>
  <w15:docId w15:val="{4CADC22A-146C-4230-B360-4CA6026C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639D"/>
    <w:pPr>
      <w:widowControl w:val="0"/>
      <w:autoSpaceDE w:val="0"/>
      <w:autoSpaceDN w:val="0"/>
      <w:spacing w:before="15" w:after="0" w:line="240" w:lineRule="auto"/>
      <w:ind w:left="2945"/>
      <w:jc w:val="center"/>
      <w:outlineLvl w:val="0"/>
    </w:pPr>
    <w:rPr>
      <w:rFonts w:ascii="Calibri" w:eastAsia="Calibri" w:hAnsi="Calibri" w:cs="Calibri"/>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034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0343E"/>
  </w:style>
  <w:style w:type="character" w:customStyle="1" w:styleId="eop">
    <w:name w:val="eop"/>
    <w:basedOn w:val="DefaultParagraphFont"/>
    <w:rsid w:val="0010343E"/>
  </w:style>
  <w:style w:type="character" w:customStyle="1" w:styleId="scxw96657786">
    <w:name w:val="scxw96657786"/>
    <w:basedOn w:val="DefaultParagraphFont"/>
    <w:rsid w:val="0010343E"/>
  </w:style>
  <w:style w:type="paragraph" w:styleId="ListParagraph">
    <w:name w:val="List Paragraph"/>
    <w:basedOn w:val="Normal"/>
    <w:link w:val="ListParagraphChar"/>
    <w:uiPriority w:val="34"/>
    <w:qFormat/>
    <w:rsid w:val="0010343E"/>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3D639D"/>
    <w:rPr>
      <w:rFonts w:ascii="Calibri" w:eastAsia="Calibri" w:hAnsi="Calibri" w:cs="Calibri"/>
      <w:b/>
      <w:bCs/>
      <w:sz w:val="28"/>
      <w:szCs w:val="28"/>
      <w:lang w:bidi="en-US"/>
    </w:rPr>
  </w:style>
  <w:style w:type="paragraph" w:styleId="BodyText">
    <w:name w:val="Body Text"/>
    <w:basedOn w:val="Normal"/>
    <w:link w:val="BodyTextChar"/>
    <w:uiPriority w:val="1"/>
    <w:qFormat/>
    <w:rsid w:val="003D639D"/>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3D639D"/>
    <w:rPr>
      <w:rFonts w:ascii="Calibri" w:eastAsia="Calibri" w:hAnsi="Calibri" w:cs="Calibri"/>
      <w:lang w:bidi="en-US"/>
    </w:rPr>
  </w:style>
  <w:style w:type="paragraph" w:customStyle="1" w:styleId="TableParagraph">
    <w:name w:val="Table Paragraph"/>
    <w:basedOn w:val="Normal"/>
    <w:uiPriority w:val="1"/>
    <w:qFormat/>
    <w:rsid w:val="003D639D"/>
    <w:pPr>
      <w:widowControl w:val="0"/>
      <w:autoSpaceDE w:val="0"/>
      <w:autoSpaceDN w:val="0"/>
      <w:spacing w:after="0" w:line="240" w:lineRule="auto"/>
    </w:pPr>
    <w:rPr>
      <w:rFonts w:ascii="Calibri" w:eastAsia="Calibri" w:hAnsi="Calibri" w:cs="Calibri"/>
      <w:lang w:bidi="en-US"/>
    </w:rPr>
  </w:style>
  <w:style w:type="character" w:customStyle="1" w:styleId="ListParagraphChar">
    <w:name w:val="List Paragraph Char"/>
    <w:basedOn w:val="DefaultParagraphFont"/>
    <w:link w:val="ListParagraph"/>
    <w:uiPriority w:val="34"/>
    <w:locked/>
    <w:rsid w:val="003D639D"/>
  </w:style>
  <w:style w:type="paragraph" w:styleId="NoSpacing">
    <w:name w:val="No Spacing"/>
    <w:uiPriority w:val="1"/>
    <w:qFormat/>
    <w:rsid w:val="003D639D"/>
    <w:pPr>
      <w:spacing w:after="0" w:line="240" w:lineRule="auto"/>
    </w:pPr>
  </w:style>
  <w:style w:type="paragraph" w:styleId="NormalWeb">
    <w:name w:val="Normal (Web)"/>
    <w:basedOn w:val="Normal"/>
    <w:uiPriority w:val="99"/>
    <w:unhideWhenUsed/>
    <w:rsid w:val="003D639D"/>
    <w:pPr>
      <w:widowControl w:val="0"/>
      <w:autoSpaceDE w:val="0"/>
      <w:autoSpaceDN w:val="0"/>
      <w:spacing w:after="0" w:line="240" w:lineRule="auto"/>
    </w:pPr>
    <w:rPr>
      <w:rFonts w:ascii="Times New Roman" w:eastAsia="Calibri" w:hAnsi="Times New Roman" w:cs="Times New Roman"/>
      <w:sz w:val="24"/>
      <w:szCs w:val="24"/>
      <w:lang w:bidi="en-US"/>
    </w:rPr>
  </w:style>
  <w:style w:type="character" w:styleId="Hyperlink">
    <w:name w:val="Hyperlink"/>
    <w:basedOn w:val="DefaultParagraphFont"/>
    <w:uiPriority w:val="99"/>
    <w:unhideWhenUsed/>
    <w:rsid w:val="003D639D"/>
    <w:rPr>
      <w:color w:val="0563C1" w:themeColor="hyperlink"/>
      <w:u w:val="single"/>
    </w:rPr>
  </w:style>
  <w:style w:type="character" w:styleId="Strong">
    <w:name w:val="Strong"/>
    <w:basedOn w:val="DefaultParagraphFont"/>
    <w:uiPriority w:val="22"/>
    <w:qFormat/>
    <w:rsid w:val="003D63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74673">
      <w:bodyDiv w:val="1"/>
      <w:marLeft w:val="0"/>
      <w:marRight w:val="0"/>
      <w:marTop w:val="0"/>
      <w:marBottom w:val="0"/>
      <w:divBdr>
        <w:top w:val="none" w:sz="0" w:space="0" w:color="auto"/>
        <w:left w:val="none" w:sz="0" w:space="0" w:color="auto"/>
        <w:bottom w:val="none" w:sz="0" w:space="0" w:color="auto"/>
        <w:right w:val="none" w:sz="0" w:space="0" w:color="auto"/>
      </w:divBdr>
      <w:divsChild>
        <w:div w:id="30807512">
          <w:marLeft w:val="0"/>
          <w:marRight w:val="0"/>
          <w:marTop w:val="0"/>
          <w:marBottom w:val="0"/>
          <w:divBdr>
            <w:top w:val="none" w:sz="0" w:space="0" w:color="auto"/>
            <w:left w:val="none" w:sz="0" w:space="0" w:color="auto"/>
            <w:bottom w:val="none" w:sz="0" w:space="0" w:color="auto"/>
            <w:right w:val="none" w:sz="0" w:space="0" w:color="auto"/>
          </w:divBdr>
        </w:div>
        <w:div w:id="147480190">
          <w:marLeft w:val="0"/>
          <w:marRight w:val="0"/>
          <w:marTop w:val="0"/>
          <w:marBottom w:val="0"/>
          <w:divBdr>
            <w:top w:val="none" w:sz="0" w:space="0" w:color="auto"/>
            <w:left w:val="none" w:sz="0" w:space="0" w:color="auto"/>
            <w:bottom w:val="none" w:sz="0" w:space="0" w:color="auto"/>
            <w:right w:val="none" w:sz="0" w:space="0" w:color="auto"/>
          </w:divBdr>
        </w:div>
        <w:div w:id="249579378">
          <w:marLeft w:val="0"/>
          <w:marRight w:val="0"/>
          <w:marTop w:val="0"/>
          <w:marBottom w:val="0"/>
          <w:divBdr>
            <w:top w:val="none" w:sz="0" w:space="0" w:color="auto"/>
            <w:left w:val="none" w:sz="0" w:space="0" w:color="auto"/>
            <w:bottom w:val="none" w:sz="0" w:space="0" w:color="auto"/>
            <w:right w:val="none" w:sz="0" w:space="0" w:color="auto"/>
          </w:divBdr>
        </w:div>
        <w:div w:id="279382100">
          <w:marLeft w:val="0"/>
          <w:marRight w:val="0"/>
          <w:marTop w:val="0"/>
          <w:marBottom w:val="0"/>
          <w:divBdr>
            <w:top w:val="none" w:sz="0" w:space="0" w:color="auto"/>
            <w:left w:val="none" w:sz="0" w:space="0" w:color="auto"/>
            <w:bottom w:val="none" w:sz="0" w:space="0" w:color="auto"/>
            <w:right w:val="none" w:sz="0" w:space="0" w:color="auto"/>
          </w:divBdr>
          <w:divsChild>
            <w:div w:id="1239317633">
              <w:marLeft w:val="0"/>
              <w:marRight w:val="0"/>
              <w:marTop w:val="0"/>
              <w:marBottom w:val="0"/>
              <w:divBdr>
                <w:top w:val="none" w:sz="0" w:space="0" w:color="auto"/>
                <w:left w:val="none" w:sz="0" w:space="0" w:color="auto"/>
                <w:bottom w:val="none" w:sz="0" w:space="0" w:color="auto"/>
                <w:right w:val="none" w:sz="0" w:space="0" w:color="auto"/>
              </w:divBdr>
            </w:div>
            <w:div w:id="1389838690">
              <w:marLeft w:val="0"/>
              <w:marRight w:val="0"/>
              <w:marTop w:val="0"/>
              <w:marBottom w:val="0"/>
              <w:divBdr>
                <w:top w:val="none" w:sz="0" w:space="0" w:color="auto"/>
                <w:left w:val="none" w:sz="0" w:space="0" w:color="auto"/>
                <w:bottom w:val="none" w:sz="0" w:space="0" w:color="auto"/>
                <w:right w:val="none" w:sz="0" w:space="0" w:color="auto"/>
              </w:divBdr>
            </w:div>
            <w:div w:id="1501846961">
              <w:marLeft w:val="0"/>
              <w:marRight w:val="0"/>
              <w:marTop w:val="0"/>
              <w:marBottom w:val="0"/>
              <w:divBdr>
                <w:top w:val="none" w:sz="0" w:space="0" w:color="auto"/>
                <w:left w:val="none" w:sz="0" w:space="0" w:color="auto"/>
                <w:bottom w:val="none" w:sz="0" w:space="0" w:color="auto"/>
                <w:right w:val="none" w:sz="0" w:space="0" w:color="auto"/>
              </w:divBdr>
            </w:div>
            <w:div w:id="1524317937">
              <w:marLeft w:val="0"/>
              <w:marRight w:val="0"/>
              <w:marTop w:val="0"/>
              <w:marBottom w:val="0"/>
              <w:divBdr>
                <w:top w:val="none" w:sz="0" w:space="0" w:color="auto"/>
                <w:left w:val="none" w:sz="0" w:space="0" w:color="auto"/>
                <w:bottom w:val="none" w:sz="0" w:space="0" w:color="auto"/>
                <w:right w:val="none" w:sz="0" w:space="0" w:color="auto"/>
              </w:divBdr>
            </w:div>
            <w:div w:id="1899238793">
              <w:marLeft w:val="0"/>
              <w:marRight w:val="0"/>
              <w:marTop w:val="0"/>
              <w:marBottom w:val="0"/>
              <w:divBdr>
                <w:top w:val="none" w:sz="0" w:space="0" w:color="auto"/>
                <w:left w:val="none" w:sz="0" w:space="0" w:color="auto"/>
                <w:bottom w:val="none" w:sz="0" w:space="0" w:color="auto"/>
                <w:right w:val="none" w:sz="0" w:space="0" w:color="auto"/>
              </w:divBdr>
            </w:div>
          </w:divsChild>
        </w:div>
        <w:div w:id="388847833">
          <w:marLeft w:val="0"/>
          <w:marRight w:val="0"/>
          <w:marTop w:val="0"/>
          <w:marBottom w:val="0"/>
          <w:divBdr>
            <w:top w:val="none" w:sz="0" w:space="0" w:color="auto"/>
            <w:left w:val="none" w:sz="0" w:space="0" w:color="auto"/>
            <w:bottom w:val="none" w:sz="0" w:space="0" w:color="auto"/>
            <w:right w:val="none" w:sz="0" w:space="0" w:color="auto"/>
          </w:divBdr>
        </w:div>
        <w:div w:id="486089545">
          <w:marLeft w:val="0"/>
          <w:marRight w:val="0"/>
          <w:marTop w:val="0"/>
          <w:marBottom w:val="0"/>
          <w:divBdr>
            <w:top w:val="none" w:sz="0" w:space="0" w:color="auto"/>
            <w:left w:val="none" w:sz="0" w:space="0" w:color="auto"/>
            <w:bottom w:val="none" w:sz="0" w:space="0" w:color="auto"/>
            <w:right w:val="none" w:sz="0" w:space="0" w:color="auto"/>
          </w:divBdr>
        </w:div>
        <w:div w:id="493304632">
          <w:marLeft w:val="0"/>
          <w:marRight w:val="0"/>
          <w:marTop w:val="0"/>
          <w:marBottom w:val="0"/>
          <w:divBdr>
            <w:top w:val="none" w:sz="0" w:space="0" w:color="auto"/>
            <w:left w:val="none" w:sz="0" w:space="0" w:color="auto"/>
            <w:bottom w:val="none" w:sz="0" w:space="0" w:color="auto"/>
            <w:right w:val="none" w:sz="0" w:space="0" w:color="auto"/>
          </w:divBdr>
        </w:div>
        <w:div w:id="629289734">
          <w:marLeft w:val="0"/>
          <w:marRight w:val="0"/>
          <w:marTop w:val="0"/>
          <w:marBottom w:val="0"/>
          <w:divBdr>
            <w:top w:val="none" w:sz="0" w:space="0" w:color="auto"/>
            <w:left w:val="none" w:sz="0" w:space="0" w:color="auto"/>
            <w:bottom w:val="none" w:sz="0" w:space="0" w:color="auto"/>
            <w:right w:val="none" w:sz="0" w:space="0" w:color="auto"/>
          </w:divBdr>
        </w:div>
        <w:div w:id="713234759">
          <w:marLeft w:val="0"/>
          <w:marRight w:val="0"/>
          <w:marTop w:val="0"/>
          <w:marBottom w:val="0"/>
          <w:divBdr>
            <w:top w:val="none" w:sz="0" w:space="0" w:color="auto"/>
            <w:left w:val="none" w:sz="0" w:space="0" w:color="auto"/>
            <w:bottom w:val="none" w:sz="0" w:space="0" w:color="auto"/>
            <w:right w:val="none" w:sz="0" w:space="0" w:color="auto"/>
          </w:divBdr>
        </w:div>
        <w:div w:id="946738304">
          <w:marLeft w:val="0"/>
          <w:marRight w:val="0"/>
          <w:marTop w:val="0"/>
          <w:marBottom w:val="0"/>
          <w:divBdr>
            <w:top w:val="none" w:sz="0" w:space="0" w:color="auto"/>
            <w:left w:val="none" w:sz="0" w:space="0" w:color="auto"/>
            <w:bottom w:val="none" w:sz="0" w:space="0" w:color="auto"/>
            <w:right w:val="none" w:sz="0" w:space="0" w:color="auto"/>
          </w:divBdr>
        </w:div>
        <w:div w:id="1166094964">
          <w:marLeft w:val="0"/>
          <w:marRight w:val="0"/>
          <w:marTop w:val="0"/>
          <w:marBottom w:val="0"/>
          <w:divBdr>
            <w:top w:val="none" w:sz="0" w:space="0" w:color="auto"/>
            <w:left w:val="none" w:sz="0" w:space="0" w:color="auto"/>
            <w:bottom w:val="none" w:sz="0" w:space="0" w:color="auto"/>
            <w:right w:val="none" w:sz="0" w:space="0" w:color="auto"/>
          </w:divBdr>
          <w:divsChild>
            <w:div w:id="583881760">
              <w:marLeft w:val="0"/>
              <w:marRight w:val="0"/>
              <w:marTop w:val="0"/>
              <w:marBottom w:val="0"/>
              <w:divBdr>
                <w:top w:val="none" w:sz="0" w:space="0" w:color="auto"/>
                <w:left w:val="none" w:sz="0" w:space="0" w:color="auto"/>
                <w:bottom w:val="none" w:sz="0" w:space="0" w:color="auto"/>
                <w:right w:val="none" w:sz="0" w:space="0" w:color="auto"/>
              </w:divBdr>
            </w:div>
            <w:div w:id="894007081">
              <w:marLeft w:val="0"/>
              <w:marRight w:val="0"/>
              <w:marTop w:val="0"/>
              <w:marBottom w:val="0"/>
              <w:divBdr>
                <w:top w:val="none" w:sz="0" w:space="0" w:color="auto"/>
                <w:left w:val="none" w:sz="0" w:space="0" w:color="auto"/>
                <w:bottom w:val="none" w:sz="0" w:space="0" w:color="auto"/>
                <w:right w:val="none" w:sz="0" w:space="0" w:color="auto"/>
              </w:divBdr>
            </w:div>
            <w:div w:id="1217352471">
              <w:marLeft w:val="0"/>
              <w:marRight w:val="0"/>
              <w:marTop w:val="0"/>
              <w:marBottom w:val="0"/>
              <w:divBdr>
                <w:top w:val="none" w:sz="0" w:space="0" w:color="auto"/>
                <w:left w:val="none" w:sz="0" w:space="0" w:color="auto"/>
                <w:bottom w:val="none" w:sz="0" w:space="0" w:color="auto"/>
                <w:right w:val="none" w:sz="0" w:space="0" w:color="auto"/>
              </w:divBdr>
            </w:div>
            <w:div w:id="1684356526">
              <w:marLeft w:val="0"/>
              <w:marRight w:val="0"/>
              <w:marTop w:val="0"/>
              <w:marBottom w:val="0"/>
              <w:divBdr>
                <w:top w:val="none" w:sz="0" w:space="0" w:color="auto"/>
                <w:left w:val="none" w:sz="0" w:space="0" w:color="auto"/>
                <w:bottom w:val="none" w:sz="0" w:space="0" w:color="auto"/>
                <w:right w:val="none" w:sz="0" w:space="0" w:color="auto"/>
              </w:divBdr>
            </w:div>
            <w:div w:id="1751266681">
              <w:marLeft w:val="0"/>
              <w:marRight w:val="0"/>
              <w:marTop w:val="0"/>
              <w:marBottom w:val="0"/>
              <w:divBdr>
                <w:top w:val="none" w:sz="0" w:space="0" w:color="auto"/>
                <w:left w:val="none" w:sz="0" w:space="0" w:color="auto"/>
                <w:bottom w:val="none" w:sz="0" w:space="0" w:color="auto"/>
                <w:right w:val="none" w:sz="0" w:space="0" w:color="auto"/>
              </w:divBdr>
            </w:div>
          </w:divsChild>
        </w:div>
        <w:div w:id="1214463898">
          <w:marLeft w:val="0"/>
          <w:marRight w:val="0"/>
          <w:marTop w:val="0"/>
          <w:marBottom w:val="0"/>
          <w:divBdr>
            <w:top w:val="none" w:sz="0" w:space="0" w:color="auto"/>
            <w:left w:val="none" w:sz="0" w:space="0" w:color="auto"/>
            <w:bottom w:val="none" w:sz="0" w:space="0" w:color="auto"/>
            <w:right w:val="none" w:sz="0" w:space="0" w:color="auto"/>
          </w:divBdr>
          <w:divsChild>
            <w:div w:id="789472192">
              <w:marLeft w:val="0"/>
              <w:marRight w:val="0"/>
              <w:marTop w:val="0"/>
              <w:marBottom w:val="0"/>
              <w:divBdr>
                <w:top w:val="none" w:sz="0" w:space="0" w:color="auto"/>
                <w:left w:val="none" w:sz="0" w:space="0" w:color="auto"/>
                <w:bottom w:val="none" w:sz="0" w:space="0" w:color="auto"/>
                <w:right w:val="none" w:sz="0" w:space="0" w:color="auto"/>
              </w:divBdr>
            </w:div>
            <w:div w:id="1450588640">
              <w:marLeft w:val="0"/>
              <w:marRight w:val="0"/>
              <w:marTop w:val="0"/>
              <w:marBottom w:val="0"/>
              <w:divBdr>
                <w:top w:val="none" w:sz="0" w:space="0" w:color="auto"/>
                <w:left w:val="none" w:sz="0" w:space="0" w:color="auto"/>
                <w:bottom w:val="none" w:sz="0" w:space="0" w:color="auto"/>
                <w:right w:val="none" w:sz="0" w:space="0" w:color="auto"/>
              </w:divBdr>
            </w:div>
            <w:div w:id="1518035933">
              <w:marLeft w:val="0"/>
              <w:marRight w:val="0"/>
              <w:marTop w:val="0"/>
              <w:marBottom w:val="0"/>
              <w:divBdr>
                <w:top w:val="none" w:sz="0" w:space="0" w:color="auto"/>
                <w:left w:val="none" w:sz="0" w:space="0" w:color="auto"/>
                <w:bottom w:val="none" w:sz="0" w:space="0" w:color="auto"/>
                <w:right w:val="none" w:sz="0" w:space="0" w:color="auto"/>
              </w:divBdr>
            </w:div>
            <w:div w:id="1660813707">
              <w:marLeft w:val="0"/>
              <w:marRight w:val="0"/>
              <w:marTop w:val="0"/>
              <w:marBottom w:val="0"/>
              <w:divBdr>
                <w:top w:val="none" w:sz="0" w:space="0" w:color="auto"/>
                <w:left w:val="none" w:sz="0" w:space="0" w:color="auto"/>
                <w:bottom w:val="none" w:sz="0" w:space="0" w:color="auto"/>
                <w:right w:val="none" w:sz="0" w:space="0" w:color="auto"/>
              </w:divBdr>
            </w:div>
            <w:div w:id="1966736781">
              <w:marLeft w:val="0"/>
              <w:marRight w:val="0"/>
              <w:marTop w:val="0"/>
              <w:marBottom w:val="0"/>
              <w:divBdr>
                <w:top w:val="none" w:sz="0" w:space="0" w:color="auto"/>
                <w:left w:val="none" w:sz="0" w:space="0" w:color="auto"/>
                <w:bottom w:val="none" w:sz="0" w:space="0" w:color="auto"/>
                <w:right w:val="none" w:sz="0" w:space="0" w:color="auto"/>
              </w:divBdr>
            </w:div>
          </w:divsChild>
        </w:div>
        <w:div w:id="1290549927">
          <w:marLeft w:val="0"/>
          <w:marRight w:val="0"/>
          <w:marTop w:val="0"/>
          <w:marBottom w:val="0"/>
          <w:divBdr>
            <w:top w:val="none" w:sz="0" w:space="0" w:color="auto"/>
            <w:left w:val="none" w:sz="0" w:space="0" w:color="auto"/>
            <w:bottom w:val="none" w:sz="0" w:space="0" w:color="auto"/>
            <w:right w:val="none" w:sz="0" w:space="0" w:color="auto"/>
          </w:divBdr>
        </w:div>
        <w:div w:id="1417436156">
          <w:marLeft w:val="0"/>
          <w:marRight w:val="0"/>
          <w:marTop w:val="0"/>
          <w:marBottom w:val="0"/>
          <w:divBdr>
            <w:top w:val="none" w:sz="0" w:space="0" w:color="auto"/>
            <w:left w:val="none" w:sz="0" w:space="0" w:color="auto"/>
            <w:bottom w:val="none" w:sz="0" w:space="0" w:color="auto"/>
            <w:right w:val="none" w:sz="0" w:space="0" w:color="auto"/>
          </w:divBdr>
        </w:div>
        <w:div w:id="1515148165">
          <w:marLeft w:val="0"/>
          <w:marRight w:val="0"/>
          <w:marTop w:val="0"/>
          <w:marBottom w:val="0"/>
          <w:divBdr>
            <w:top w:val="none" w:sz="0" w:space="0" w:color="auto"/>
            <w:left w:val="none" w:sz="0" w:space="0" w:color="auto"/>
            <w:bottom w:val="none" w:sz="0" w:space="0" w:color="auto"/>
            <w:right w:val="none" w:sz="0" w:space="0" w:color="auto"/>
          </w:divBdr>
          <w:divsChild>
            <w:div w:id="470513962">
              <w:marLeft w:val="0"/>
              <w:marRight w:val="0"/>
              <w:marTop w:val="0"/>
              <w:marBottom w:val="0"/>
              <w:divBdr>
                <w:top w:val="none" w:sz="0" w:space="0" w:color="auto"/>
                <w:left w:val="none" w:sz="0" w:space="0" w:color="auto"/>
                <w:bottom w:val="none" w:sz="0" w:space="0" w:color="auto"/>
                <w:right w:val="none" w:sz="0" w:space="0" w:color="auto"/>
              </w:divBdr>
            </w:div>
            <w:div w:id="537401445">
              <w:marLeft w:val="0"/>
              <w:marRight w:val="0"/>
              <w:marTop w:val="0"/>
              <w:marBottom w:val="0"/>
              <w:divBdr>
                <w:top w:val="none" w:sz="0" w:space="0" w:color="auto"/>
                <w:left w:val="none" w:sz="0" w:space="0" w:color="auto"/>
                <w:bottom w:val="none" w:sz="0" w:space="0" w:color="auto"/>
                <w:right w:val="none" w:sz="0" w:space="0" w:color="auto"/>
              </w:divBdr>
            </w:div>
            <w:div w:id="1043215741">
              <w:marLeft w:val="0"/>
              <w:marRight w:val="0"/>
              <w:marTop w:val="0"/>
              <w:marBottom w:val="0"/>
              <w:divBdr>
                <w:top w:val="none" w:sz="0" w:space="0" w:color="auto"/>
                <w:left w:val="none" w:sz="0" w:space="0" w:color="auto"/>
                <w:bottom w:val="none" w:sz="0" w:space="0" w:color="auto"/>
                <w:right w:val="none" w:sz="0" w:space="0" w:color="auto"/>
              </w:divBdr>
            </w:div>
            <w:div w:id="1065833491">
              <w:marLeft w:val="0"/>
              <w:marRight w:val="0"/>
              <w:marTop w:val="0"/>
              <w:marBottom w:val="0"/>
              <w:divBdr>
                <w:top w:val="none" w:sz="0" w:space="0" w:color="auto"/>
                <w:left w:val="none" w:sz="0" w:space="0" w:color="auto"/>
                <w:bottom w:val="none" w:sz="0" w:space="0" w:color="auto"/>
                <w:right w:val="none" w:sz="0" w:space="0" w:color="auto"/>
              </w:divBdr>
            </w:div>
            <w:div w:id="2005623753">
              <w:marLeft w:val="0"/>
              <w:marRight w:val="0"/>
              <w:marTop w:val="0"/>
              <w:marBottom w:val="0"/>
              <w:divBdr>
                <w:top w:val="none" w:sz="0" w:space="0" w:color="auto"/>
                <w:left w:val="none" w:sz="0" w:space="0" w:color="auto"/>
                <w:bottom w:val="none" w:sz="0" w:space="0" w:color="auto"/>
                <w:right w:val="none" w:sz="0" w:space="0" w:color="auto"/>
              </w:divBdr>
            </w:div>
          </w:divsChild>
        </w:div>
        <w:div w:id="1534152026">
          <w:marLeft w:val="0"/>
          <w:marRight w:val="0"/>
          <w:marTop w:val="0"/>
          <w:marBottom w:val="0"/>
          <w:divBdr>
            <w:top w:val="none" w:sz="0" w:space="0" w:color="auto"/>
            <w:left w:val="none" w:sz="0" w:space="0" w:color="auto"/>
            <w:bottom w:val="none" w:sz="0" w:space="0" w:color="auto"/>
            <w:right w:val="none" w:sz="0" w:space="0" w:color="auto"/>
          </w:divBdr>
        </w:div>
        <w:div w:id="1729526959">
          <w:marLeft w:val="0"/>
          <w:marRight w:val="0"/>
          <w:marTop w:val="0"/>
          <w:marBottom w:val="0"/>
          <w:divBdr>
            <w:top w:val="none" w:sz="0" w:space="0" w:color="auto"/>
            <w:left w:val="none" w:sz="0" w:space="0" w:color="auto"/>
            <w:bottom w:val="none" w:sz="0" w:space="0" w:color="auto"/>
            <w:right w:val="none" w:sz="0" w:space="0" w:color="auto"/>
          </w:divBdr>
          <w:divsChild>
            <w:div w:id="180239233">
              <w:marLeft w:val="0"/>
              <w:marRight w:val="0"/>
              <w:marTop w:val="0"/>
              <w:marBottom w:val="0"/>
              <w:divBdr>
                <w:top w:val="none" w:sz="0" w:space="0" w:color="auto"/>
                <w:left w:val="none" w:sz="0" w:space="0" w:color="auto"/>
                <w:bottom w:val="none" w:sz="0" w:space="0" w:color="auto"/>
                <w:right w:val="none" w:sz="0" w:space="0" w:color="auto"/>
              </w:divBdr>
            </w:div>
            <w:div w:id="580140134">
              <w:marLeft w:val="0"/>
              <w:marRight w:val="0"/>
              <w:marTop w:val="0"/>
              <w:marBottom w:val="0"/>
              <w:divBdr>
                <w:top w:val="none" w:sz="0" w:space="0" w:color="auto"/>
                <w:left w:val="none" w:sz="0" w:space="0" w:color="auto"/>
                <w:bottom w:val="none" w:sz="0" w:space="0" w:color="auto"/>
                <w:right w:val="none" w:sz="0" w:space="0" w:color="auto"/>
              </w:divBdr>
            </w:div>
            <w:div w:id="821115782">
              <w:marLeft w:val="0"/>
              <w:marRight w:val="0"/>
              <w:marTop w:val="0"/>
              <w:marBottom w:val="0"/>
              <w:divBdr>
                <w:top w:val="none" w:sz="0" w:space="0" w:color="auto"/>
                <w:left w:val="none" w:sz="0" w:space="0" w:color="auto"/>
                <w:bottom w:val="none" w:sz="0" w:space="0" w:color="auto"/>
                <w:right w:val="none" w:sz="0" w:space="0" w:color="auto"/>
              </w:divBdr>
            </w:div>
            <w:div w:id="1472553621">
              <w:marLeft w:val="0"/>
              <w:marRight w:val="0"/>
              <w:marTop w:val="0"/>
              <w:marBottom w:val="0"/>
              <w:divBdr>
                <w:top w:val="none" w:sz="0" w:space="0" w:color="auto"/>
                <w:left w:val="none" w:sz="0" w:space="0" w:color="auto"/>
                <w:bottom w:val="none" w:sz="0" w:space="0" w:color="auto"/>
                <w:right w:val="none" w:sz="0" w:space="0" w:color="auto"/>
              </w:divBdr>
            </w:div>
            <w:div w:id="2127314786">
              <w:marLeft w:val="0"/>
              <w:marRight w:val="0"/>
              <w:marTop w:val="0"/>
              <w:marBottom w:val="0"/>
              <w:divBdr>
                <w:top w:val="none" w:sz="0" w:space="0" w:color="auto"/>
                <w:left w:val="none" w:sz="0" w:space="0" w:color="auto"/>
                <w:bottom w:val="none" w:sz="0" w:space="0" w:color="auto"/>
                <w:right w:val="none" w:sz="0" w:space="0" w:color="auto"/>
              </w:divBdr>
            </w:div>
          </w:divsChild>
        </w:div>
        <w:div w:id="2032341204">
          <w:marLeft w:val="0"/>
          <w:marRight w:val="0"/>
          <w:marTop w:val="0"/>
          <w:marBottom w:val="0"/>
          <w:divBdr>
            <w:top w:val="none" w:sz="0" w:space="0" w:color="auto"/>
            <w:left w:val="none" w:sz="0" w:space="0" w:color="auto"/>
            <w:bottom w:val="none" w:sz="0" w:space="0" w:color="auto"/>
            <w:right w:val="none" w:sz="0" w:space="0" w:color="auto"/>
          </w:divBdr>
          <w:divsChild>
            <w:div w:id="42413387">
              <w:marLeft w:val="0"/>
              <w:marRight w:val="0"/>
              <w:marTop w:val="0"/>
              <w:marBottom w:val="0"/>
              <w:divBdr>
                <w:top w:val="none" w:sz="0" w:space="0" w:color="auto"/>
                <w:left w:val="none" w:sz="0" w:space="0" w:color="auto"/>
                <w:bottom w:val="none" w:sz="0" w:space="0" w:color="auto"/>
                <w:right w:val="none" w:sz="0" w:space="0" w:color="auto"/>
              </w:divBdr>
            </w:div>
            <w:div w:id="281154932">
              <w:marLeft w:val="0"/>
              <w:marRight w:val="0"/>
              <w:marTop w:val="0"/>
              <w:marBottom w:val="0"/>
              <w:divBdr>
                <w:top w:val="none" w:sz="0" w:space="0" w:color="auto"/>
                <w:left w:val="none" w:sz="0" w:space="0" w:color="auto"/>
                <w:bottom w:val="none" w:sz="0" w:space="0" w:color="auto"/>
                <w:right w:val="none" w:sz="0" w:space="0" w:color="auto"/>
              </w:divBdr>
            </w:div>
            <w:div w:id="536164764">
              <w:marLeft w:val="0"/>
              <w:marRight w:val="0"/>
              <w:marTop w:val="0"/>
              <w:marBottom w:val="0"/>
              <w:divBdr>
                <w:top w:val="none" w:sz="0" w:space="0" w:color="auto"/>
                <w:left w:val="none" w:sz="0" w:space="0" w:color="auto"/>
                <w:bottom w:val="none" w:sz="0" w:space="0" w:color="auto"/>
                <w:right w:val="none" w:sz="0" w:space="0" w:color="auto"/>
              </w:divBdr>
            </w:div>
            <w:div w:id="979115860">
              <w:marLeft w:val="0"/>
              <w:marRight w:val="0"/>
              <w:marTop w:val="0"/>
              <w:marBottom w:val="0"/>
              <w:divBdr>
                <w:top w:val="none" w:sz="0" w:space="0" w:color="auto"/>
                <w:left w:val="none" w:sz="0" w:space="0" w:color="auto"/>
                <w:bottom w:val="none" w:sz="0" w:space="0" w:color="auto"/>
                <w:right w:val="none" w:sz="0" w:space="0" w:color="auto"/>
              </w:divBdr>
            </w:div>
            <w:div w:id="2017003277">
              <w:marLeft w:val="0"/>
              <w:marRight w:val="0"/>
              <w:marTop w:val="0"/>
              <w:marBottom w:val="0"/>
              <w:divBdr>
                <w:top w:val="none" w:sz="0" w:space="0" w:color="auto"/>
                <w:left w:val="none" w:sz="0" w:space="0" w:color="auto"/>
                <w:bottom w:val="none" w:sz="0" w:space="0" w:color="auto"/>
                <w:right w:val="none" w:sz="0" w:space="0" w:color="auto"/>
              </w:divBdr>
            </w:div>
          </w:divsChild>
        </w:div>
        <w:div w:id="2092046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hsbsa.nhs.uk/sites/default/files/2020-03/SSP%20Fluoxetine%2010mg%20tablets%20final%20-%20signed.pdf" TargetMode="External"/><Relationship Id="rId21" Type="http://schemas.openxmlformats.org/officeDocument/2006/relationships/hyperlink" Target="https://www.nhsbsa.nhs.uk/pharmacies-gp-practices-and-appliance-contractors/drug-tariff" TargetMode="External"/><Relationship Id="rId42" Type="http://schemas.openxmlformats.org/officeDocument/2006/relationships/hyperlink" Target="https://psnc.org.uk/services-commissioning/advanced-services/hep-c/" TargetMode="External"/><Relationship Id="rId47" Type="http://schemas.openxmlformats.org/officeDocument/2006/relationships/hyperlink" Target="https://psnc.org.uk/dispensing-supply/endorsement/discount-deduction/notice-of-changes-to-discount-not-deducted-dnd-status-of-products/" TargetMode="External"/><Relationship Id="rId63" Type="http://schemas.openxmlformats.org/officeDocument/2006/relationships/hyperlink" Target="https://psnc.org.uk/our-news/medicine-supply-notification-flixotide-fluticasone-propionate-100-microgram-accuhaler/" TargetMode="External"/><Relationship Id="rId68" Type="http://schemas.openxmlformats.org/officeDocument/2006/relationships/hyperlink" Target="https://psnc.org.uk/our-news/may-cpn-magazine-published/" TargetMode="External"/><Relationship Id="rId84" Type="http://schemas.openxmlformats.org/officeDocument/2006/relationships/hyperlink" Target="https://psnc.org.uk/wp-content/uploads/2020/04/April-2020-CPN.pdf" TargetMode="External"/><Relationship Id="rId89" Type="http://schemas.openxmlformats.org/officeDocument/2006/relationships/image" Target="media/image4.png"/><Relationship Id="rId16" Type="http://schemas.openxmlformats.org/officeDocument/2006/relationships/hyperlink" Target="https://psnc.org.uk/wp-content/uploads/2021/02/EPS-token-ordering-and-escalation-factsheet-.pdf" TargetMode="External"/><Relationship Id="rId11" Type="http://schemas.openxmlformats.org/officeDocument/2006/relationships/hyperlink" Target="https://www.nhsbsa.nhs.uk/pharmacies-gp-practices-and-appliance-contractors/dispensing-contractors-information/manage-your-service-mys" TargetMode="External"/><Relationship Id="rId32" Type="http://schemas.openxmlformats.org/officeDocument/2006/relationships/hyperlink" Target="https://psnc.org.uk/our-news/it-group-progresses-workstreams-at-its-quarterly-meeting/" TargetMode="External"/><Relationship Id="rId37" Type="http://schemas.openxmlformats.org/officeDocument/2006/relationships/hyperlink" Target="https://psnc.org.uk/services-commissioning/advanced-services/c-19-lateral-flow-device-distribution-service/" TargetMode="External"/><Relationship Id="rId53" Type="http://schemas.openxmlformats.org/officeDocument/2006/relationships/hyperlink" Target="https://psnc.org.uk/our-news/medicine-supply-notification-catapres-clonidine-100microgram-tablets/" TargetMode="External"/><Relationship Id="rId58" Type="http://schemas.openxmlformats.org/officeDocument/2006/relationships/hyperlink" Target="https://psnc.org.uk/our-news/supply-disruption-affecting-champix-varenicline-tablets-pfizer/" TargetMode="External"/><Relationship Id="rId74" Type="http://schemas.openxmlformats.org/officeDocument/2006/relationships/hyperlink" Target="https://psnc.org.uk/wp-content/uploads/2021/03/CPN_0221_Dispensing-Factsheet-Dispensing-prescriptions-for-Controlled-Drugs.pdf" TargetMode="External"/><Relationship Id="rId79" Type="http://schemas.openxmlformats.org/officeDocument/2006/relationships/hyperlink" Target="https://psnc.org.uk/wp-content/uploads/2020/11/Rechecks-Factsheet-002.pdf" TargetMode="External"/><Relationship Id="rId5" Type="http://schemas.openxmlformats.org/officeDocument/2006/relationships/styles" Target="styles.xml"/><Relationship Id="rId90" Type="http://schemas.openxmlformats.org/officeDocument/2006/relationships/image" Target="media/image5.png"/><Relationship Id="rId95" Type="http://schemas.openxmlformats.org/officeDocument/2006/relationships/image" Target="media/image10.png"/><Relationship Id="rId22" Type="http://schemas.openxmlformats.org/officeDocument/2006/relationships/hyperlink" Target="https://www.nhsbsa.nhs.uk/pharmacies-gp-practices-and-appliance-contractors/drug-tariff/drug-tariff-part-viii" TargetMode="External"/><Relationship Id="rId27" Type="http://schemas.openxmlformats.org/officeDocument/2006/relationships/hyperlink" Target="https://psnc.org.uk/dispensing-supply/supply-chain/live-ssps/" TargetMode="External"/><Relationship Id="rId43" Type="http://schemas.openxmlformats.org/officeDocument/2006/relationships/hyperlink" Target="https://www.nhsbsa.nhs.uk/pharmacies-gp-practices-and-appliance-contractors/dispensing-contractors-information/pharmaceutical-services-provider-assurance/reimbursement-covid-19-costs" TargetMode="External"/><Relationship Id="rId48" Type="http://schemas.openxmlformats.org/officeDocument/2006/relationships/hyperlink" Target="https://psnc.org.uk/our-news/supply-disruption-alert-glipizide-minodiab-5mg-tablets/" TargetMode="External"/><Relationship Id="rId64" Type="http://schemas.openxmlformats.org/officeDocument/2006/relationships/hyperlink" Target="https://psnc.org.uk/our-news/medicine-supply-notification-fluoxetine-30mg-capsules-advanz/" TargetMode="External"/><Relationship Id="rId69" Type="http://schemas.openxmlformats.org/officeDocument/2006/relationships/hyperlink" Target="https://psnc.us7.list-manage.com/track/click?u=86d41ab7fa4c7c2c5d7210782&amp;id=0df9047a7e&amp;e=a14d94e535" TargetMode="External"/><Relationship Id="rId80" Type="http://schemas.openxmlformats.org/officeDocument/2006/relationships/hyperlink" Target="https://psnc.org.uk/wp-content/uploads/2020/09/Prescription-exemptions-factsheet.pdf" TargetMode="External"/><Relationship Id="rId85" Type="http://schemas.openxmlformats.org/officeDocument/2006/relationships/hyperlink" Target="https://psnc.org.uk/wp-content/uploads/2020/11/Prescription-endorsements-factsheet.pdf" TargetMode="External"/><Relationship Id="rId3" Type="http://schemas.openxmlformats.org/officeDocument/2006/relationships/customXml" Target="../customXml/item3.xml"/><Relationship Id="rId12" Type="http://schemas.openxmlformats.org/officeDocument/2006/relationships/hyperlink" Target="https://www.nhsbsa.nhs.uk/pharmacy-earlier-payment-scheme-peps-announcement-dhsc-26-august-2021" TargetMode="External"/><Relationship Id="rId17" Type="http://schemas.openxmlformats.org/officeDocument/2006/relationships/hyperlink" Target="https://psnc.org.uk/our-news/end-to-temporary-suspension-of-signatures-on-prescription-forms-and-token-submission-requirements/" TargetMode="External"/><Relationship Id="rId25" Type="http://schemas.openxmlformats.org/officeDocument/2006/relationships/hyperlink" Target="https://psnc.org.uk/our-news/contractor-notice-ssp-endorsement-errors-2/" TargetMode="External"/><Relationship Id="rId33" Type="http://schemas.openxmlformats.org/officeDocument/2006/relationships/hyperlink" Target="https://psnc.org.uk/dispensing-supply/eps/electronic-prescription-service-eps-sitemap/real-time-exemption-checking-rtec/" TargetMode="External"/><Relationship Id="rId38" Type="http://schemas.openxmlformats.org/officeDocument/2006/relationships/hyperlink" Target="https://psnc.org.uk/the-healthcare-landscape/covid19/pandemic-delivery-service/" TargetMode="External"/><Relationship Id="rId46" Type="http://schemas.openxmlformats.org/officeDocument/2006/relationships/hyperlink" Target="https://psnc.org.uk/dispensing-supply/dispensing-a-prescription/special-containers/special-containers-notice-of-change-to-product-special-container-status/" TargetMode="External"/><Relationship Id="rId59" Type="http://schemas.openxmlformats.org/officeDocument/2006/relationships/hyperlink" Target="https://psnc.org.uk/our-news/medicine-supply-notification-kolanticon-gel-2-5mg-dicycloverine-hydrochloride-200mg-aluminium-hydroxide-100mg-light-magnesium-oxide-20mg-simethicone-per-5ml/" TargetMode="External"/><Relationship Id="rId67" Type="http://schemas.openxmlformats.org/officeDocument/2006/relationships/hyperlink" Target="https://view6.workcast.net/?cpak=6496242485766111&amp;pak=2288538569801742" TargetMode="External"/><Relationship Id="rId20" Type="http://schemas.openxmlformats.org/officeDocument/2006/relationships/hyperlink" Target="https://psnc.org.uk/our-news/inclisiran-leqvio-added-to-a-new-section-in-the-drug-tariff-part-viiic/" TargetMode="External"/><Relationship Id="rId41" Type="http://schemas.openxmlformats.org/officeDocument/2006/relationships/hyperlink" Target="https://psnc.org.uk/the-healthcare-landscape/covid19/covid-19-vaccinations/" TargetMode="External"/><Relationship Id="rId54" Type="http://schemas.openxmlformats.org/officeDocument/2006/relationships/hyperlink" Target="https://psnc.org.uk/our-news/medicine-supply-notification-locorten-vioform-flumetasone-clioquinol-0-02-w-v-1-w-v-ear-drops-solution/" TargetMode="External"/><Relationship Id="rId62" Type="http://schemas.openxmlformats.org/officeDocument/2006/relationships/hyperlink" Target="https://psnc.org.uk/our-news/medicine-supply-notification-alliance-calcium-syrup-calcium-gluconate-544mg-5ml-calcium-lactate-276mg-5ml-oral-solution/" TargetMode="External"/><Relationship Id="rId70" Type="http://schemas.openxmlformats.org/officeDocument/2006/relationships/hyperlink" Target="https://psnc.org.uk/wp-content/uploads/2021/06/Factsheet-Understanding-Prescription-Returns.pdf" TargetMode="External"/><Relationship Id="rId75" Type="http://schemas.openxmlformats.org/officeDocument/2006/relationships/hyperlink" Target="https://psnc.org.uk/wp-content/uploads/2021/02/Dispensing-Factsheet-Disallowed-items.pdf" TargetMode="External"/><Relationship Id="rId83" Type="http://schemas.openxmlformats.org/officeDocument/2006/relationships/hyperlink" Target="https://psnc.org.uk/wp-content/uploads/2020/05/May-2020-CPN.pdf" TargetMode="External"/><Relationship Id="rId88" Type="http://schemas.openxmlformats.org/officeDocument/2006/relationships/image" Target="media/image3.png"/><Relationship Id="rId91" Type="http://schemas.openxmlformats.org/officeDocument/2006/relationships/image" Target="media/image6.emf"/><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psnc.org.uk/wp-content/uploads/2021/08/PSNC-Briefing-032.21.-New-payment-arrangements-for-ALL-contractors-following-end-to-Pharmacy-Earlier-Payment-Scheme-PEPS.pdf" TargetMode="External"/><Relationship Id="rId23" Type="http://schemas.openxmlformats.org/officeDocument/2006/relationships/hyperlink" Target="https://psnc.org.uk/our-news/new-ssp-endorsement-introduced/" TargetMode="External"/><Relationship Id="rId28" Type="http://schemas.openxmlformats.org/officeDocument/2006/relationships/hyperlink" Target="https://www.gov.uk/drug-safety-update/levothyroxine-new-prescribing-advice-for-patients-who-experience-symptoms-on-switching-between-different-levothyroxine-products" TargetMode="External"/><Relationship Id="rId36" Type="http://schemas.openxmlformats.org/officeDocument/2006/relationships/hyperlink" Target="https://psnc.org.uk/services-commissioning/pharmacy-quality-scheme/pqs-2020-21-part-2/" TargetMode="External"/><Relationship Id="rId49" Type="http://schemas.openxmlformats.org/officeDocument/2006/relationships/hyperlink" Target="https://psnc.org.uk/our-news/supply-disruption-alert-tinzaparin-sodium-10000-iu-ml-3500-units-in-0-35-ml-and-4500-units-in-0-45-ml-pre-filled-syringes/" TargetMode="External"/><Relationship Id="rId57" Type="http://schemas.openxmlformats.org/officeDocument/2006/relationships/hyperlink" Target="https://psnc.org.uk/our-news/supply-disruption-alert-dexamethasone-0-1-maxidex-5ml-eye-drops/" TargetMode="External"/><Relationship Id="rId10" Type="http://schemas.openxmlformats.org/officeDocument/2006/relationships/hyperlink" Target="https://www.nhsbsa.nhs.uk/pharmacies-gp-practices-and-appliance-contractors/dispensing-contractors-information/manage-your-service-mys" TargetMode="External"/><Relationship Id="rId31" Type="http://schemas.openxmlformats.org/officeDocument/2006/relationships/hyperlink" Target="https://psnc.org.uk/phase4" TargetMode="External"/><Relationship Id="rId44" Type="http://schemas.openxmlformats.org/officeDocument/2006/relationships/image" Target="media/image1.jpeg"/><Relationship Id="rId52" Type="http://schemas.openxmlformats.org/officeDocument/2006/relationships/hyperlink" Target="https://psnc.org.uk/our-news/medicine-supply-notification-nexium-esomeprazole-10mg-gastro-resistant-granules-sachets/" TargetMode="External"/><Relationship Id="rId60" Type="http://schemas.openxmlformats.org/officeDocument/2006/relationships/hyperlink" Target="https://psnc.org.uk/our-news/medicine-supply-notification-fluoxetine-olena-20mg-dispersible-sugar-free-tablets/" TargetMode="External"/><Relationship Id="rId65" Type="http://schemas.openxmlformats.org/officeDocument/2006/relationships/hyperlink" Target="https://psnc.org.uk/our-news/medicine-supply-notification-vfend-voriconazole-40mg-ml-powder-for-oral-suspension/" TargetMode="External"/><Relationship Id="rId73" Type="http://schemas.openxmlformats.org/officeDocument/2006/relationships/hyperlink" Target="https://psnc.org.uk/wp-content/uploads/2021/05/Expensive-items-factsheet.pdf" TargetMode="External"/><Relationship Id="rId78" Type="http://schemas.openxmlformats.org/officeDocument/2006/relationships/hyperlink" Target="https://psnc.org.uk/wp-content/uploads/2020/11/Red-Separator-Factsheet.pdf" TargetMode="External"/><Relationship Id="rId81" Type="http://schemas.openxmlformats.org/officeDocument/2006/relationships/hyperlink" Target="https://psnc.org.uk/wp-content/uploads/2020/10/FS-endorsement-factsheet.pdf" TargetMode="External"/><Relationship Id="rId86" Type="http://schemas.openxmlformats.org/officeDocument/2006/relationships/hyperlink" Target="https://psnc.org.uk/wp-content/uploads/2020/03/FP10-MDA-Factsheet_CPN_0220.pdf" TargetMode="External"/><Relationship Id="rId94" Type="http://schemas.openxmlformats.org/officeDocument/2006/relationships/image" Target="media/image9.png"/><Relationship Id="rId9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nhsbsa.nhs.uk/pharmacies-gp-practices-and-appliance-contractors/drug-tariff" TargetMode="External"/><Relationship Id="rId18" Type="http://schemas.openxmlformats.org/officeDocument/2006/relationships/hyperlink" Target="https://www.nhsbsa.nhs.uk/pharmacies-gp-practices-and-appliance-contractors/drug-tariff" TargetMode="External"/><Relationship Id="rId39" Type="http://schemas.openxmlformats.org/officeDocument/2006/relationships/hyperlink" Target="https://psnc.org.uk/services-commissioning/advanced-services/community-pharmacist-consultation-service/cpcs-gp-referral-pathway/" TargetMode="External"/><Relationship Id="rId34" Type="http://schemas.openxmlformats.org/officeDocument/2006/relationships/hyperlink" Target="https://psnc.org.uk/our-news/more-than-three-quarters-of-pharmacy-orgs-register-for-rtec/" TargetMode="External"/><Relationship Id="rId50" Type="http://schemas.openxmlformats.org/officeDocument/2006/relationships/hyperlink" Target="https://psnc.org.uk/our-news/medicine-supply-notification-clexane-enoxaparin-pre-filled-syringes/" TargetMode="External"/><Relationship Id="rId55" Type="http://schemas.openxmlformats.org/officeDocument/2006/relationships/hyperlink" Target="https://psnc.org.uk/our-news/medicine-supply-notification-diamorphine-hydrochloride-powder-for-reconstitution-and-injection-5mg-and-10mg-ampoules/" TargetMode="External"/><Relationship Id="rId76" Type="http://schemas.openxmlformats.org/officeDocument/2006/relationships/hyperlink" Target="https://psnc.org.uk/wp-content/uploads/2021/01/Dispensing-Factsheet-Is-this-item-allowed.pdf" TargetMode="External"/><Relationship Id="rId97"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hyperlink" Target="https://psnc.org.uk/wp-content/uploads/2021/05/Dispensing-Factsheet-Multi-charge-Items.pdf" TargetMode="External"/><Relationship Id="rId92" Type="http://schemas.openxmlformats.org/officeDocument/2006/relationships/image" Target="media/image7.png"/><Relationship Id="rId2" Type="http://schemas.openxmlformats.org/officeDocument/2006/relationships/customXml" Target="../customXml/item2.xml"/><Relationship Id="rId29" Type="http://schemas.openxmlformats.org/officeDocument/2006/relationships/hyperlink" Target="https://psnc.org.uk/our-news/levothyroxine-new-prescribing-advice-if-specific-product-required-by-patient/" TargetMode="External"/><Relationship Id="rId24" Type="http://schemas.openxmlformats.org/officeDocument/2006/relationships/hyperlink" Target="https://www.nhsbsa.nhs.uk/pharmacies-gp-practices-and-appliance-contractors/serious-shortage-protocols-ssps" TargetMode="External"/><Relationship Id="rId40" Type="http://schemas.openxmlformats.org/officeDocument/2006/relationships/hyperlink" Target="https://psnc.org.uk/services-commissioning/essential-services/discharge-medicines-service/" TargetMode="External"/><Relationship Id="rId45" Type="http://schemas.openxmlformats.org/officeDocument/2006/relationships/image" Target="media/image2.jpeg"/><Relationship Id="rId66" Type="http://schemas.openxmlformats.org/officeDocument/2006/relationships/hyperlink" Target="https://psnc.org.uk/our-news/medicine-supply-notification-irbesartan-hydrochlorothiazide-150mg-12-5mg-tablets/" TargetMode="External"/><Relationship Id="rId87" Type="http://schemas.openxmlformats.org/officeDocument/2006/relationships/hyperlink" Target="https://psnc.org.uk/wp-content/uploads/2020/11/Changes-to-FP10s-factsheet.pdf" TargetMode="External"/><Relationship Id="rId61" Type="http://schemas.openxmlformats.org/officeDocument/2006/relationships/hyperlink" Target="https://psnc.org.uk/our-news/medicine-supply-notification-dalacin-clindamycin-2-vaginal-cream/" TargetMode="External"/><Relationship Id="rId82" Type="http://schemas.openxmlformats.org/officeDocument/2006/relationships/hyperlink" Target="https://psnc.org.uk/wp-content/uploads/2020/11/Special-containers-factsheet.pdf" TargetMode="External"/><Relationship Id="rId19" Type="http://schemas.openxmlformats.org/officeDocument/2006/relationships/hyperlink" Target="https://services.nhsbsa.nhs.uk/dmd-browser/" TargetMode="External"/><Relationship Id="rId14" Type="http://schemas.openxmlformats.org/officeDocument/2006/relationships/hyperlink" Target="https://psnc.org.uk/our-news/early-advance-payments-for-all-contractors-following-an-end-to-peps/" TargetMode="External"/><Relationship Id="rId30" Type="http://schemas.openxmlformats.org/officeDocument/2006/relationships/hyperlink" Target="https://psnc.org.uk/dispensing-supply/eps/patient-nomination-of-a-dispensing-site/" TargetMode="External"/><Relationship Id="rId35" Type="http://schemas.openxmlformats.org/officeDocument/2006/relationships/hyperlink" Target="https://psnc.org.uk/our-news/covid-19-costs-psnc-reaches-deal-with-hm-government/" TargetMode="External"/><Relationship Id="rId56" Type="http://schemas.openxmlformats.org/officeDocument/2006/relationships/hyperlink" Target="https://psnc.org.uk/our-news/medicine-supply-notification-gentisone-hc-gentamicin-0-3-w-v-and-hydrocortisone-acetate-1-w-v-ear-drops/" TargetMode="External"/><Relationship Id="rId77" Type="http://schemas.openxmlformats.org/officeDocument/2006/relationships/hyperlink" Target="https://psnc.org.uk/wp-content/uploads/2020/11/Appendix1-for-PSNC-Briefing-040.20.pdf" TargetMode="External"/><Relationship Id="rId8" Type="http://schemas.openxmlformats.org/officeDocument/2006/relationships/footnotes" Target="footnotes.xml"/><Relationship Id="rId51" Type="http://schemas.openxmlformats.org/officeDocument/2006/relationships/hyperlink" Target="https://psnc.org.uk/our-news/medicine-supply-notification-trifluoperazine-1mg-5ml-syrup-advanz-pharma/" TargetMode="External"/><Relationship Id="rId72" Type="http://schemas.openxmlformats.org/officeDocument/2006/relationships/hyperlink" Target="https://psnc.org.uk/wp-content/uploads/2021/03/Dispensing-Factsheet-How-to-access-your-Prescription-Item-Reports.pdf" TargetMode="External"/><Relationship Id="rId93" Type="http://schemas.openxmlformats.org/officeDocument/2006/relationships/image" Target="media/image8.png"/><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813DC406C074D9866DD3C8CD8714E" ma:contentTypeVersion="" ma:contentTypeDescription="Create a new document." ma:contentTypeScope="" ma:versionID="52931db4bd64668e2505f73acdc4022e">
  <xsd:schema xmlns:xsd="http://www.w3.org/2001/XMLSchema" xmlns:xs="http://www.w3.org/2001/XMLSchema" xmlns:p="http://schemas.microsoft.com/office/2006/metadata/properties" xmlns:ns2="1c7d3551-5694-4f12-b35a-d9a7a462ea4b" xmlns:ns3="a7f565ec-e60e-44e7-9b81-f866c66cefc4" xmlns:ns4="fb9733ba-e3b0-45a6-a2ff-dbb775586540" targetNamespace="http://schemas.microsoft.com/office/2006/metadata/properties" ma:root="true" ma:fieldsID="a8e471d66ca099da8ce483a53755ad09" ns2:_="" ns3:_="" ns4:_="">
    <xsd:import namespace="1c7d3551-5694-4f12-b35a-d9a7a462ea4b"/>
    <xsd:import namespace="a7f565ec-e60e-44e7-9b81-f866c66cefc4"/>
    <xsd:import namespace="fb9733ba-e3b0-45a6-a2ff-dbb775586540"/>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f565ec-e60e-44e7-9b81-f866c66cefc4"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9733ba-e3b0-45a6-a2ff-dbb77558654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795CCC-C1B5-4645-B821-2CAC1E01779D}"/>
</file>

<file path=customXml/itemProps2.xml><?xml version="1.0" encoding="utf-8"?>
<ds:datastoreItem xmlns:ds="http://schemas.openxmlformats.org/officeDocument/2006/customXml" ds:itemID="{E0E2E7F9-4D9A-4942-95FD-F9B57CD5BA4A}">
  <ds:schemaRefs>
    <ds:schemaRef ds:uri="http://schemas.microsoft.com/sharepoint/v3/contenttype/forms"/>
  </ds:schemaRefs>
</ds:datastoreItem>
</file>

<file path=customXml/itemProps3.xml><?xml version="1.0" encoding="utf-8"?>
<ds:datastoreItem xmlns:ds="http://schemas.openxmlformats.org/officeDocument/2006/customXml" ds:itemID="{83223F16-167A-439C-A492-C327AAAB36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5340</Words>
  <Characters>30442</Characters>
  <Application>Microsoft Office Word</Application>
  <DocSecurity>0</DocSecurity>
  <Lines>253</Lines>
  <Paragraphs>71</Paragraphs>
  <ScaleCrop>false</ScaleCrop>
  <Company/>
  <LinksUpToDate>false</LinksUpToDate>
  <CharactersWithSpaces>35711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Suraj</dc:creator>
  <cp:keywords/>
  <dc:description/>
  <cp:lastModifiedBy>Jack Cresswell</cp:lastModifiedBy>
  <cp:revision>37</cp:revision>
  <dcterms:created xsi:type="dcterms:W3CDTF">2021-05-05T14:46:00Z</dcterms:created>
  <dcterms:modified xsi:type="dcterms:W3CDTF">2021-12-29T13:18:00Z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0x01010006D813DC406C074D9866DD3C8CD8714E</vt:lpwstr>
  </property>
</Properties>
</file>