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B901" w14:textId="784C53E8" w:rsidR="00A5048E" w:rsidRDefault="00D77F94" w:rsidP="00010AD0">
      <w:pPr>
        <w:spacing w:after="0" w:line="240" w:lineRule="auto"/>
        <w:jc w:val="right"/>
        <w:rPr>
          <w:sz w:val="24"/>
          <w:szCs w:val="24"/>
        </w:rPr>
      </w:pPr>
      <w:r>
        <w:rPr>
          <w:noProof/>
          <w:sz w:val="24"/>
          <w:szCs w:val="24"/>
          <w:lang w:eastAsia="en-GB"/>
        </w:rPr>
        <mc:AlternateContent>
          <mc:Choice Requires="wpg">
            <w:drawing>
              <wp:anchor distT="0" distB="0" distL="114300" distR="114300" simplePos="0" relativeHeight="251659263" behindDoc="0" locked="0" layoutInCell="1" allowOverlap="1" wp14:anchorId="233CF94E" wp14:editId="7534EE8A">
                <wp:simplePos x="0" y="0"/>
                <wp:positionH relativeFrom="column">
                  <wp:posOffset>4624448</wp:posOffset>
                </wp:positionH>
                <wp:positionV relativeFrom="paragraph">
                  <wp:posOffset>-2350461</wp:posOffset>
                </wp:positionV>
                <wp:extent cx="3011805" cy="2120265"/>
                <wp:effectExtent l="0" t="0" r="17145" b="13335"/>
                <wp:wrapNone/>
                <wp:docPr id="34" name="Group 34"/>
                <wp:cNvGraphicFramePr/>
                <a:graphic xmlns:a="http://schemas.openxmlformats.org/drawingml/2006/main">
                  <a:graphicData uri="http://schemas.microsoft.com/office/word/2010/wordprocessingGroup">
                    <wpg:wgp>
                      <wpg:cNvGrpSpPr/>
                      <wpg:grpSpPr>
                        <a:xfrm>
                          <a:off x="0" y="0"/>
                          <a:ext cx="3011805" cy="2120265"/>
                          <a:chOff x="0" y="0"/>
                          <a:chExt cx="3011805" cy="2120265"/>
                        </a:xfrm>
                      </wpg:grpSpPr>
                      <wps:wsp>
                        <wps:cNvPr id="35" name="Oval 35"/>
                        <wps:cNvSpPr/>
                        <wps:spPr>
                          <a:xfrm>
                            <a:off x="0" y="0"/>
                            <a:ext cx="3011805" cy="2120265"/>
                          </a:xfrm>
                          <a:prstGeom prst="ellipse">
                            <a:avLst/>
                          </a:prstGeom>
                          <a:solidFill>
                            <a:srgbClr val="65922E"/>
                          </a:solidFill>
                          <a:ln>
                            <a:solidFill>
                              <a:srgbClr val="6592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342198" y="813423"/>
                            <a:ext cx="1839198" cy="740496"/>
                          </a:xfrm>
                          <a:prstGeom prst="rect">
                            <a:avLst/>
                          </a:prstGeom>
                          <a:solidFill>
                            <a:srgbClr val="F2E634">
                              <a:alpha val="0"/>
                            </a:srgbClr>
                          </a:solidFill>
                          <a:ln w="6350">
                            <a:solidFill>
                              <a:srgbClr val="F2E634">
                                <a:alpha val="0"/>
                              </a:srgbClr>
                            </a:solidFill>
                          </a:ln>
                          <a:effectLst/>
                        </wps:spPr>
                        <wps:style>
                          <a:lnRef idx="0">
                            <a:schemeClr val="accent1"/>
                          </a:lnRef>
                          <a:fillRef idx="0">
                            <a:schemeClr val="accent1"/>
                          </a:fillRef>
                          <a:effectRef idx="0">
                            <a:schemeClr val="accent1"/>
                          </a:effectRef>
                          <a:fontRef idx="minor">
                            <a:schemeClr val="dk1"/>
                          </a:fontRef>
                        </wps:style>
                        <wps:txbx>
                          <w:txbxContent>
                            <w:p w14:paraId="39E103DA" w14:textId="77777777" w:rsidR="00D77F94" w:rsidRDefault="00D77F94" w:rsidP="00D77F94">
                              <w:pPr>
                                <w:spacing w:after="0" w:line="240" w:lineRule="auto"/>
                                <w:jc w:val="center"/>
                                <w:rPr>
                                  <w:b/>
                                  <w:color w:val="FFFFFF" w:themeColor="background1"/>
                                  <w:sz w:val="36"/>
                                  <w:szCs w:val="36"/>
                                </w:rPr>
                              </w:pPr>
                              <w:r>
                                <w:rPr>
                                  <w:b/>
                                  <w:color w:val="FFFFFF" w:themeColor="background1"/>
                                  <w:sz w:val="36"/>
                                  <w:szCs w:val="36"/>
                                </w:rPr>
                                <w:t>Dispensing and</w:t>
                              </w:r>
                            </w:p>
                            <w:p w14:paraId="085D89AE" w14:textId="77777777" w:rsidR="00D77F94" w:rsidRPr="00683E56" w:rsidRDefault="00D77F94" w:rsidP="00D77F94">
                              <w:pPr>
                                <w:spacing w:after="0" w:line="240" w:lineRule="auto"/>
                                <w:jc w:val="center"/>
                                <w:rPr>
                                  <w:b/>
                                  <w:color w:val="FFFFFF" w:themeColor="background1"/>
                                  <w:sz w:val="32"/>
                                  <w:szCs w:val="32"/>
                                </w:rPr>
                              </w:pPr>
                              <w:r>
                                <w:rPr>
                                  <w:b/>
                                  <w:color w:val="FFFFFF" w:themeColor="background1"/>
                                  <w:sz w:val="36"/>
                                  <w:szCs w:val="36"/>
                                </w:rPr>
                                <w:t>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3CF94E" id="Group 34" o:spid="_x0000_s1026" style="position:absolute;left:0;text-align:left;margin-left:364.15pt;margin-top:-185.1pt;width:237.15pt;height:166.95pt;z-index:251659263" coordsize="30118,2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">
                <v:oval id="Oval 35" o:spid="_x0000_s1027" style="position:absolute;width:30118;height:21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" fillcolor="#65922e" strokecolor="#65922e" strokeweight="2pt"/>
                <v:shapetype id="_x0000_t202" coordsize="21600,21600" o:spt="202" path="m,l,21600r21600,l21600,xe">
                  <v:stroke joinstyle="miter"/>
                  <v:path gradientshapeok="t" o:connecttype="rect"/>
                </v:shapetype>
                <v:shape id="Text Box 36" o:spid="_x0000_s1028" type="#_x0000_t202" style="position:absolute;left:3421;top:8134;width:18392;height: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" fillcolor="#f2e634" strokecolor="#f2e634" strokeweight=".5pt">
                  <v:fill opacity="0"/>
                  <v:stroke opacity="0"/>
                  <v:textbox>
                    <w:txbxContent>
                      <w:p w14:paraId="39E103DA" w14:textId="77777777" w:rsidR="00D77F94" w:rsidRDefault="00D77F94" w:rsidP="00D77F94">
                        <w:pPr>
                          <w:spacing w:after="0" w:line="240" w:lineRule="auto"/>
                          <w:jc w:val="center"/>
                          <w:rPr>
                            <w:b/>
                            <w:color w:val="FFFFFF" w:themeColor="background1"/>
                            <w:sz w:val="36"/>
                            <w:szCs w:val="36"/>
                          </w:rPr>
                        </w:pPr>
                        <w:r>
                          <w:rPr>
                            <w:b/>
                            <w:color w:val="FFFFFF" w:themeColor="background1"/>
                            <w:sz w:val="36"/>
                            <w:szCs w:val="36"/>
                          </w:rPr>
                          <w:t>Dispensing and</w:t>
                        </w:r>
                      </w:p>
                      <w:p w14:paraId="085D89AE" w14:textId="77777777" w:rsidR="00D77F94" w:rsidRPr="00683E56" w:rsidRDefault="00D77F94" w:rsidP="00D77F94">
                        <w:pPr>
                          <w:spacing w:after="0" w:line="240" w:lineRule="auto"/>
                          <w:jc w:val="center"/>
                          <w:rPr>
                            <w:b/>
                            <w:color w:val="FFFFFF" w:themeColor="background1"/>
                            <w:sz w:val="32"/>
                            <w:szCs w:val="32"/>
                          </w:rPr>
                        </w:pPr>
                        <w:r>
                          <w:rPr>
                            <w:b/>
                            <w:color w:val="FFFFFF" w:themeColor="background1"/>
                            <w:sz w:val="36"/>
                            <w:szCs w:val="36"/>
                          </w:rPr>
                          <w:t>Supply</w:t>
                        </w:r>
                      </w:p>
                    </w:txbxContent>
                  </v:textbox>
                </v:shape>
              </v:group>
            </w:pict>
          </mc:Fallback>
        </mc:AlternateContent>
      </w:r>
      <w:r w:rsidR="00DC7C87">
        <w:rPr>
          <w:noProof/>
          <w:sz w:val="24"/>
          <w:szCs w:val="24"/>
          <w:lang w:eastAsia="en-GB"/>
        </w:rPr>
        <w:t>Decem</w:t>
      </w:r>
      <w:r w:rsidR="00B002BC">
        <w:rPr>
          <w:noProof/>
          <w:sz w:val="24"/>
          <w:szCs w:val="24"/>
          <w:lang w:eastAsia="en-GB"/>
        </w:rPr>
        <w:t>b</w:t>
      </w:r>
      <w:r w:rsidR="00DC7C87">
        <w:rPr>
          <w:noProof/>
          <w:sz w:val="24"/>
          <w:szCs w:val="24"/>
          <w:lang w:eastAsia="en-GB"/>
        </w:rPr>
        <w:t>er</w:t>
      </w:r>
      <w:r w:rsidR="00A5048E" w:rsidRPr="00A5048E">
        <w:rPr>
          <w:sz w:val="24"/>
          <w:szCs w:val="24"/>
        </w:rPr>
        <w:t xml:space="preserve"> 20</w:t>
      </w:r>
      <w:r w:rsidR="00DC7C87">
        <w:rPr>
          <w:sz w:val="24"/>
          <w:szCs w:val="24"/>
        </w:rPr>
        <w:t>22</w:t>
      </w:r>
    </w:p>
    <w:p w14:paraId="19417E41" w14:textId="77777777" w:rsidR="00DC7C87" w:rsidRDefault="00DC7C87" w:rsidP="00DC7C87">
      <w:pPr>
        <w:jc w:val="center"/>
        <w:rPr>
          <w:b/>
          <w:bCs/>
          <w:color w:val="65922E"/>
          <w:sz w:val="28"/>
          <w:szCs w:val="28"/>
          <w:lang w:val="en-US"/>
        </w:rPr>
      </w:pPr>
    </w:p>
    <w:p w14:paraId="29A509A4" w14:textId="01ACECBD" w:rsidR="00591E3C" w:rsidRPr="00591E3C" w:rsidRDefault="009B0379" w:rsidP="00591E3C">
      <w:pPr>
        <w:jc w:val="center"/>
        <w:rPr>
          <w:b/>
          <w:bCs/>
          <w:color w:val="65922E"/>
          <w:sz w:val="28"/>
          <w:szCs w:val="28"/>
          <w:lang w:val="en-US"/>
        </w:rPr>
      </w:pPr>
      <w:r>
        <w:rPr>
          <w:b/>
          <w:bCs/>
          <w:color w:val="65922E"/>
          <w:sz w:val="28"/>
          <w:szCs w:val="28"/>
          <w:lang w:val="en-US"/>
        </w:rPr>
        <w:t>Points to consider when using</w:t>
      </w:r>
      <w:r w:rsidR="00591E3C" w:rsidRPr="00591E3C">
        <w:rPr>
          <w:b/>
          <w:bCs/>
          <w:color w:val="65922E"/>
          <w:sz w:val="28"/>
          <w:szCs w:val="28"/>
          <w:lang w:val="en-US"/>
        </w:rPr>
        <w:t xml:space="preserve"> SSPs</w:t>
      </w:r>
      <w:r>
        <w:rPr>
          <w:b/>
          <w:bCs/>
          <w:color w:val="65922E"/>
          <w:sz w:val="28"/>
          <w:szCs w:val="28"/>
          <w:lang w:val="en-US"/>
        </w:rPr>
        <w:t xml:space="preserve"> for Pen V</w:t>
      </w:r>
    </w:p>
    <w:p w14:paraId="3B6F97AB" w14:textId="77777777" w:rsidR="00591E3C" w:rsidRDefault="00591E3C" w:rsidP="00591E3C">
      <w:pPr>
        <w:rPr>
          <w:sz w:val="24"/>
          <w:szCs w:val="24"/>
          <w:lang w:val="en-US"/>
        </w:rPr>
      </w:pPr>
      <w:r>
        <w:rPr>
          <w:sz w:val="24"/>
          <w:szCs w:val="24"/>
          <w:lang w:val="en-US"/>
        </w:rPr>
        <w:t xml:space="preserve">Recently, DHSC has issued 8 Serious Shortage Protocols (SSPs) for specified </w:t>
      </w:r>
      <w:r w:rsidRPr="00D95B19">
        <w:rPr>
          <w:sz w:val="24"/>
          <w:szCs w:val="24"/>
        </w:rPr>
        <w:t>Phenoxymethylpenicillin</w:t>
      </w:r>
      <w:r>
        <w:rPr>
          <w:sz w:val="24"/>
          <w:szCs w:val="24"/>
        </w:rPr>
        <w:t xml:space="preserve"> (Penicillin V) formulations </w:t>
      </w:r>
      <w:r>
        <w:rPr>
          <w:sz w:val="24"/>
          <w:szCs w:val="24"/>
          <w:lang w:val="en-US"/>
        </w:rPr>
        <w:t>and below are some key points to note for contractors.</w:t>
      </w:r>
    </w:p>
    <w:p w14:paraId="431A52B6" w14:textId="77777777" w:rsidR="00591E3C" w:rsidRPr="00591E3C" w:rsidRDefault="00591E3C" w:rsidP="00591E3C">
      <w:pPr>
        <w:rPr>
          <w:b/>
          <w:bCs/>
          <w:color w:val="65922E"/>
          <w:sz w:val="24"/>
          <w:szCs w:val="24"/>
          <w:lang w:val="en-US"/>
        </w:rPr>
      </w:pPr>
      <w:r w:rsidRPr="00591E3C">
        <w:rPr>
          <w:b/>
          <w:bCs/>
          <w:color w:val="65922E"/>
          <w:sz w:val="24"/>
          <w:szCs w:val="24"/>
          <w:lang w:val="en-US"/>
        </w:rPr>
        <w:t>Introduction</w:t>
      </w:r>
    </w:p>
    <w:p w14:paraId="63E3F6EB" w14:textId="6B9AC284" w:rsidR="00591E3C" w:rsidRPr="00F930E5" w:rsidRDefault="00591E3C" w:rsidP="00591E3C">
      <w:pPr>
        <w:pStyle w:val="ListParagraph"/>
        <w:numPr>
          <w:ilvl w:val="0"/>
          <w:numId w:val="13"/>
        </w:numPr>
        <w:rPr>
          <w:sz w:val="24"/>
          <w:szCs w:val="24"/>
          <w:lang w:val="en-US"/>
        </w:rPr>
      </w:pPr>
      <w:r>
        <w:rPr>
          <w:sz w:val="24"/>
          <w:szCs w:val="24"/>
        </w:rPr>
        <w:t xml:space="preserve">SSPs issued by DHSC are published on the </w:t>
      </w:r>
      <w:hyperlink r:id="rId10" w:history="1">
        <w:r w:rsidRPr="00BB552C">
          <w:rPr>
            <w:rStyle w:val="Hyperlink"/>
            <w:b/>
            <w:bCs/>
            <w:color w:val="65922E"/>
            <w:sz w:val="24"/>
            <w:szCs w:val="24"/>
          </w:rPr>
          <w:t>NHS</w:t>
        </w:r>
        <w:r w:rsidR="00BB552C" w:rsidRPr="00BB552C">
          <w:rPr>
            <w:rStyle w:val="Hyperlink"/>
            <w:b/>
            <w:bCs/>
            <w:color w:val="65922E"/>
            <w:sz w:val="24"/>
            <w:szCs w:val="24"/>
          </w:rPr>
          <w:t xml:space="preserve"> </w:t>
        </w:r>
        <w:r w:rsidRPr="00BB552C">
          <w:rPr>
            <w:rStyle w:val="Hyperlink"/>
            <w:b/>
            <w:bCs/>
            <w:color w:val="65922E"/>
            <w:sz w:val="24"/>
            <w:szCs w:val="24"/>
          </w:rPr>
          <w:t>B</w:t>
        </w:r>
        <w:r w:rsidR="00BB552C" w:rsidRPr="00BB552C">
          <w:rPr>
            <w:rStyle w:val="Hyperlink"/>
            <w:b/>
            <w:bCs/>
            <w:color w:val="65922E"/>
            <w:sz w:val="24"/>
            <w:szCs w:val="24"/>
          </w:rPr>
          <w:t xml:space="preserve">usiness </w:t>
        </w:r>
        <w:r w:rsidRPr="00BB552C">
          <w:rPr>
            <w:rStyle w:val="Hyperlink"/>
            <w:b/>
            <w:bCs/>
            <w:color w:val="65922E"/>
            <w:sz w:val="24"/>
            <w:szCs w:val="24"/>
          </w:rPr>
          <w:t>S</w:t>
        </w:r>
        <w:r w:rsidR="00BB552C" w:rsidRPr="00BB552C">
          <w:rPr>
            <w:rStyle w:val="Hyperlink"/>
            <w:b/>
            <w:bCs/>
            <w:color w:val="65922E"/>
            <w:sz w:val="24"/>
            <w:szCs w:val="24"/>
          </w:rPr>
          <w:t xml:space="preserve">ervices </w:t>
        </w:r>
        <w:r w:rsidRPr="00BB552C">
          <w:rPr>
            <w:rStyle w:val="Hyperlink"/>
            <w:b/>
            <w:bCs/>
            <w:color w:val="65922E"/>
            <w:sz w:val="24"/>
            <w:szCs w:val="24"/>
          </w:rPr>
          <w:t>A</w:t>
        </w:r>
        <w:r w:rsidR="00BB552C" w:rsidRPr="00BB552C">
          <w:rPr>
            <w:rStyle w:val="Hyperlink"/>
            <w:b/>
            <w:bCs/>
            <w:color w:val="65922E"/>
            <w:sz w:val="24"/>
            <w:szCs w:val="24"/>
          </w:rPr>
          <w:t>uthority (NHSBSA)</w:t>
        </w:r>
        <w:r w:rsidRPr="00BB552C">
          <w:rPr>
            <w:rStyle w:val="Hyperlink"/>
            <w:b/>
            <w:bCs/>
            <w:color w:val="65922E"/>
            <w:sz w:val="24"/>
            <w:szCs w:val="24"/>
          </w:rPr>
          <w:t xml:space="preserve"> website</w:t>
        </w:r>
      </w:hyperlink>
      <w:r>
        <w:rPr>
          <w:sz w:val="24"/>
          <w:szCs w:val="24"/>
        </w:rPr>
        <w:t xml:space="preserve"> with guidance for each SSP and may be updated to a new version (All 8 SSPs have been updated this week and have moved from version 1 to version 1.1 – the update is identified at the end of the SSP).</w:t>
      </w:r>
    </w:p>
    <w:p w14:paraId="3B84774E" w14:textId="77777777" w:rsidR="00591E3C" w:rsidRPr="00871889" w:rsidRDefault="00591E3C" w:rsidP="00591E3C">
      <w:pPr>
        <w:pStyle w:val="ListParagraph"/>
        <w:numPr>
          <w:ilvl w:val="0"/>
          <w:numId w:val="13"/>
        </w:numPr>
        <w:rPr>
          <w:sz w:val="24"/>
          <w:szCs w:val="24"/>
          <w:lang w:val="en-US"/>
        </w:rPr>
      </w:pPr>
      <w:r>
        <w:rPr>
          <w:sz w:val="24"/>
          <w:szCs w:val="24"/>
        </w:rPr>
        <w:t>Each SSP has a unique number which is relevant to the labelling of and claiming for the supply,</w:t>
      </w:r>
      <w:r w:rsidRPr="007358E9">
        <w:rPr>
          <w:sz w:val="24"/>
          <w:szCs w:val="24"/>
        </w:rPr>
        <w:t xml:space="preserve"> </w:t>
      </w:r>
      <w:r>
        <w:rPr>
          <w:sz w:val="24"/>
          <w:szCs w:val="24"/>
        </w:rPr>
        <w:t>and is valid for a set period of time, which may be extended, as stated in the SSP.</w:t>
      </w:r>
    </w:p>
    <w:p w14:paraId="63E1AE52" w14:textId="7C2F6EDA" w:rsidR="00591E3C" w:rsidRPr="00441524" w:rsidRDefault="00591E3C" w:rsidP="00591E3C">
      <w:pPr>
        <w:pStyle w:val="ListParagraph"/>
        <w:numPr>
          <w:ilvl w:val="0"/>
          <w:numId w:val="13"/>
        </w:numPr>
        <w:rPr>
          <w:sz w:val="24"/>
          <w:szCs w:val="24"/>
          <w:lang w:val="en-US"/>
        </w:rPr>
      </w:pPr>
      <w:r w:rsidRPr="00441524">
        <w:rPr>
          <w:sz w:val="24"/>
          <w:szCs w:val="24"/>
        </w:rPr>
        <w:t>Supply against an SSP is provided for in the Human Medicines Regulations and Terms of Service of the</w:t>
      </w:r>
      <w:r>
        <w:rPr>
          <w:sz w:val="24"/>
          <w:szCs w:val="24"/>
        </w:rPr>
        <w:t xml:space="preserve"> CPCF </w:t>
      </w:r>
      <w:r w:rsidRPr="00441524">
        <w:rPr>
          <w:sz w:val="24"/>
          <w:szCs w:val="24"/>
        </w:rPr>
        <w:t>– its use is part of pharmacy practice and should be included within normal professional indemnity arrangements.</w:t>
      </w:r>
      <w:r>
        <w:rPr>
          <w:sz w:val="24"/>
          <w:szCs w:val="24"/>
        </w:rPr>
        <w:t xml:space="preserve"> </w:t>
      </w:r>
      <w:r w:rsidRPr="00441524">
        <w:rPr>
          <w:sz w:val="24"/>
          <w:szCs w:val="24"/>
        </w:rPr>
        <w:t xml:space="preserve">PSNC has issued </w:t>
      </w:r>
      <w:hyperlink r:id="rId11" w:history="1">
        <w:r w:rsidRPr="00F21D0B">
          <w:rPr>
            <w:rStyle w:val="Hyperlink"/>
            <w:b/>
            <w:bCs/>
            <w:color w:val="65922E"/>
            <w:sz w:val="24"/>
            <w:szCs w:val="24"/>
          </w:rPr>
          <w:t>guidance on SSPs and claiming for SSPs</w:t>
        </w:r>
      </w:hyperlink>
      <w:r w:rsidRPr="00441524">
        <w:rPr>
          <w:sz w:val="24"/>
          <w:szCs w:val="24"/>
        </w:rPr>
        <w:t>.</w:t>
      </w:r>
    </w:p>
    <w:p w14:paraId="63E96876" w14:textId="77777777" w:rsidR="00591E3C" w:rsidRPr="00BD0024" w:rsidRDefault="00591E3C" w:rsidP="00591E3C">
      <w:pPr>
        <w:rPr>
          <w:b/>
          <w:bCs/>
          <w:color w:val="65922E"/>
          <w:sz w:val="24"/>
          <w:szCs w:val="24"/>
          <w:lang w:val="en-US"/>
        </w:rPr>
      </w:pPr>
      <w:r w:rsidRPr="00BD0024">
        <w:rPr>
          <w:b/>
          <w:bCs/>
          <w:color w:val="65922E"/>
          <w:sz w:val="24"/>
          <w:szCs w:val="24"/>
          <w:lang w:val="en-US"/>
        </w:rPr>
        <w:t>Supply</w:t>
      </w:r>
    </w:p>
    <w:p w14:paraId="0C596D8F" w14:textId="2B69FEAA" w:rsidR="00591E3C" w:rsidRPr="00D54552" w:rsidRDefault="00591E3C" w:rsidP="00591E3C">
      <w:pPr>
        <w:pStyle w:val="ListParagraph"/>
        <w:numPr>
          <w:ilvl w:val="0"/>
          <w:numId w:val="13"/>
        </w:numPr>
        <w:rPr>
          <w:sz w:val="24"/>
          <w:szCs w:val="24"/>
          <w:lang w:val="en-US"/>
        </w:rPr>
      </w:pPr>
      <w:r>
        <w:rPr>
          <w:sz w:val="24"/>
          <w:szCs w:val="24"/>
        </w:rPr>
        <w:t xml:space="preserve">Supervising pharmacists must be familiar with the relevant SSP and the RPS has issued a </w:t>
      </w:r>
      <w:hyperlink r:id="rId12" w:history="1">
        <w:r w:rsidRPr="00646FA2">
          <w:rPr>
            <w:rStyle w:val="Hyperlink"/>
            <w:b/>
            <w:bCs/>
            <w:color w:val="65922E"/>
            <w:sz w:val="24"/>
            <w:szCs w:val="24"/>
          </w:rPr>
          <w:t>protoco</w:t>
        </w:r>
        <w:r w:rsidR="00BB552C" w:rsidRPr="00646FA2">
          <w:rPr>
            <w:rStyle w:val="Hyperlink"/>
            <w:b/>
            <w:bCs/>
            <w:color w:val="65922E"/>
            <w:sz w:val="24"/>
            <w:szCs w:val="24"/>
          </w:rPr>
          <w:t>l</w:t>
        </w:r>
      </w:hyperlink>
      <w:r w:rsidR="00BB552C" w:rsidRPr="00646FA2">
        <w:rPr>
          <w:b/>
          <w:bCs/>
          <w:color w:val="65922E"/>
          <w:sz w:val="24"/>
          <w:szCs w:val="24"/>
        </w:rPr>
        <w:t xml:space="preserve"> </w:t>
      </w:r>
      <w:r>
        <w:rPr>
          <w:sz w:val="24"/>
          <w:szCs w:val="24"/>
        </w:rPr>
        <w:t>to assist.</w:t>
      </w:r>
    </w:p>
    <w:p w14:paraId="5DCCAFA2" w14:textId="77777777" w:rsidR="00591E3C" w:rsidRPr="0039334E" w:rsidRDefault="00591E3C" w:rsidP="00591E3C">
      <w:pPr>
        <w:pStyle w:val="ListParagraph"/>
        <w:numPr>
          <w:ilvl w:val="0"/>
          <w:numId w:val="13"/>
        </w:numPr>
        <w:rPr>
          <w:sz w:val="24"/>
          <w:szCs w:val="24"/>
          <w:lang w:val="en-US"/>
        </w:rPr>
      </w:pPr>
      <w:r>
        <w:rPr>
          <w:sz w:val="24"/>
          <w:szCs w:val="24"/>
        </w:rPr>
        <w:t>S</w:t>
      </w:r>
      <w:r w:rsidRPr="005F17C4">
        <w:rPr>
          <w:sz w:val="24"/>
          <w:szCs w:val="24"/>
        </w:rPr>
        <w:t xml:space="preserve">upply </w:t>
      </w:r>
      <w:r>
        <w:rPr>
          <w:sz w:val="24"/>
          <w:szCs w:val="24"/>
        </w:rPr>
        <w:t xml:space="preserve">of a different formulation or antibiotic is limited to the extent permitted by the scope, criteria for inclusion and exclusion, cautions and special conditions, listed in each SSP. These and the dosing information in the SSP annexes are clinically important. </w:t>
      </w:r>
    </w:p>
    <w:p w14:paraId="107ACBE5" w14:textId="77777777" w:rsidR="00591E3C" w:rsidRPr="00F44BA9" w:rsidRDefault="00591E3C" w:rsidP="00591E3C">
      <w:pPr>
        <w:pStyle w:val="ListParagraph"/>
        <w:numPr>
          <w:ilvl w:val="0"/>
          <w:numId w:val="13"/>
        </w:numPr>
        <w:rPr>
          <w:sz w:val="24"/>
          <w:szCs w:val="24"/>
          <w:lang w:val="en-US"/>
        </w:rPr>
      </w:pPr>
      <w:r>
        <w:rPr>
          <w:sz w:val="24"/>
          <w:szCs w:val="24"/>
        </w:rPr>
        <w:t>All 8 SSPs apply to Penicillin V of varying strengths and formulations and, with the flexibility SSPs provide, DHSC has been encouraging prescribers to continue to write prescriptions for Penicillin V.</w:t>
      </w:r>
    </w:p>
    <w:p w14:paraId="51ECD533" w14:textId="77777777" w:rsidR="00591E3C" w:rsidRPr="0039334E" w:rsidRDefault="00591E3C" w:rsidP="00591E3C">
      <w:pPr>
        <w:pStyle w:val="ListParagraph"/>
        <w:numPr>
          <w:ilvl w:val="0"/>
          <w:numId w:val="13"/>
        </w:numPr>
        <w:rPr>
          <w:sz w:val="24"/>
          <w:szCs w:val="24"/>
          <w:lang w:val="en-US"/>
        </w:rPr>
      </w:pPr>
      <w:r>
        <w:rPr>
          <w:sz w:val="24"/>
          <w:szCs w:val="24"/>
        </w:rPr>
        <w:t>5 of the recent SSPs provide for the supply of an alternative antibiotic – they are all similar and the cascade, for prescriptions for treatment of no longer than 10 days, is in order of preference, so the first choice is Amoxicillin. Broadly, the order of preference is based on narrower to broader spectrum antibiotics, referenced by DHSC to stock availability.</w:t>
      </w:r>
    </w:p>
    <w:p w14:paraId="05BBEA89" w14:textId="77777777" w:rsidR="00591E3C" w:rsidRDefault="00591E3C" w:rsidP="00591E3C">
      <w:pPr>
        <w:pStyle w:val="ListParagraph"/>
        <w:numPr>
          <w:ilvl w:val="0"/>
          <w:numId w:val="13"/>
        </w:numPr>
        <w:rPr>
          <w:sz w:val="24"/>
          <w:szCs w:val="24"/>
          <w:lang w:val="en-US"/>
        </w:rPr>
      </w:pPr>
      <w:r w:rsidRPr="0021307A">
        <w:rPr>
          <w:sz w:val="24"/>
          <w:szCs w:val="24"/>
        </w:rPr>
        <w:t xml:space="preserve">For </w:t>
      </w:r>
      <w:r>
        <w:rPr>
          <w:sz w:val="24"/>
          <w:szCs w:val="24"/>
        </w:rPr>
        <w:t xml:space="preserve">substituted antibiotics, for </w:t>
      </w:r>
      <w:r w:rsidRPr="0021307A">
        <w:rPr>
          <w:sz w:val="24"/>
          <w:szCs w:val="24"/>
        </w:rPr>
        <w:t xml:space="preserve">prescriptions longer than 10 days, Erythromycin formulations are stipulated as the alternative to be supplied. </w:t>
      </w:r>
    </w:p>
    <w:p w14:paraId="1521378E" w14:textId="77777777" w:rsidR="00591E3C" w:rsidRPr="001C4723" w:rsidRDefault="00591E3C" w:rsidP="00591E3C">
      <w:pPr>
        <w:pStyle w:val="ListParagraph"/>
        <w:numPr>
          <w:ilvl w:val="0"/>
          <w:numId w:val="13"/>
        </w:numPr>
        <w:rPr>
          <w:sz w:val="24"/>
          <w:szCs w:val="24"/>
          <w:lang w:val="en-US"/>
        </w:rPr>
      </w:pPr>
      <w:r w:rsidRPr="0021307A">
        <w:rPr>
          <w:sz w:val="24"/>
          <w:szCs w:val="24"/>
        </w:rPr>
        <w:t xml:space="preserve">For the substituted antibiotic, the quantity and strength supplied is to be determined by the recommended dosing regimen as set out in </w:t>
      </w:r>
      <w:r>
        <w:rPr>
          <w:sz w:val="24"/>
          <w:szCs w:val="24"/>
        </w:rPr>
        <w:t>relevant a</w:t>
      </w:r>
      <w:r w:rsidRPr="0021307A">
        <w:rPr>
          <w:sz w:val="24"/>
          <w:szCs w:val="24"/>
        </w:rPr>
        <w:t>nnex</w:t>
      </w:r>
      <w:r>
        <w:rPr>
          <w:sz w:val="24"/>
          <w:szCs w:val="24"/>
        </w:rPr>
        <w:t>.</w:t>
      </w:r>
    </w:p>
    <w:p w14:paraId="365CF563" w14:textId="77777777" w:rsidR="00591E3C" w:rsidRDefault="00591E3C" w:rsidP="00591E3C">
      <w:pPr>
        <w:pStyle w:val="ListParagraph"/>
        <w:numPr>
          <w:ilvl w:val="0"/>
          <w:numId w:val="13"/>
        </w:numPr>
        <w:rPr>
          <w:sz w:val="24"/>
          <w:szCs w:val="24"/>
          <w:lang w:val="en-US"/>
        </w:rPr>
      </w:pPr>
      <w:r>
        <w:rPr>
          <w:sz w:val="24"/>
          <w:szCs w:val="24"/>
        </w:rPr>
        <w:t>The 3 alternative formation SSPs are again all similar.</w:t>
      </w:r>
    </w:p>
    <w:p w14:paraId="273EB6A6" w14:textId="77777777" w:rsidR="00591E3C" w:rsidRPr="0021307A" w:rsidRDefault="00591E3C" w:rsidP="00591E3C">
      <w:pPr>
        <w:pStyle w:val="ListParagraph"/>
        <w:numPr>
          <w:ilvl w:val="0"/>
          <w:numId w:val="13"/>
        </w:numPr>
        <w:rPr>
          <w:sz w:val="24"/>
          <w:szCs w:val="24"/>
          <w:lang w:val="en-US"/>
        </w:rPr>
      </w:pPr>
      <w:r w:rsidRPr="0021307A">
        <w:rPr>
          <w:sz w:val="24"/>
          <w:szCs w:val="24"/>
        </w:rPr>
        <w:t xml:space="preserve">Supervising pharmacists, in the exercise of their professional judgement, must consider </w:t>
      </w:r>
      <w:r>
        <w:rPr>
          <w:sz w:val="24"/>
          <w:szCs w:val="24"/>
        </w:rPr>
        <w:t xml:space="preserve">SSP </w:t>
      </w:r>
      <w:r w:rsidRPr="0021307A">
        <w:rPr>
          <w:sz w:val="24"/>
          <w:szCs w:val="24"/>
        </w:rPr>
        <w:t xml:space="preserve">supply to be reasonable and appropriate for the patient. </w:t>
      </w:r>
    </w:p>
    <w:p w14:paraId="2BF1D66C" w14:textId="77777777" w:rsidR="00591E3C" w:rsidRDefault="00591E3C" w:rsidP="00591E3C">
      <w:pPr>
        <w:pStyle w:val="ListParagraph"/>
        <w:numPr>
          <w:ilvl w:val="0"/>
          <w:numId w:val="13"/>
        </w:numPr>
        <w:rPr>
          <w:sz w:val="24"/>
          <w:szCs w:val="24"/>
          <w:lang w:val="en-US"/>
        </w:rPr>
      </w:pPr>
      <w:r>
        <w:rPr>
          <w:sz w:val="24"/>
          <w:szCs w:val="24"/>
          <w:lang w:val="en-US"/>
        </w:rPr>
        <w:lastRenderedPageBreak/>
        <w:t>The patient must agree to the SSP supply.</w:t>
      </w:r>
    </w:p>
    <w:p w14:paraId="77BBB816" w14:textId="77777777" w:rsidR="00591E3C" w:rsidRDefault="00591E3C" w:rsidP="00591E3C">
      <w:pPr>
        <w:pStyle w:val="ListParagraph"/>
        <w:numPr>
          <w:ilvl w:val="0"/>
          <w:numId w:val="13"/>
        </w:numPr>
        <w:rPr>
          <w:sz w:val="24"/>
          <w:szCs w:val="24"/>
          <w:lang w:val="en-US"/>
        </w:rPr>
      </w:pPr>
      <w:r>
        <w:rPr>
          <w:sz w:val="24"/>
          <w:szCs w:val="24"/>
          <w:lang w:val="en-US"/>
        </w:rPr>
        <w:t>The SSP supply must have a patient label and include the identity of the SSP, for example, ‘Supplied against SSP No. XXX’.</w:t>
      </w:r>
    </w:p>
    <w:p w14:paraId="77920F70" w14:textId="77777777" w:rsidR="00591E3C" w:rsidRDefault="00591E3C" w:rsidP="00591E3C">
      <w:pPr>
        <w:pStyle w:val="ListParagraph"/>
        <w:numPr>
          <w:ilvl w:val="0"/>
          <w:numId w:val="13"/>
        </w:numPr>
        <w:rPr>
          <w:sz w:val="24"/>
          <w:szCs w:val="24"/>
          <w:lang w:val="en-US"/>
        </w:rPr>
      </w:pPr>
      <w:r>
        <w:rPr>
          <w:sz w:val="24"/>
          <w:szCs w:val="24"/>
          <w:lang w:val="en-US"/>
        </w:rPr>
        <w:t>SSPs apply to NHS and private prescriptions and are UK wide.</w:t>
      </w:r>
    </w:p>
    <w:p w14:paraId="396727CF" w14:textId="77777777" w:rsidR="00591E3C" w:rsidRPr="009136E1" w:rsidRDefault="00591E3C" w:rsidP="00591E3C">
      <w:pPr>
        <w:pStyle w:val="ListParagraph"/>
        <w:numPr>
          <w:ilvl w:val="0"/>
          <w:numId w:val="13"/>
        </w:numPr>
        <w:rPr>
          <w:sz w:val="24"/>
          <w:szCs w:val="24"/>
          <w:lang w:val="en-US"/>
        </w:rPr>
      </w:pPr>
      <w:r>
        <w:rPr>
          <w:sz w:val="24"/>
          <w:szCs w:val="24"/>
          <w:lang w:val="en-US"/>
        </w:rPr>
        <w:t xml:space="preserve">DHSC has indicated that oral sugar free solution Penicillin V may be supplied against a prescription for the same strength (non-sugar free) oral solution and, therefore, no SSP is required for this. </w:t>
      </w:r>
    </w:p>
    <w:p w14:paraId="456F0E3C" w14:textId="77777777" w:rsidR="00591E3C" w:rsidRPr="00BD0024" w:rsidRDefault="00591E3C" w:rsidP="00591E3C">
      <w:pPr>
        <w:rPr>
          <w:b/>
          <w:bCs/>
          <w:color w:val="65922E"/>
          <w:sz w:val="24"/>
          <w:szCs w:val="24"/>
          <w:lang w:val="en-US"/>
        </w:rPr>
      </w:pPr>
      <w:r w:rsidRPr="00BD0024">
        <w:rPr>
          <w:b/>
          <w:bCs/>
          <w:color w:val="65922E"/>
          <w:sz w:val="24"/>
          <w:szCs w:val="24"/>
          <w:lang w:val="en-US"/>
        </w:rPr>
        <w:t>Notifying the prescriber</w:t>
      </w:r>
    </w:p>
    <w:p w14:paraId="5081EC10" w14:textId="77777777" w:rsidR="00591E3C" w:rsidRDefault="00591E3C" w:rsidP="00591E3C">
      <w:pPr>
        <w:pStyle w:val="ListParagraph"/>
        <w:numPr>
          <w:ilvl w:val="0"/>
          <w:numId w:val="13"/>
        </w:numPr>
        <w:rPr>
          <w:sz w:val="24"/>
          <w:szCs w:val="24"/>
          <w:lang w:val="en-US"/>
        </w:rPr>
      </w:pPr>
      <w:r>
        <w:rPr>
          <w:sz w:val="24"/>
          <w:szCs w:val="24"/>
          <w:lang w:val="en-US"/>
        </w:rPr>
        <w:t>The 5 alternative antibiotic SSPs require that the patient’s prescriber and/or GP practice is notified of the SSP supply within 24 hours of supply.</w:t>
      </w:r>
    </w:p>
    <w:p w14:paraId="2349FA9B" w14:textId="77777777" w:rsidR="00591E3C" w:rsidRPr="00850CF2" w:rsidRDefault="00591E3C" w:rsidP="00591E3C">
      <w:pPr>
        <w:rPr>
          <w:b/>
          <w:bCs/>
          <w:sz w:val="24"/>
          <w:szCs w:val="24"/>
        </w:rPr>
      </w:pPr>
      <w:r w:rsidRPr="00850CF2">
        <w:rPr>
          <w:b/>
          <w:bCs/>
          <w:sz w:val="24"/>
          <w:szCs w:val="24"/>
        </w:rPr>
        <w:t xml:space="preserve">If supply is unreasonable or inappropriate, or the patient does not </w:t>
      </w:r>
      <w:r>
        <w:rPr>
          <w:b/>
          <w:bCs/>
          <w:sz w:val="24"/>
          <w:szCs w:val="24"/>
        </w:rPr>
        <w:t>agree to use of</w:t>
      </w:r>
      <w:r w:rsidRPr="00850CF2">
        <w:rPr>
          <w:b/>
          <w:bCs/>
          <w:sz w:val="24"/>
          <w:szCs w:val="24"/>
        </w:rPr>
        <w:t xml:space="preserve"> the SSP, or the patient does not meet the criteria for SSP supply</w:t>
      </w:r>
    </w:p>
    <w:p w14:paraId="681FC926" w14:textId="77777777" w:rsidR="00591E3C" w:rsidRDefault="00591E3C" w:rsidP="00591E3C">
      <w:pPr>
        <w:pStyle w:val="ListParagraph"/>
        <w:numPr>
          <w:ilvl w:val="0"/>
          <w:numId w:val="13"/>
        </w:numPr>
        <w:rPr>
          <w:sz w:val="24"/>
          <w:szCs w:val="24"/>
        </w:rPr>
      </w:pPr>
      <w:r w:rsidRPr="00517638">
        <w:rPr>
          <w:sz w:val="24"/>
          <w:szCs w:val="24"/>
        </w:rPr>
        <w:t>The supervising pharmacists must</w:t>
      </w:r>
      <w:r>
        <w:rPr>
          <w:sz w:val="24"/>
          <w:szCs w:val="24"/>
        </w:rPr>
        <w:t xml:space="preserve"> provide advice (as appropriate) and</w:t>
      </w:r>
      <w:r w:rsidRPr="00517638">
        <w:rPr>
          <w:sz w:val="24"/>
          <w:szCs w:val="24"/>
        </w:rPr>
        <w:t xml:space="preserve"> refer the patient back to the prescriber</w:t>
      </w:r>
      <w:r>
        <w:rPr>
          <w:sz w:val="24"/>
          <w:szCs w:val="24"/>
        </w:rPr>
        <w:t xml:space="preserve"> promptly</w:t>
      </w:r>
      <w:r w:rsidRPr="00517638">
        <w:rPr>
          <w:sz w:val="24"/>
          <w:szCs w:val="24"/>
        </w:rPr>
        <w:t>,</w:t>
      </w:r>
      <w:r>
        <w:rPr>
          <w:sz w:val="24"/>
          <w:szCs w:val="24"/>
        </w:rPr>
        <w:t xml:space="preserve"> in the above scenarios</w:t>
      </w:r>
      <w:r w:rsidRPr="00517638">
        <w:rPr>
          <w:sz w:val="24"/>
          <w:szCs w:val="24"/>
        </w:rPr>
        <w:t xml:space="preserve">. </w:t>
      </w:r>
    </w:p>
    <w:p w14:paraId="2674A387" w14:textId="77777777" w:rsidR="00591E3C" w:rsidRPr="00BD0024" w:rsidRDefault="00591E3C" w:rsidP="00591E3C">
      <w:pPr>
        <w:rPr>
          <w:b/>
          <w:bCs/>
          <w:color w:val="65922E"/>
          <w:sz w:val="24"/>
          <w:szCs w:val="24"/>
        </w:rPr>
      </w:pPr>
      <w:r w:rsidRPr="00BD0024">
        <w:rPr>
          <w:b/>
          <w:bCs/>
          <w:color w:val="65922E"/>
          <w:sz w:val="24"/>
          <w:szCs w:val="24"/>
        </w:rPr>
        <w:t>Stock not available</w:t>
      </w:r>
    </w:p>
    <w:p w14:paraId="63B23B05" w14:textId="77777777" w:rsidR="00591E3C" w:rsidRDefault="00591E3C" w:rsidP="00591E3C">
      <w:pPr>
        <w:pStyle w:val="ListParagraph"/>
        <w:numPr>
          <w:ilvl w:val="0"/>
          <w:numId w:val="13"/>
        </w:numPr>
        <w:rPr>
          <w:sz w:val="24"/>
          <w:szCs w:val="24"/>
          <w:lang w:val="en-US"/>
        </w:rPr>
      </w:pPr>
      <w:r w:rsidRPr="00517638">
        <w:rPr>
          <w:sz w:val="24"/>
          <w:szCs w:val="24"/>
          <w:lang w:val="en-US"/>
        </w:rPr>
        <w:t xml:space="preserve">Reasonable efforts must be made to source stock and, where stock is available, supply must be with reasonable promptness, including supply by SSP. </w:t>
      </w:r>
    </w:p>
    <w:p w14:paraId="478F2BDF" w14:textId="77777777" w:rsidR="00591E3C" w:rsidRPr="00503979" w:rsidRDefault="00591E3C" w:rsidP="00591E3C">
      <w:pPr>
        <w:pStyle w:val="ListParagraph"/>
        <w:numPr>
          <w:ilvl w:val="0"/>
          <w:numId w:val="13"/>
        </w:numPr>
        <w:rPr>
          <w:sz w:val="24"/>
          <w:szCs w:val="24"/>
          <w:lang w:val="en-US"/>
        </w:rPr>
      </w:pPr>
      <w:r>
        <w:rPr>
          <w:sz w:val="24"/>
          <w:szCs w:val="24"/>
          <w:lang w:val="en-US"/>
        </w:rPr>
        <w:t xml:space="preserve">If </w:t>
      </w:r>
      <w:r w:rsidRPr="00A85E39">
        <w:rPr>
          <w:sz w:val="24"/>
          <w:szCs w:val="24"/>
        </w:rPr>
        <w:t xml:space="preserve">the pharmacy has no relevant stock </w:t>
      </w:r>
      <w:r>
        <w:rPr>
          <w:sz w:val="24"/>
          <w:szCs w:val="24"/>
        </w:rPr>
        <w:t xml:space="preserve">after </w:t>
      </w:r>
      <w:r w:rsidRPr="00A85E39">
        <w:rPr>
          <w:sz w:val="24"/>
          <w:szCs w:val="24"/>
        </w:rPr>
        <w:t xml:space="preserve">having </w:t>
      </w:r>
      <w:r>
        <w:rPr>
          <w:sz w:val="24"/>
          <w:szCs w:val="24"/>
        </w:rPr>
        <w:t xml:space="preserve">made </w:t>
      </w:r>
      <w:r w:rsidRPr="00A85E39">
        <w:rPr>
          <w:sz w:val="24"/>
          <w:szCs w:val="24"/>
        </w:rPr>
        <w:t xml:space="preserve">reasonable </w:t>
      </w:r>
      <w:r>
        <w:rPr>
          <w:sz w:val="24"/>
          <w:szCs w:val="24"/>
        </w:rPr>
        <w:t>efforts to obtain it</w:t>
      </w:r>
      <w:r w:rsidRPr="00A85E39">
        <w:rPr>
          <w:sz w:val="24"/>
          <w:szCs w:val="24"/>
        </w:rPr>
        <w:t xml:space="preserve">, referral to another pharmacy </w:t>
      </w:r>
      <w:r>
        <w:rPr>
          <w:sz w:val="24"/>
          <w:szCs w:val="24"/>
        </w:rPr>
        <w:t>may be</w:t>
      </w:r>
      <w:r w:rsidRPr="00A85E39">
        <w:rPr>
          <w:sz w:val="24"/>
          <w:szCs w:val="24"/>
        </w:rPr>
        <w:t xml:space="preserve"> appropriate</w:t>
      </w:r>
      <w:r>
        <w:rPr>
          <w:sz w:val="24"/>
          <w:szCs w:val="24"/>
        </w:rPr>
        <w:t xml:space="preserve"> if stock is available there</w:t>
      </w:r>
      <w:r w:rsidRPr="00A85E39">
        <w:rPr>
          <w:sz w:val="24"/>
          <w:szCs w:val="24"/>
        </w:rPr>
        <w:t>.</w:t>
      </w:r>
    </w:p>
    <w:p w14:paraId="5A92E9EB" w14:textId="77777777" w:rsidR="00591E3C" w:rsidRPr="00BD0024" w:rsidRDefault="00591E3C" w:rsidP="00591E3C">
      <w:pPr>
        <w:rPr>
          <w:b/>
          <w:bCs/>
          <w:color w:val="65922E"/>
          <w:sz w:val="24"/>
          <w:szCs w:val="24"/>
          <w:lang w:val="en-US"/>
        </w:rPr>
      </w:pPr>
      <w:r w:rsidRPr="00BD0024">
        <w:rPr>
          <w:b/>
          <w:bCs/>
          <w:color w:val="65922E"/>
          <w:sz w:val="24"/>
          <w:szCs w:val="24"/>
          <w:lang w:val="en-US"/>
        </w:rPr>
        <w:t>Stock may be available as follows</w:t>
      </w:r>
    </w:p>
    <w:p w14:paraId="5124C964" w14:textId="77777777" w:rsidR="00591E3C" w:rsidRDefault="00591E3C" w:rsidP="00591E3C">
      <w:pPr>
        <w:pStyle w:val="ListParagraph"/>
        <w:numPr>
          <w:ilvl w:val="0"/>
          <w:numId w:val="13"/>
        </w:numPr>
        <w:rPr>
          <w:sz w:val="24"/>
          <w:szCs w:val="24"/>
          <w:lang w:val="en-US"/>
        </w:rPr>
      </w:pPr>
      <w:r>
        <w:rPr>
          <w:sz w:val="24"/>
          <w:szCs w:val="24"/>
          <w:lang w:val="en-US"/>
        </w:rPr>
        <w:t>The normal procurement options - wholesalers if deliveries are being made over the relevant period.</w:t>
      </w:r>
    </w:p>
    <w:p w14:paraId="0B4EE62F" w14:textId="77777777" w:rsidR="00591E3C" w:rsidRPr="00A52F19" w:rsidRDefault="00591E3C" w:rsidP="00591E3C">
      <w:pPr>
        <w:pStyle w:val="ListParagraph"/>
        <w:numPr>
          <w:ilvl w:val="0"/>
          <w:numId w:val="13"/>
        </w:numPr>
        <w:rPr>
          <w:sz w:val="24"/>
          <w:szCs w:val="24"/>
          <w:lang w:val="en-US"/>
        </w:rPr>
      </w:pPr>
      <w:r w:rsidRPr="008624BD">
        <w:rPr>
          <w:sz w:val="24"/>
          <w:szCs w:val="24"/>
          <w:lang w:val="en-US"/>
        </w:rPr>
        <w:t xml:space="preserve">Pharmacies locally may be able to help each other with stock. DHSC </w:t>
      </w:r>
      <w:r>
        <w:rPr>
          <w:sz w:val="24"/>
          <w:szCs w:val="24"/>
          <w:lang w:val="en-US"/>
        </w:rPr>
        <w:t xml:space="preserve">has </w:t>
      </w:r>
      <w:r w:rsidRPr="008624BD">
        <w:rPr>
          <w:sz w:val="24"/>
          <w:szCs w:val="24"/>
          <w:lang w:val="en-US"/>
        </w:rPr>
        <w:t xml:space="preserve">indicated that </w:t>
      </w:r>
      <w:r>
        <w:rPr>
          <w:sz w:val="24"/>
          <w:szCs w:val="24"/>
          <w:lang w:val="en-US"/>
        </w:rPr>
        <w:t>a pharmacy</w:t>
      </w:r>
      <w:r w:rsidRPr="008624BD">
        <w:rPr>
          <w:sz w:val="24"/>
          <w:szCs w:val="24"/>
          <w:lang w:val="en-US"/>
        </w:rPr>
        <w:t xml:space="preserve"> </w:t>
      </w:r>
      <w:r w:rsidRPr="008624BD">
        <w:rPr>
          <w:sz w:val="24"/>
          <w:szCs w:val="24"/>
        </w:rPr>
        <w:t>may supply small quantities of a medicine to another pharmacy to meet a patient’s individual needs</w:t>
      </w:r>
      <w:r>
        <w:rPr>
          <w:sz w:val="24"/>
          <w:szCs w:val="24"/>
        </w:rPr>
        <w:t>,</w:t>
      </w:r>
      <w:r w:rsidRPr="008624BD">
        <w:rPr>
          <w:sz w:val="24"/>
          <w:szCs w:val="24"/>
        </w:rPr>
        <w:t xml:space="preserve"> without the requirement of a Wholesale Dealer’s Licence (</w:t>
      </w:r>
      <w:hyperlink r:id="rId13" w:history="1">
        <w:r w:rsidRPr="00646FA2">
          <w:rPr>
            <w:rStyle w:val="Hyperlink"/>
            <w:b/>
            <w:bCs/>
            <w:color w:val="65922E"/>
            <w:sz w:val="24"/>
            <w:szCs w:val="24"/>
          </w:rPr>
          <w:t>Wholesale dealer licence exemptions for pharmacists</w:t>
        </w:r>
      </w:hyperlink>
      <w:r w:rsidRPr="008624BD">
        <w:rPr>
          <w:sz w:val="24"/>
          <w:szCs w:val="24"/>
        </w:rPr>
        <w:t xml:space="preserve">) </w:t>
      </w:r>
    </w:p>
    <w:p w14:paraId="6CE15F48" w14:textId="77777777" w:rsidR="00591E3C" w:rsidRPr="008624BD" w:rsidRDefault="00591E3C" w:rsidP="00591E3C">
      <w:pPr>
        <w:pStyle w:val="ListParagraph"/>
        <w:numPr>
          <w:ilvl w:val="0"/>
          <w:numId w:val="13"/>
        </w:numPr>
        <w:rPr>
          <w:sz w:val="24"/>
          <w:szCs w:val="24"/>
          <w:lang w:val="en-US"/>
        </w:rPr>
      </w:pPr>
      <w:r w:rsidRPr="008624BD">
        <w:rPr>
          <w:sz w:val="24"/>
          <w:szCs w:val="24"/>
          <w:lang w:val="en-US"/>
        </w:rPr>
        <w:t>Hospitals have been seeking to ensure that they have sufficient stock to meet demand – and there may be local arrangements for pharmacies to access such stock (some LPCs have been involved in setting up these mutual schemes).</w:t>
      </w:r>
    </w:p>
    <w:p w14:paraId="1D112E91" w14:textId="77777777" w:rsidR="00591E3C" w:rsidRDefault="00591E3C" w:rsidP="00591E3C">
      <w:pPr>
        <w:pStyle w:val="ListParagraph"/>
        <w:numPr>
          <w:ilvl w:val="0"/>
          <w:numId w:val="13"/>
        </w:numPr>
        <w:rPr>
          <w:sz w:val="24"/>
          <w:szCs w:val="24"/>
          <w:lang w:val="en-US"/>
        </w:rPr>
      </w:pPr>
      <w:r w:rsidRPr="008624BD">
        <w:rPr>
          <w:sz w:val="24"/>
          <w:szCs w:val="24"/>
          <w:lang w:val="en-US"/>
        </w:rPr>
        <w:t>HDA wholesale distributors have a 24/7 emergency call-out service which is available every day of the year, including over the Christmas and New Year holiday periods.</w:t>
      </w:r>
    </w:p>
    <w:p w14:paraId="3734293F" w14:textId="77777777" w:rsidR="00591E3C" w:rsidRPr="00BD0024" w:rsidRDefault="00591E3C" w:rsidP="00591E3C">
      <w:pPr>
        <w:rPr>
          <w:b/>
          <w:bCs/>
          <w:color w:val="65922E"/>
          <w:sz w:val="24"/>
          <w:szCs w:val="24"/>
          <w:lang w:val="en-US"/>
        </w:rPr>
      </w:pPr>
      <w:r w:rsidRPr="00BD0024">
        <w:rPr>
          <w:b/>
          <w:bCs/>
          <w:color w:val="65922E"/>
          <w:sz w:val="24"/>
          <w:szCs w:val="24"/>
          <w:lang w:val="en-US"/>
        </w:rPr>
        <w:t xml:space="preserve">Other </w:t>
      </w:r>
    </w:p>
    <w:p w14:paraId="671F350B" w14:textId="77777777" w:rsidR="00591E3C" w:rsidRDefault="00591E3C" w:rsidP="00591E3C">
      <w:pPr>
        <w:pStyle w:val="ListParagraph"/>
        <w:numPr>
          <w:ilvl w:val="0"/>
          <w:numId w:val="13"/>
        </w:numPr>
        <w:rPr>
          <w:i/>
          <w:iCs/>
          <w:sz w:val="24"/>
          <w:szCs w:val="24"/>
        </w:rPr>
      </w:pPr>
      <w:r w:rsidRPr="00850CF2">
        <w:rPr>
          <w:sz w:val="24"/>
          <w:szCs w:val="24"/>
          <w:lang w:val="en-US"/>
        </w:rPr>
        <w:t xml:space="preserve">The </w:t>
      </w:r>
      <w:proofErr w:type="spellStart"/>
      <w:r w:rsidRPr="00850CF2">
        <w:rPr>
          <w:sz w:val="24"/>
          <w:szCs w:val="24"/>
          <w:lang w:val="en-US"/>
        </w:rPr>
        <w:t>GPhC</w:t>
      </w:r>
      <w:proofErr w:type="spellEnd"/>
      <w:r w:rsidRPr="00850CF2">
        <w:rPr>
          <w:sz w:val="24"/>
          <w:szCs w:val="24"/>
          <w:lang w:val="en-US"/>
        </w:rPr>
        <w:t xml:space="preserve"> has indicated that:</w:t>
      </w:r>
      <w:r w:rsidRPr="00850CF2">
        <w:rPr>
          <w:i/>
          <w:iCs/>
          <w:sz w:val="24"/>
          <w:szCs w:val="24"/>
          <w:lang w:val="en-US"/>
        </w:rPr>
        <w:t xml:space="preserve"> </w:t>
      </w:r>
      <w:r w:rsidRPr="00850CF2">
        <w:rPr>
          <w:i/>
          <w:iCs/>
          <w:sz w:val="24"/>
          <w:szCs w:val="24"/>
        </w:rPr>
        <w:t>In these challenging times</w:t>
      </w:r>
      <w:r>
        <w:rPr>
          <w:i/>
          <w:iCs/>
          <w:sz w:val="24"/>
          <w:szCs w:val="24"/>
        </w:rPr>
        <w:t xml:space="preserve"> </w:t>
      </w:r>
      <w:r w:rsidRPr="00850CF2">
        <w:rPr>
          <w:i/>
          <w:iCs/>
          <w:sz w:val="24"/>
          <w:szCs w:val="24"/>
        </w:rPr>
        <w:t>… [</w:t>
      </w:r>
      <w:r>
        <w:rPr>
          <w:i/>
          <w:iCs/>
          <w:sz w:val="24"/>
          <w:szCs w:val="24"/>
        </w:rPr>
        <w:t xml:space="preserve">and </w:t>
      </w:r>
      <w:r w:rsidRPr="00850CF2">
        <w:rPr>
          <w:i/>
          <w:iCs/>
          <w:sz w:val="24"/>
          <w:szCs w:val="24"/>
        </w:rPr>
        <w:t xml:space="preserve">we] … will consider the context you were working in at the time, including factors relating to the environment in which you were working and all relevant resources, guidelines, or protocols. </w:t>
      </w:r>
      <w:r w:rsidRPr="00850CF2">
        <w:rPr>
          <w:sz w:val="24"/>
          <w:szCs w:val="24"/>
        </w:rPr>
        <w:t>Also,</w:t>
      </w:r>
      <w:r>
        <w:rPr>
          <w:sz w:val="24"/>
          <w:szCs w:val="24"/>
        </w:rPr>
        <w:t xml:space="preserve"> </w:t>
      </w:r>
      <w:r w:rsidRPr="00850CF2">
        <w:rPr>
          <w:sz w:val="24"/>
          <w:szCs w:val="24"/>
        </w:rPr>
        <w:t>:</w:t>
      </w:r>
      <w:r>
        <w:rPr>
          <w:sz w:val="24"/>
          <w:szCs w:val="24"/>
        </w:rPr>
        <w:t xml:space="preserve">.. </w:t>
      </w:r>
      <w:r w:rsidRPr="00850CF2">
        <w:rPr>
          <w:i/>
          <w:iCs/>
          <w:sz w:val="24"/>
          <w:szCs w:val="24"/>
        </w:rPr>
        <w:t xml:space="preserve">to continue to work closely with colleagues in other local pharmacy services, the wider multi-disciplinary team and with local leadership and NHS commissioning bodies, to make sure patients get access to care and to the medicines they need, when they need them. </w:t>
      </w:r>
    </w:p>
    <w:p w14:paraId="3342DB10" w14:textId="77777777" w:rsidR="00591E3C" w:rsidRPr="00850CF2" w:rsidRDefault="00591E3C" w:rsidP="00591E3C">
      <w:pPr>
        <w:pStyle w:val="ListParagraph"/>
        <w:rPr>
          <w:i/>
          <w:iCs/>
          <w:sz w:val="24"/>
          <w:szCs w:val="24"/>
        </w:rPr>
      </w:pPr>
    </w:p>
    <w:p w14:paraId="26DAB627" w14:textId="77777777" w:rsidR="00591E3C" w:rsidRPr="00396D94" w:rsidRDefault="00591E3C" w:rsidP="00591E3C">
      <w:pPr>
        <w:pStyle w:val="ListParagraph"/>
        <w:numPr>
          <w:ilvl w:val="0"/>
          <w:numId w:val="13"/>
        </w:numPr>
        <w:rPr>
          <w:i/>
          <w:iCs/>
          <w:sz w:val="24"/>
          <w:szCs w:val="24"/>
          <w:lang w:val="en-US"/>
        </w:rPr>
      </w:pPr>
      <w:r w:rsidRPr="00396D94">
        <w:rPr>
          <w:sz w:val="24"/>
          <w:szCs w:val="24"/>
          <w:lang w:val="en-US"/>
        </w:rPr>
        <w:lastRenderedPageBreak/>
        <w:t xml:space="preserve">PSNC is </w:t>
      </w:r>
      <w:r>
        <w:rPr>
          <w:sz w:val="24"/>
          <w:szCs w:val="24"/>
          <w:lang w:val="en-US"/>
        </w:rPr>
        <w:t xml:space="preserve">in discussion </w:t>
      </w:r>
      <w:r w:rsidRPr="00396D94">
        <w:rPr>
          <w:sz w:val="24"/>
          <w:szCs w:val="24"/>
          <w:lang w:val="en-US"/>
        </w:rPr>
        <w:t xml:space="preserve">with DHSC </w:t>
      </w:r>
      <w:r>
        <w:rPr>
          <w:sz w:val="24"/>
          <w:szCs w:val="24"/>
          <w:lang w:val="en-US"/>
        </w:rPr>
        <w:t xml:space="preserve">on </w:t>
      </w:r>
      <w:r w:rsidRPr="00396D94">
        <w:rPr>
          <w:sz w:val="24"/>
          <w:szCs w:val="24"/>
          <w:lang w:val="en-US"/>
        </w:rPr>
        <w:t>a number of reimbursement and remuneration issues.</w:t>
      </w:r>
      <w:r>
        <w:rPr>
          <w:sz w:val="24"/>
          <w:szCs w:val="24"/>
          <w:lang w:val="en-US"/>
        </w:rPr>
        <w:t xml:space="preserve"> </w:t>
      </w:r>
    </w:p>
    <w:p w14:paraId="7F17ADFC" w14:textId="19EA0959" w:rsidR="00A5048E" w:rsidRPr="00DC7C87" w:rsidRDefault="00733D41" w:rsidP="00DC7C87">
      <w:pPr>
        <w:spacing w:after="0" w:line="240" w:lineRule="auto"/>
        <w:jc w:val="both"/>
        <w:rPr>
          <w:rFonts w:cstheme="minorHAnsi"/>
          <w:color w:val="444444"/>
          <w:sz w:val="24"/>
          <w:szCs w:val="24"/>
        </w:rPr>
      </w:pPr>
      <w:r w:rsidRPr="00DC7C87">
        <w:rPr>
          <w:rFonts w:cstheme="minorHAnsi"/>
          <w:sz w:val="24"/>
          <w:szCs w:val="24"/>
        </w:rPr>
        <w:t>If you have queries on this PSNC Briefing or you require more information please contact</w:t>
      </w:r>
      <w:r w:rsidR="00A5048E" w:rsidRPr="00DC7C87">
        <w:rPr>
          <w:rStyle w:val="apple-converted-space"/>
          <w:rFonts w:cstheme="minorHAnsi"/>
          <w:color w:val="65922E" w:themeColor="accent5"/>
          <w:sz w:val="24"/>
          <w:szCs w:val="24"/>
        </w:rPr>
        <w:t> </w:t>
      </w:r>
      <w:hyperlink r:id="rId14" w:history="1">
        <w:r w:rsidR="00DC7C87" w:rsidRPr="00DC7C87">
          <w:rPr>
            <w:rStyle w:val="Hyperlink"/>
            <w:rFonts w:cstheme="minorHAnsi"/>
            <w:b/>
            <w:bCs/>
            <w:color w:val="65922E"/>
            <w:sz w:val="24"/>
            <w:szCs w:val="24"/>
          </w:rPr>
          <w:t>Gordon Hockey, PSNC Director, Legal</w:t>
        </w:r>
      </w:hyperlink>
      <w:r w:rsidR="00A5048E" w:rsidRPr="00DC7C87">
        <w:rPr>
          <w:rFonts w:cstheme="minorHAnsi"/>
          <w:color w:val="444444"/>
          <w:sz w:val="24"/>
          <w:szCs w:val="24"/>
        </w:rPr>
        <w:t>.</w:t>
      </w:r>
    </w:p>
    <w:p w14:paraId="4A7A8AB1" w14:textId="77777777" w:rsidR="00334084" w:rsidRPr="00DC7C87" w:rsidRDefault="00334084" w:rsidP="00DC7C87">
      <w:pPr>
        <w:spacing w:after="0" w:line="240" w:lineRule="auto"/>
        <w:jc w:val="both"/>
        <w:rPr>
          <w:rFonts w:cstheme="minorHAnsi"/>
          <w:sz w:val="24"/>
          <w:szCs w:val="24"/>
        </w:rPr>
      </w:pPr>
    </w:p>
    <w:p w14:paraId="5A2782BD" w14:textId="77777777" w:rsidR="00334084" w:rsidRPr="00DC7C87" w:rsidRDefault="00334084" w:rsidP="00DC7C87">
      <w:pPr>
        <w:spacing w:after="0" w:line="240" w:lineRule="auto"/>
        <w:jc w:val="both"/>
        <w:rPr>
          <w:rFonts w:cstheme="minorHAnsi"/>
          <w:sz w:val="24"/>
          <w:szCs w:val="24"/>
        </w:rPr>
      </w:pPr>
    </w:p>
    <w:p w14:paraId="38CF6FB7" w14:textId="77777777" w:rsidR="00334084" w:rsidRPr="00DC7C87" w:rsidRDefault="00334084" w:rsidP="00DC7C87">
      <w:pPr>
        <w:spacing w:after="0" w:line="240" w:lineRule="auto"/>
        <w:jc w:val="both"/>
        <w:rPr>
          <w:rFonts w:cstheme="minorHAnsi"/>
          <w:sz w:val="24"/>
          <w:szCs w:val="24"/>
        </w:rPr>
      </w:pPr>
    </w:p>
    <w:p w14:paraId="08FD9E45" w14:textId="77777777" w:rsidR="00334084" w:rsidRPr="00DC7C87" w:rsidRDefault="00334084" w:rsidP="00DC7C87">
      <w:pPr>
        <w:spacing w:after="0" w:line="240" w:lineRule="auto"/>
        <w:jc w:val="both"/>
        <w:rPr>
          <w:rFonts w:cstheme="minorHAnsi"/>
          <w:sz w:val="24"/>
          <w:szCs w:val="24"/>
        </w:rPr>
      </w:pPr>
    </w:p>
    <w:p w14:paraId="04AD67EE" w14:textId="77777777" w:rsidR="00334084" w:rsidRPr="00DC7C87" w:rsidRDefault="00334084" w:rsidP="00DC7C87">
      <w:pPr>
        <w:spacing w:after="0" w:line="240" w:lineRule="auto"/>
        <w:jc w:val="both"/>
        <w:rPr>
          <w:rFonts w:cstheme="minorHAnsi"/>
          <w:sz w:val="24"/>
          <w:szCs w:val="24"/>
        </w:rPr>
      </w:pPr>
    </w:p>
    <w:p w14:paraId="0B78C50B" w14:textId="77777777" w:rsidR="00334084" w:rsidRPr="00DC7C87" w:rsidRDefault="00334084" w:rsidP="00DC7C87">
      <w:pPr>
        <w:spacing w:after="0" w:line="240" w:lineRule="auto"/>
        <w:jc w:val="both"/>
        <w:rPr>
          <w:rFonts w:cstheme="minorHAnsi"/>
          <w:sz w:val="24"/>
          <w:szCs w:val="24"/>
        </w:rPr>
      </w:pPr>
    </w:p>
    <w:p w14:paraId="332BF796" w14:textId="77777777" w:rsidR="00334084" w:rsidRPr="00DC7C87" w:rsidRDefault="00334084" w:rsidP="00DC7C87">
      <w:pPr>
        <w:spacing w:after="0" w:line="240" w:lineRule="auto"/>
        <w:jc w:val="both"/>
        <w:rPr>
          <w:rFonts w:cstheme="minorHAnsi"/>
          <w:sz w:val="24"/>
          <w:szCs w:val="24"/>
        </w:rPr>
      </w:pPr>
    </w:p>
    <w:p w14:paraId="38C5FEFF" w14:textId="77777777" w:rsidR="00334084" w:rsidRPr="00DC7C87" w:rsidRDefault="00334084" w:rsidP="00DC7C87">
      <w:pPr>
        <w:spacing w:after="0" w:line="240" w:lineRule="auto"/>
        <w:jc w:val="both"/>
        <w:rPr>
          <w:rFonts w:cstheme="minorHAnsi"/>
          <w:sz w:val="24"/>
          <w:szCs w:val="24"/>
        </w:rPr>
      </w:pPr>
    </w:p>
    <w:p w14:paraId="1ED45DBF" w14:textId="77777777" w:rsidR="00334084" w:rsidRPr="00DC7C87" w:rsidRDefault="00334084" w:rsidP="00DC7C87">
      <w:pPr>
        <w:spacing w:after="0" w:line="240" w:lineRule="auto"/>
        <w:jc w:val="both"/>
        <w:rPr>
          <w:rFonts w:cstheme="minorHAnsi"/>
          <w:sz w:val="24"/>
          <w:szCs w:val="24"/>
        </w:rPr>
      </w:pPr>
    </w:p>
    <w:p w14:paraId="541D2B72" w14:textId="77777777" w:rsidR="00334084" w:rsidRPr="00DC7C87" w:rsidRDefault="00334084" w:rsidP="00DC7C87">
      <w:pPr>
        <w:spacing w:after="0" w:line="240" w:lineRule="auto"/>
        <w:jc w:val="both"/>
        <w:rPr>
          <w:rFonts w:cstheme="minorHAnsi"/>
          <w:sz w:val="24"/>
          <w:szCs w:val="24"/>
        </w:rPr>
      </w:pPr>
    </w:p>
    <w:p w14:paraId="7E18A40E" w14:textId="77777777" w:rsidR="00334084" w:rsidRPr="00DC7C87" w:rsidRDefault="00334084" w:rsidP="00DC7C87">
      <w:pPr>
        <w:spacing w:after="0" w:line="240" w:lineRule="auto"/>
        <w:jc w:val="both"/>
        <w:rPr>
          <w:rFonts w:cstheme="minorHAnsi"/>
          <w:sz w:val="24"/>
          <w:szCs w:val="24"/>
        </w:rPr>
      </w:pPr>
    </w:p>
    <w:p w14:paraId="125A9FA8" w14:textId="77777777" w:rsidR="00334084" w:rsidRPr="00DC7C87" w:rsidRDefault="00334084" w:rsidP="00DC7C87">
      <w:pPr>
        <w:spacing w:after="0" w:line="240" w:lineRule="auto"/>
        <w:jc w:val="both"/>
        <w:rPr>
          <w:rFonts w:cstheme="minorHAnsi"/>
          <w:sz w:val="24"/>
          <w:szCs w:val="24"/>
        </w:rPr>
      </w:pPr>
    </w:p>
    <w:p w14:paraId="39AB992B" w14:textId="77777777" w:rsidR="00334084" w:rsidRPr="00DC7C87" w:rsidRDefault="00334084" w:rsidP="00DC7C87">
      <w:pPr>
        <w:spacing w:after="0" w:line="240" w:lineRule="auto"/>
        <w:jc w:val="both"/>
        <w:rPr>
          <w:rFonts w:cstheme="minorHAnsi"/>
          <w:sz w:val="24"/>
          <w:szCs w:val="24"/>
        </w:rPr>
      </w:pPr>
    </w:p>
    <w:p w14:paraId="071FD5C0" w14:textId="77777777" w:rsidR="00334084" w:rsidRPr="00DC7C87" w:rsidRDefault="00334084" w:rsidP="00DC7C87">
      <w:pPr>
        <w:spacing w:after="0" w:line="240" w:lineRule="auto"/>
        <w:jc w:val="both"/>
        <w:rPr>
          <w:rFonts w:cstheme="minorHAnsi"/>
          <w:sz w:val="24"/>
          <w:szCs w:val="24"/>
        </w:rPr>
      </w:pPr>
    </w:p>
    <w:p w14:paraId="6B57D308" w14:textId="77777777" w:rsidR="00334084" w:rsidRPr="00DC7C87" w:rsidRDefault="00334084" w:rsidP="00DC7C87">
      <w:pPr>
        <w:spacing w:after="0" w:line="240" w:lineRule="auto"/>
        <w:jc w:val="both"/>
        <w:rPr>
          <w:rFonts w:cstheme="minorHAnsi"/>
          <w:sz w:val="24"/>
          <w:szCs w:val="24"/>
        </w:rPr>
      </w:pPr>
    </w:p>
    <w:p w14:paraId="2347C129" w14:textId="77777777" w:rsidR="00334084" w:rsidRPr="00DC7C87" w:rsidRDefault="00334084" w:rsidP="00DC7C87">
      <w:pPr>
        <w:spacing w:after="0" w:line="240" w:lineRule="auto"/>
        <w:jc w:val="both"/>
        <w:rPr>
          <w:rFonts w:cstheme="minorHAnsi"/>
          <w:sz w:val="24"/>
          <w:szCs w:val="24"/>
        </w:rPr>
      </w:pPr>
    </w:p>
    <w:p w14:paraId="12CA0110" w14:textId="77777777" w:rsidR="00334084" w:rsidRPr="00DC7C87" w:rsidRDefault="00334084" w:rsidP="00DC7C87">
      <w:pPr>
        <w:spacing w:after="0" w:line="240" w:lineRule="auto"/>
        <w:jc w:val="both"/>
        <w:rPr>
          <w:rFonts w:cstheme="minorHAnsi"/>
          <w:sz w:val="24"/>
          <w:szCs w:val="24"/>
        </w:rPr>
      </w:pPr>
    </w:p>
    <w:p w14:paraId="6A977B02" w14:textId="77777777" w:rsidR="00334084" w:rsidRPr="00DC7C87" w:rsidRDefault="00334084" w:rsidP="00DC7C87">
      <w:pPr>
        <w:spacing w:after="0" w:line="240" w:lineRule="auto"/>
        <w:jc w:val="both"/>
        <w:rPr>
          <w:rFonts w:cstheme="minorHAnsi"/>
          <w:sz w:val="24"/>
          <w:szCs w:val="24"/>
        </w:rPr>
      </w:pPr>
    </w:p>
    <w:p w14:paraId="5056DE68" w14:textId="77777777" w:rsidR="00334084" w:rsidRPr="00DC7C87" w:rsidRDefault="00334084" w:rsidP="00DC7C87">
      <w:pPr>
        <w:spacing w:after="0" w:line="240" w:lineRule="auto"/>
        <w:jc w:val="both"/>
        <w:rPr>
          <w:rFonts w:cstheme="minorHAnsi"/>
          <w:sz w:val="24"/>
          <w:szCs w:val="24"/>
        </w:rPr>
      </w:pPr>
    </w:p>
    <w:p w14:paraId="2F9F1E17" w14:textId="77777777" w:rsidR="00334084" w:rsidRPr="00DC7C87" w:rsidRDefault="00334084" w:rsidP="00DC7C87">
      <w:pPr>
        <w:spacing w:after="0" w:line="240" w:lineRule="auto"/>
        <w:jc w:val="both"/>
        <w:rPr>
          <w:rFonts w:cstheme="minorHAnsi"/>
          <w:sz w:val="24"/>
          <w:szCs w:val="24"/>
        </w:rPr>
      </w:pPr>
    </w:p>
    <w:p w14:paraId="065217D3" w14:textId="77777777" w:rsidR="00334084" w:rsidRPr="00DC7C87" w:rsidRDefault="00334084" w:rsidP="00DC7C87">
      <w:pPr>
        <w:spacing w:after="0" w:line="240" w:lineRule="auto"/>
        <w:jc w:val="both"/>
        <w:rPr>
          <w:rFonts w:cstheme="minorHAnsi"/>
          <w:sz w:val="24"/>
          <w:szCs w:val="24"/>
        </w:rPr>
      </w:pPr>
    </w:p>
    <w:p w14:paraId="1668A75D" w14:textId="77777777" w:rsidR="00334084" w:rsidRPr="00DC7C87" w:rsidRDefault="00334084" w:rsidP="00DC7C87">
      <w:pPr>
        <w:spacing w:after="0" w:line="240" w:lineRule="auto"/>
        <w:jc w:val="both"/>
        <w:rPr>
          <w:rFonts w:cstheme="minorHAnsi"/>
          <w:sz w:val="24"/>
          <w:szCs w:val="24"/>
        </w:rPr>
      </w:pPr>
    </w:p>
    <w:p w14:paraId="47E9469E" w14:textId="77777777" w:rsidR="00334084" w:rsidRPr="00DC7C87" w:rsidRDefault="00334084" w:rsidP="00DC7C87">
      <w:pPr>
        <w:spacing w:after="0" w:line="240" w:lineRule="auto"/>
        <w:jc w:val="both"/>
        <w:rPr>
          <w:rFonts w:cstheme="minorHAnsi"/>
          <w:sz w:val="24"/>
          <w:szCs w:val="24"/>
        </w:rPr>
      </w:pPr>
    </w:p>
    <w:p w14:paraId="5B46FF34" w14:textId="77777777" w:rsidR="00334084" w:rsidRPr="00DC7C87" w:rsidRDefault="00334084" w:rsidP="00DC7C87">
      <w:pPr>
        <w:spacing w:after="0" w:line="240" w:lineRule="auto"/>
        <w:jc w:val="both"/>
        <w:rPr>
          <w:rFonts w:cstheme="minorHAnsi"/>
          <w:sz w:val="24"/>
          <w:szCs w:val="24"/>
        </w:rPr>
      </w:pPr>
    </w:p>
    <w:p w14:paraId="4DB945A2" w14:textId="77777777" w:rsidR="00334084" w:rsidRPr="00DC7C87" w:rsidRDefault="00334084" w:rsidP="00DC7C87">
      <w:pPr>
        <w:spacing w:after="0" w:line="240" w:lineRule="auto"/>
        <w:jc w:val="both"/>
        <w:rPr>
          <w:rFonts w:cstheme="minorHAnsi"/>
          <w:sz w:val="24"/>
          <w:szCs w:val="24"/>
        </w:rPr>
      </w:pPr>
    </w:p>
    <w:p w14:paraId="57B1263A" w14:textId="77777777" w:rsidR="00334084" w:rsidRPr="00DC7C87" w:rsidRDefault="00334084" w:rsidP="00DC7C87">
      <w:pPr>
        <w:spacing w:after="0" w:line="240" w:lineRule="auto"/>
        <w:jc w:val="both"/>
        <w:rPr>
          <w:rFonts w:cstheme="minorHAnsi"/>
          <w:sz w:val="24"/>
          <w:szCs w:val="24"/>
        </w:rPr>
      </w:pPr>
    </w:p>
    <w:p w14:paraId="421458C2" w14:textId="77777777" w:rsidR="00334084" w:rsidRPr="00DC7C87" w:rsidRDefault="00334084" w:rsidP="00DC7C87">
      <w:pPr>
        <w:spacing w:after="0" w:line="240" w:lineRule="auto"/>
        <w:jc w:val="both"/>
        <w:rPr>
          <w:rFonts w:cstheme="minorHAnsi"/>
          <w:sz w:val="24"/>
          <w:szCs w:val="24"/>
        </w:rPr>
      </w:pPr>
    </w:p>
    <w:p w14:paraId="219DF494" w14:textId="77777777" w:rsidR="00334084" w:rsidRPr="00DC7C87" w:rsidRDefault="00334084" w:rsidP="00DC7C87">
      <w:pPr>
        <w:spacing w:after="0" w:line="240" w:lineRule="auto"/>
        <w:jc w:val="both"/>
        <w:rPr>
          <w:rFonts w:cstheme="minorHAnsi"/>
          <w:sz w:val="24"/>
          <w:szCs w:val="24"/>
        </w:rPr>
      </w:pPr>
    </w:p>
    <w:p w14:paraId="43BC8D09" w14:textId="77777777" w:rsidR="00334084" w:rsidRPr="00DC7C87" w:rsidRDefault="00334084" w:rsidP="00DC7C87">
      <w:pPr>
        <w:spacing w:after="0" w:line="240" w:lineRule="auto"/>
        <w:jc w:val="both"/>
        <w:rPr>
          <w:rFonts w:cstheme="minorHAnsi"/>
          <w:sz w:val="24"/>
          <w:szCs w:val="24"/>
        </w:rPr>
      </w:pPr>
    </w:p>
    <w:p w14:paraId="337B5FBF" w14:textId="77777777" w:rsidR="00334084" w:rsidRPr="00DC7C87" w:rsidRDefault="00334084" w:rsidP="00DC7C87">
      <w:pPr>
        <w:spacing w:after="0" w:line="240" w:lineRule="auto"/>
        <w:jc w:val="both"/>
        <w:rPr>
          <w:rFonts w:cstheme="minorHAnsi"/>
          <w:sz w:val="24"/>
          <w:szCs w:val="24"/>
        </w:rPr>
      </w:pPr>
    </w:p>
    <w:p w14:paraId="1F14F52F" w14:textId="77777777" w:rsidR="00334084" w:rsidRPr="00DC7C87" w:rsidRDefault="00334084" w:rsidP="00DC7C87">
      <w:pPr>
        <w:spacing w:after="0" w:line="240" w:lineRule="auto"/>
        <w:jc w:val="both"/>
        <w:rPr>
          <w:rFonts w:cstheme="minorHAnsi"/>
          <w:sz w:val="24"/>
          <w:szCs w:val="24"/>
        </w:rPr>
      </w:pPr>
    </w:p>
    <w:p w14:paraId="020EDAE7" w14:textId="77777777" w:rsidR="00334084" w:rsidRPr="00DC7C87" w:rsidRDefault="00334084" w:rsidP="00DC7C87">
      <w:pPr>
        <w:spacing w:after="0" w:line="240" w:lineRule="auto"/>
        <w:jc w:val="both"/>
        <w:rPr>
          <w:rFonts w:cstheme="minorHAnsi"/>
          <w:sz w:val="24"/>
          <w:szCs w:val="24"/>
        </w:rPr>
      </w:pPr>
    </w:p>
    <w:p w14:paraId="0EF086B2" w14:textId="77777777" w:rsidR="00334084" w:rsidRPr="00DC7C87" w:rsidRDefault="00334084" w:rsidP="00DC7C87">
      <w:pPr>
        <w:spacing w:after="0" w:line="240" w:lineRule="auto"/>
        <w:jc w:val="both"/>
        <w:rPr>
          <w:rFonts w:cstheme="minorHAnsi"/>
          <w:sz w:val="24"/>
          <w:szCs w:val="24"/>
        </w:rPr>
      </w:pPr>
    </w:p>
    <w:p w14:paraId="3C6C05AD" w14:textId="77777777" w:rsidR="00334084" w:rsidRPr="00DC7C87" w:rsidRDefault="00334084" w:rsidP="00DC7C87">
      <w:pPr>
        <w:spacing w:after="0" w:line="240" w:lineRule="auto"/>
        <w:jc w:val="both"/>
        <w:rPr>
          <w:rFonts w:cstheme="minorHAnsi"/>
          <w:sz w:val="24"/>
          <w:szCs w:val="24"/>
        </w:rPr>
      </w:pPr>
    </w:p>
    <w:p w14:paraId="1722925F" w14:textId="77777777" w:rsidR="00334084" w:rsidRPr="000C564A" w:rsidRDefault="00334084" w:rsidP="00010AD0">
      <w:pPr>
        <w:spacing w:after="0" w:line="240" w:lineRule="auto"/>
        <w:jc w:val="both"/>
      </w:pPr>
    </w:p>
    <w:p w14:paraId="2455F5CB" w14:textId="77777777" w:rsidR="00334084" w:rsidRPr="000C564A" w:rsidRDefault="00334084" w:rsidP="00010AD0">
      <w:pPr>
        <w:spacing w:after="0" w:line="240" w:lineRule="auto"/>
        <w:jc w:val="both"/>
      </w:pPr>
    </w:p>
    <w:p w14:paraId="10C337D4" w14:textId="77777777" w:rsidR="00334084" w:rsidRPr="000C564A" w:rsidRDefault="00334084" w:rsidP="00010AD0">
      <w:pPr>
        <w:spacing w:after="0" w:line="240" w:lineRule="auto"/>
        <w:jc w:val="both"/>
      </w:pPr>
    </w:p>
    <w:p w14:paraId="2C4173A5" w14:textId="77777777" w:rsidR="00334084" w:rsidRPr="000C564A" w:rsidRDefault="00334084" w:rsidP="00010AD0">
      <w:pPr>
        <w:spacing w:after="0" w:line="240" w:lineRule="auto"/>
        <w:jc w:val="both"/>
      </w:pPr>
    </w:p>
    <w:p w14:paraId="65FE3A2F" w14:textId="77777777" w:rsidR="00334084" w:rsidRPr="000C564A" w:rsidRDefault="00334084" w:rsidP="00010AD0">
      <w:pPr>
        <w:spacing w:after="0" w:line="240" w:lineRule="auto"/>
        <w:jc w:val="both"/>
      </w:pPr>
    </w:p>
    <w:p w14:paraId="650B1495" w14:textId="77777777" w:rsidR="00334084" w:rsidRPr="000C564A" w:rsidRDefault="00334084" w:rsidP="00010AD0">
      <w:pPr>
        <w:spacing w:after="0" w:line="240" w:lineRule="auto"/>
        <w:jc w:val="both"/>
        <w:rPr>
          <w:rFonts w:eastAsia="Times New Roman" w:cs="Times New Roman"/>
          <w:lang w:eastAsia="en-GB"/>
        </w:rPr>
      </w:pPr>
    </w:p>
    <w:p w14:paraId="75218D77" w14:textId="77777777" w:rsidR="00A5048E" w:rsidRPr="000C564A" w:rsidRDefault="00A5048E" w:rsidP="00010AD0">
      <w:pPr>
        <w:spacing w:after="0" w:line="240" w:lineRule="auto"/>
        <w:jc w:val="both"/>
      </w:pPr>
    </w:p>
    <w:sectPr w:rsidR="00A5048E" w:rsidRPr="000C564A" w:rsidSect="0006652C">
      <w:headerReference w:type="even" r:id="rId15"/>
      <w:headerReference w:type="default" r:id="rId16"/>
      <w:footerReference w:type="even" r:id="rId17"/>
      <w:footerReference w:type="default" r:id="rId18"/>
      <w:headerReference w:type="first" r:id="rId19"/>
      <w:footerReference w:type="first" r:id="rId20"/>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386F" w14:textId="77777777" w:rsidR="00DC7C87" w:rsidRDefault="00DC7C87" w:rsidP="00991CB5">
      <w:pPr>
        <w:spacing w:after="0" w:line="240" w:lineRule="auto"/>
      </w:pPr>
      <w:r>
        <w:separator/>
      </w:r>
    </w:p>
  </w:endnote>
  <w:endnote w:type="continuationSeparator" w:id="0">
    <w:p w14:paraId="05F00A2C" w14:textId="77777777" w:rsidR="00DC7C87" w:rsidRDefault="00DC7C87" w:rsidP="0099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7309" w14:textId="77777777" w:rsidR="00D77073" w:rsidRDefault="00D77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0DE2"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4AF4B894" w14:textId="77777777" w:rsidTr="003A1F4D">
      <w:tc>
        <w:tcPr>
          <w:tcW w:w="5506" w:type="dxa"/>
        </w:tcPr>
        <w:p w14:paraId="23B86913"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D77073">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D77073">
            <w:rPr>
              <w:b/>
              <w:noProof/>
              <w:color w:val="808080" w:themeColor="background1" w:themeShade="80"/>
            </w:rPr>
            <w:t>2</w:t>
          </w:r>
          <w:r w:rsidRPr="005E45F0">
            <w:rPr>
              <w:b/>
              <w:color w:val="808080" w:themeColor="background1" w:themeShade="80"/>
            </w:rPr>
            <w:fldChar w:fldCharType="end"/>
          </w:r>
        </w:p>
      </w:tc>
      <w:tc>
        <w:tcPr>
          <w:tcW w:w="5551" w:type="dxa"/>
        </w:tcPr>
        <w:p w14:paraId="74A3CCCD" w14:textId="77777777" w:rsidR="005E45F0" w:rsidRDefault="005E45F0" w:rsidP="005E45F0">
          <w:pPr>
            <w:pStyle w:val="Footer"/>
            <w:tabs>
              <w:tab w:val="clear" w:pos="9026"/>
              <w:tab w:val="right" w:pos="9639"/>
            </w:tabs>
            <w:ind w:right="34"/>
            <w:jc w:val="right"/>
            <w:rPr>
              <w:b/>
              <w:color w:val="808080" w:themeColor="background1" w:themeShade="80"/>
            </w:rPr>
          </w:pPr>
          <w:r w:rsidRPr="005E45F0">
            <w:rPr>
              <w:b/>
              <w:color w:val="808080" w:themeColor="background1" w:themeShade="80"/>
            </w:rPr>
            <w:t>info@psnc.org.uk</w:t>
          </w:r>
          <w:r>
            <w:rPr>
              <w:b/>
              <w:color w:val="808080" w:themeColor="background1" w:themeShade="80"/>
            </w:rPr>
            <w:t xml:space="preserve">      </w:t>
          </w:r>
          <w:r w:rsidRPr="005C5B3B">
            <w:rPr>
              <w:b/>
              <w:color w:val="808080" w:themeColor="background1" w:themeShade="80"/>
            </w:rPr>
            <w:t>psnc.org.uk      0203 1220 810</w:t>
          </w:r>
        </w:p>
      </w:tc>
    </w:tr>
  </w:tbl>
  <w:p w14:paraId="2959D305" w14:textId="77777777" w:rsidR="00991CB5" w:rsidRPr="005E45F0" w:rsidRDefault="00D77073" w:rsidP="005E45F0">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58240" behindDoc="0" locked="0" layoutInCell="1" allowOverlap="1" wp14:anchorId="469CDA88" wp14:editId="0A7880F4">
          <wp:simplePos x="0" y="0"/>
          <wp:positionH relativeFrom="margin">
            <wp:align>center</wp:align>
          </wp:positionH>
          <wp:positionV relativeFrom="paragraph">
            <wp:posOffset>53340</wp:posOffset>
          </wp:positionV>
          <wp:extent cx="7577455" cy="194310"/>
          <wp:effectExtent l="0" t="0" r="444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6BDA"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4656F4EC" w14:textId="77777777" w:rsidTr="003A1F4D">
      <w:tc>
        <w:tcPr>
          <w:tcW w:w="5506" w:type="dxa"/>
        </w:tcPr>
        <w:p w14:paraId="4AC63DAC"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D77073">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D77073">
            <w:rPr>
              <w:b/>
              <w:noProof/>
              <w:color w:val="808080" w:themeColor="background1" w:themeShade="80"/>
            </w:rPr>
            <w:t>2</w:t>
          </w:r>
          <w:r w:rsidRPr="005E45F0">
            <w:rPr>
              <w:b/>
              <w:color w:val="808080" w:themeColor="background1" w:themeShade="80"/>
            </w:rPr>
            <w:fldChar w:fldCharType="end"/>
          </w:r>
        </w:p>
      </w:tc>
      <w:tc>
        <w:tcPr>
          <w:tcW w:w="5551" w:type="dxa"/>
        </w:tcPr>
        <w:p w14:paraId="3238C128" w14:textId="77777777" w:rsidR="00334084" w:rsidRDefault="00334084" w:rsidP="006816D0">
          <w:pPr>
            <w:pStyle w:val="Footer"/>
            <w:tabs>
              <w:tab w:val="clear" w:pos="9026"/>
              <w:tab w:val="right" w:pos="9639"/>
            </w:tabs>
            <w:ind w:right="34"/>
            <w:jc w:val="right"/>
            <w:rPr>
              <w:b/>
              <w:color w:val="808080" w:themeColor="background1" w:themeShade="80"/>
            </w:rPr>
          </w:pPr>
          <w:r w:rsidRPr="005E45F0">
            <w:rPr>
              <w:b/>
              <w:color w:val="808080" w:themeColor="background1" w:themeShade="80"/>
            </w:rPr>
            <w:t>info@psnc.org.uk</w:t>
          </w:r>
          <w:r>
            <w:rPr>
              <w:b/>
              <w:color w:val="808080" w:themeColor="background1" w:themeShade="80"/>
            </w:rPr>
            <w:t xml:space="preserve">      </w:t>
          </w:r>
          <w:r w:rsidRPr="005C5B3B">
            <w:rPr>
              <w:b/>
              <w:color w:val="808080" w:themeColor="background1" w:themeShade="80"/>
            </w:rPr>
            <w:t>psnc.org.uk      0203 1220 810</w:t>
          </w:r>
        </w:p>
      </w:tc>
    </w:tr>
  </w:tbl>
  <w:p w14:paraId="10FECFF6" w14:textId="77777777" w:rsidR="00334084" w:rsidRPr="00D77073" w:rsidRDefault="00D77073" w:rsidP="00D77073">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63360" behindDoc="0" locked="0" layoutInCell="1" allowOverlap="1" wp14:anchorId="1FF6F899" wp14:editId="60ABCCE9">
          <wp:simplePos x="0" y="0"/>
          <wp:positionH relativeFrom="margin">
            <wp:align>center</wp:align>
          </wp:positionH>
          <wp:positionV relativeFrom="paragraph">
            <wp:posOffset>66675</wp:posOffset>
          </wp:positionV>
          <wp:extent cx="7577455" cy="194310"/>
          <wp:effectExtent l="0" t="0" r="444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FBC" w14:textId="77777777" w:rsidR="00DC7C87" w:rsidRDefault="00DC7C87" w:rsidP="00991CB5">
      <w:pPr>
        <w:spacing w:after="0" w:line="240" w:lineRule="auto"/>
      </w:pPr>
      <w:r>
        <w:separator/>
      </w:r>
    </w:p>
  </w:footnote>
  <w:footnote w:type="continuationSeparator" w:id="0">
    <w:p w14:paraId="197AD278" w14:textId="77777777" w:rsidR="00DC7C87" w:rsidRDefault="00DC7C87" w:rsidP="0099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541C" w14:textId="77777777" w:rsidR="00D77073" w:rsidRDefault="00D7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376B" w14:textId="77777777" w:rsidR="00733D41" w:rsidRDefault="0006652C" w:rsidP="00733D41">
    <w:pPr>
      <w:pStyle w:val="Header"/>
    </w:pPr>
    <w:r w:rsidRPr="00334084">
      <w:rPr>
        <w:noProof/>
        <w:lang w:eastAsia="en-GB"/>
      </w:rPr>
      <w:drawing>
        <wp:anchor distT="0" distB="0" distL="114300" distR="114300" simplePos="0" relativeHeight="251666432" behindDoc="0" locked="0" layoutInCell="1" allowOverlap="1" wp14:anchorId="25A6CE0B" wp14:editId="0B3B5085">
          <wp:simplePos x="0" y="0"/>
          <wp:positionH relativeFrom="column">
            <wp:posOffset>608330</wp:posOffset>
          </wp:positionH>
          <wp:positionV relativeFrom="paragraph">
            <wp:posOffset>-85090</wp:posOffset>
          </wp:positionV>
          <wp:extent cx="655320" cy="386715"/>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4084">
      <w:rPr>
        <w:noProof/>
        <w:lang w:eastAsia="en-GB"/>
      </w:rPr>
      <w:drawing>
        <wp:anchor distT="0" distB="0" distL="114300" distR="114300" simplePos="0" relativeHeight="251665408" behindDoc="0" locked="0" layoutInCell="1" allowOverlap="1" wp14:anchorId="7D8CAD98" wp14:editId="18EC91AA">
          <wp:simplePos x="0" y="0"/>
          <wp:positionH relativeFrom="column">
            <wp:posOffset>-18415</wp:posOffset>
          </wp:positionH>
          <wp:positionV relativeFrom="paragraph">
            <wp:posOffset>-102870</wp:posOffset>
          </wp:positionV>
          <wp:extent cx="601980" cy="433705"/>
          <wp:effectExtent l="0" t="0" r="7620" b="444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25FBAE" w14:textId="77777777" w:rsidR="00733D41" w:rsidRDefault="00733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0EF2" w14:textId="77777777" w:rsidR="00334084" w:rsidRDefault="0006652C">
    <w:pPr>
      <w:pStyle w:val="Header"/>
    </w:pPr>
    <w:r w:rsidRPr="00334084">
      <w:rPr>
        <w:noProof/>
        <w:lang w:eastAsia="en-GB"/>
      </w:rPr>
      <w:drawing>
        <wp:anchor distT="0" distB="0" distL="114300" distR="114300" simplePos="0" relativeHeight="251660288" behindDoc="0" locked="0" layoutInCell="1" allowOverlap="1" wp14:anchorId="4BF7D98C" wp14:editId="7E619F94">
          <wp:simplePos x="0" y="0"/>
          <wp:positionH relativeFrom="column">
            <wp:posOffset>8890</wp:posOffset>
          </wp:positionH>
          <wp:positionV relativeFrom="paragraph">
            <wp:posOffset>-166370</wp:posOffset>
          </wp:positionV>
          <wp:extent cx="1124585" cy="810260"/>
          <wp:effectExtent l="0" t="0" r="0" b="889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124585" cy="81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4084">
      <w:rPr>
        <w:noProof/>
        <w:lang w:eastAsia="en-GB"/>
      </w:rPr>
      <w:drawing>
        <wp:anchor distT="0" distB="0" distL="114300" distR="114300" simplePos="0" relativeHeight="251661312" behindDoc="0" locked="0" layoutInCell="1" allowOverlap="1" wp14:anchorId="0233FB2A" wp14:editId="1F371A41">
          <wp:simplePos x="0" y="0"/>
          <wp:positionH relativeFrom="column">
            <wp:posOffset>1067435</wp:posOffset>
          </wp:positionH>
          <wp:positionV relativeFrom="paragraph">
            <wp:posOffset>-116205</wp:posOffset>
          </wp:positionV>
          <wp:extent cx="1283970" cy="758190"/>
          <wp:effectExtent l="0" t="0" r="0" b="381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283970" cy="758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4C0FA3" w14:textId="77777777" w:rsidR="00334084" w:rsidRDefault="00334084">
    <w:pPr>
      <w:pStyle w:val="Header"/>
    </w:pPr>
  </w:p>
  <w:p w14:paraId="7B00C31E" w14:textId="77777777" w:rsidR="00334084" w:rsidRDefault="00334084">
    <w:pPr>
      <w:pStyle w:val="Header"/>
    </w:pPr>
  </w:p>
  <w:p w14:paraId="674A4D1B" w14:textId="77777777" w:rsidR="00334084" w:rsidRDefault="00334084">
    <w:pPr>
      <w:pStyle w:val="Header"/>
    </w:pPr>
  </w:p>
  <w:p w14:paraId="287D04B7" w14:textId="77777777" w:rsidR="00334084" w:rsidRDefault="00334084">
    <w:pPr>
      <w:pStyle w:val="Header"/>
    </w:pPr>
  </w:p>
  <w:p w14:paraId="5F2A9647" w14:textId="77777777" w:rsidR="00334084" w:rsidRDefault="00334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C06A9"/>
    <w:multiLevelType w:val="hybridMultilevel"/>
    <w:tmpl w:val="6010AD1A"/>
    <w:lvl w:ilvl="0" w:tplc="6EB4687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46756"/>
    <w:multiLevelType w:val="multilevel"/>
    <w:tmpl w:val="43A44416"/>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253BB"/>
    <w:multiLevelType w:val="multilevel"/>
    <w:tmpl w:val="C64AB0C6"/>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804D1"/>
    <w:multiLevelType w:val="multilevel"/>
    <w:tmpl w:val="3DC29140"/>
    <w:lvl w:ilvl="0">
      <w:start w:val="1"/>
      <w:numFmt w:val="bullet"/>
      <w:lvlText w:val=""/>
      <w:lvlJc w:val="left"/>
      <w:pPr>
        <w:tabs>
          <w:tab w:val="num" w:pos="720"/>
        </w:tabs>
        <w:ind w:left="720" w:hanging="360"/>
      </w:pPr>
      <w:rPr>
        <w:rFonts w:ascii="Symbol" w:hAnsi="Symbol" w:hint="default"/>
        <w:color w:val="65922E" w:themeColor="accent5"/>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93019"/>
    <w:multiLevelType w:val="multilevel"/>
    <w:tmpl w:val="F97214E0"/>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A536C"/>
    <w:multiLevelType w:val="multilevel"/>
    <w:tmpl w:val="50F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87EDA"/>
    <w:multiLevelType w:val="multilevel"/>
    <w:tmpl w:val="8CC62322"/>
    <w:lvl w:ilvl="0">
      <w:start w:val="1"/>
      <w:numFmt w:val="bullet"/>
      <w:lvlText w:val=""/>
      <w:lvlJc w:val="left"/>
      <w:pPr>
        <w:tabs>
          <w:tab w:val="num" w:pos="720"/>
        </w:tabs>
        <w:ind w:left="720" w:hanging="360"/>
      </w:pPr>
      <w:rPr>
        <w:rFonts w:ascii="Symbol" w:hAnsi="Symbol" w:hint="default"/>
        <w:color w:val="93378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7700A4"/>
    <w:multiLevelType w:val="multilevel"/>
    <w:tmpl w:val="A71EB5AA"/>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C3121"/>
    <w:multiLevelType w:val="multilevel"/>
    <w:tmpl w:val="FC6C675A"/>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D3654"/>
    <w:multiLevelType w:val="multilevel"/>
    <w:tmpl w:val="DC067D8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3846471">
    <w:abstractNumId w:val="8"/>
  </w:num>
  <w:num w:numId="2" w16cid:durableId="883366704">
    <w:abstractNumId w:val="7"/>
  </w:num>
  <w:num w:numId="3" w16cid:durableId="675422027">
    <w:abstractNumId w:val="5"/>
  </w:num>
  <w:num w:numId="4" w16cid:durableId="7297695">
    <w:abstractNumId w:val="10"/>
  </w:num>
  <w:num w:numId="5" w16cid:durableId="1885486868">
    <w:abstractNumId w:val="3"/>
  </w:num>
  <w:num w:numId="6" w16cid:durableId="779688661">
    <w:abstractNumId w:val="4"/>
  </w:num>
  <w:num w:numId="7" w16cid:durableId="1250697081">
    <w:abstractNumId w:val="12"/>
  </w:num>
  <w:num w:numId="8" w16cid:durableId="1532304755">
    <w:abstractNumId w:val="2"/>
  </w:num>
  <w:num w:numId="9" w16cid:durableId="402065765">
    <w:abstractNumId w:val="9"/>
  </w:num>
  <w:num w:numId="10" w16cid:durableId="226502106">
    <w:abstractNumId w:val="0"/>
  </w:num>
  <w:num w:numId="11" w16cid:durableId="1844739605">
    <w:abstractNumId w:val="11"/>
  </w:num>
  <w:num w:numId="12" w16cid:durableId="1544906986">
    <w:abstractNumId w:val="6"/>
  </w:num>
  <w:num w:numId="13" w16cid:durableId="2053457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87"/>
    <w:rsid w:val="00004569"/>
    <w:rsid w:val="00010AD0"/>
    <w:rsid w:val="0006652C"/>
    <w:rsid w:val="000C564A"/>
    <w:rsid w:val="000E2D17"/>
    <w:rsid w:val="001778EB"/>
    <w:rsid w:val="00252A98"/>
    <w:rsid w:val="002D46FD"/>
    <w:rsid w:val="002E3175"/>
    <w:rsid w:val="00334084"/>
    <w:rsid w:val="00366C1A"/>
    <w:rsid w:val="003A1F4D"/>
    <w:rsid w:val="003B4A7B"/>
    <w:rsid w:val="004457FD"/>
    <w:rsid w:val="00466322"/>
    <w:rsid w:val="004B72D7"/>
    <w:rsid w:val="00591E3C"/>
    <w:rsid w:val="005C5B3B"/>
    <w:rsid w:val="005D6312"/>
    <w:rsid w:val="005E45F0"/>
    <w:rsid w:val="00636735"/>
    <w:rsid w:val="00643881"/>
    <w:rsid w:val="00646FA2"/>
    <w:rsid w:val="00683E56"/>
    <w:rsid w:val="0071716E"/>
    <w:rsid w:val="00733D41"/>
    <w:rsid w:val="007C3AB6"/>
    <w:rsid w:val="00813C89"/>
    <w:rsid w:val="008918FE"/>
    <w:rsid w:val="00962CB2"/>
    <w:rsid w:val="00987A17"/>
    <w:rsid w:val="00991CB5"/>
    <w:rsid w:val="009B0379"/>
    <w:rsid w:val="009B1F2E"/>
    <w:rsid w:val="00A017AE"/>
    <w:rsid w:val="00A5048E"/>
    <w:rsid w:val="00AF32C0"/>
    <w:rsid w:val="00B002BC"/>
    <w:rsid w:val="00B42CD7"/>
    <w:rsid w:val="00BB552C"/>
    <w:rsid w:val="00BD0024"/>
    <w:rsid w:val="00D074D7"/>
    <w:rsid w:val="00D77073"/>
    <w:rsid w:val="00D77F94"/>
    <w:rsid w:val="00D93F4C"/>
    <w:rsid w:val="00DB1BDE"/>
    <w:rsid w:val="00DC7C87"/>
    <w:rsid w:val="00E12D34"/>
    <w:rsid w:val="00E844F3"/>
    <w:rsid w:val="00ED6D7D"/>
    <w:rsid w:val="00EE1F82"/>
    <w:rsid w:val="00F21D0B"/>
    <w:rsid w:val="00F55BB2"/>
    <w:rsid w:val="00F81BA0"/>
    <w:rsid w:val="00FA2ED2"/>
    <w:rsid w:val="00FD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A33A5"/>
  <w15:docId w15:val="{A6DAB904-2DC2-415C-8B24-980BDA56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A5048E"/>
    <w:rPr>
      <w:color w:val="0000FF"/>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C87"/>
    <w:pPr>
      <w:spacing w:after="160" w:line="259" w:lineRule="auto"/>
      <w:ind w:left="720"/>
      <w:contextualSpacing/>
    </w:pPr>
  </w:style>
  <w:style w:type="paragraph" w:customStyle="1" w:styleId="pf0">
    <w:name w:val="pf0"/>
    <w:basedOn w:val="Normal"/>
    <w:rsid w:val="00DC7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C7C87"/>
    <w:rPr>
      <w:rFonts w:ascii="Segoe UI" w:hAnsi="Segoe UI" w:cs="Segoe UI" w:hint="default"/>
      <w:sz w:val="18"/>
      <w:szCs w:val="18"/>
    </w:rPr>
  </w:style>
  <w:style w:type="character" w:styleId="UnresolvedMention">
    <w:name w:val="Unresolved Mention"/>
    <w:basedOn w:val="DefaultParagraphFont"/>
    <w:uiPriority w:val="99"/>
    <w:semiHidden/>
    <w:unhideWhenUsed/>
    <w:rsid w:val="00DC7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600219509">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gov.uk%2Fgovernment%2Fpublications%2Frepeal-of-wholesale-dealer-licence-exemption-for-pharmacists&amp;data=05%7C01%7Csusan.grieve%40dhsc.gov.uk%7C75b0e05f63c242c72fae08dae2964897%7C61278c3091a84c318c1fef4de8973a1c%7C1%7C0%7C638071432327758913%7CUnknown%7CTWFpbGZsb3d8eyJWIjoiMC4wLjAwMDAiLCJQIjoiV2luMzIiLCJBTiI6Ik1haWwiLCJXVCI6Mn0%3D%7C3000%7C%7C%7C&amp;sdata=fNxnWHUGcn9LXyrs2OBQuSgjWOoYe13pW3RumznoKmE%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pharms.com/publications/pharmacy-alerts/details/Further-5-Serious-Shortage-Protocols-SSPs-phenoxymethylpenicillin-products-to-enable-the-supply-of-alternative-antibioti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nc.org.uk/briefings/psnc-briefing-023-19-serious-shortage-protocols-ssps-a-guide-for-community-pharmacy-teams-june-201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hsbsa.nhs.uk/pharmacies-gp-practices-and-appliance-contractors/serious-shortage-protocols-ssp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ordon.hockey@psnc.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gilliam\Downloads\Dispensing%20and%20Supply%20briefing%20template.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8D8278B33D9646B12AB1635B98D01C" ma:contentTypeVersion="" ma:contentTypeDescription="Create a new document." ma:contentTypeScope="" ma:versionID="41ca845a3f7bb26515d3c2be31ca9aae">
  <xsd:schema xmlns:xsd="http://www.w3.org/2001/XMLSchema" xmlns:xs="http://www.w3.org/2001/XMLSchema" xmlns:p="http://schemas.microsoft.com/office/2006/metadata/properties" xmlns:ns2="1c7d3551-5694-4f12-b35a-d9a7a462ea4b" xmlns:ns3="9154ac1c-28d4-46c7-b504-e2b8691f73ef" xmlns:ns4="2989b953-db31-4d4a-8d9b-bf8bd8f64bc7" targetNamespace="http://schemas.microsoft.com/office/2006/metadata/properties" ma:root="true" ma:fieldsID="dabdf3116266796cba51baaa9bd80655" ns2:_="" ns3:_="" ns4:_="">
    <xsd:import namespace="1c7d3551-5694-4f12-b35a-d9a7a462ea4b"/>
    <xsd:import namespace="9154ac1c-28d4-46c7-b504-e2b8691f73ef"/>
    <xsd:import namespace="2989b953-db31-4d4a-8d9b-bf8bd8f64bc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4ac1c-28d4-46c7-b504-e2b8691f73ef"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89b953-db31-4d4a-8d9b-bf8bd8f64b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C84DB-653B-4AF0-8B28-5918D44FFB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568355-7389-42FC-9761-D598DE0D9E66}">
  <ds:schemaRefs>
    <ds:schemaRef ds:uri="http://schemas.microsoft.com/sharepoint/v3/contenttype/forms"/>
  </ds:schemaRefs>
</ds:datastoreItem>
</file>

<file path=customXml/itemProps3.xml><?xml version="1.0" encoding="utf-8"?>
<ds:datastoreItem xmlns:ds="http://schemas.openxmlformats.org/officeDocument/2006/customXml" ds:itemID="{C9CD4A41-17A1-4327-BC52-C7B0452C9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9154ac1c-28d4-46c7-b504-e2b8691f73ef"/>
    <ds:schemaRef ds:uri="2989b953-db31-4d4a-8d9b-bf8bd8f64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Dispensing and Supply briefing template</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Gilliam</dc:creator>
  <cp:lastModifiedBy>Jamie Gilliam</cp:lastModifiedBy>
  <cp:revision>3</cp:revision>
  <cp:lastPrinted>2013-08-08T12:14:00Z</cp:lastPrinted>
  <dcterms:created xsi:type="dcterms:W3CDTF">2022-12-23T17:04:00Z</dcterms:created>
  <dcterms:modified xsi:type="dcterms:W3CDTF">2022-12-23T17:04:00Z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0x010100158D8278B33D9646B12AB1635B98D01C</vt:lpwstr>
  </property>
</Properties>
</file>