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C129"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Pharmaceutical Services Negotiating Committee </w:t>
      </w:r>
      <w:r>
        <w:rPr>
          <w:rStyle w:val="eop"/>
          <w:rFonts w:ascii="Calibri" w:hAnsi="Calibri" w:cs="Calibri"/>
          <w:b/>
          <w:bCs/>
          <w:color w:val="5B518E"/>
          <w:sz w:val="28"/>
          <w:szCs w:val="28"/>
        </w:rPr>
        <w:t> </w:t>
      </w:r>
    </w:p>
    <w:p w14:paraId="5B05ECD4"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Funding and Contract Subcommittee Agenda</w:t>
      </w:r>
      <w:r>
        <w:rPr>
          <w:rStyle w:val="eop"/>
          <w:rFonts w:ascii="Calibri" w:hAnsi="Calibri" w:cs="Calibri"/>
          <w:b/>
          <w:bCs/>
          <w:color w:val="5B518E"/>
          <w:sz w:val="28"/>
          <w:szCs w:val="28"/>
        </w:rPr>
        <w:t> </w:t>
      </w:r>
    </w:p>
    <w:p w14:paraId="0D5B5DEE" w14:textId="77777777" w:rsidR="0010343E" w:rsidRDefault="0010343E" w:rsidP="0010343E">
      <w:pPr>
        <w:pStyle w:val="paragraph"/>
        <w:spacing w:before="0" w:beforeAutospacing="0" w:after="0" w:afterAutospacing="0"/>
        <w:ind w:left="1125" w:right="1125"/>
        <w:jc w:val="center"/>
        <w:textAlignment w:val="baseline"/>
        <w:rPr>
          <w:rStyle w:val="normaltextrun"/>
          <w:rFonts w:ascii="Calibri" w:hAnsi="Calibri" w:cs="Calibri"/>
          <w:b/>
          <w:color w:val="5B518E"/>
          <w:sz w:val="28"/>
          <w:szCs w:val="28"/>
        </w:rPr>
      </w:pPr>
      <w:r w:rsidRPr="1227E543">
        <w:rPr>
          <w:rStyle w:val="normaltextrun"/>
          <w:rFonts w:ascii="Calibri" w:hAnsi="Calibri" w:cs="Calibri"/>
          <w:b/>
          <w:color w:val="5B518E"/>
          <w:sz w:val="28"/>
          <w:szCs w:val="28"/>
        </w:rPr>
        <w:t> </w:t>
      </w:r>
    </w:p>
    <w:p w14:paraId="40713F7C" w14:textId="6EA60F95" w:rsidR="0051516E" w:rsidRDefault="4598A412" w:rsidP="059CC1CF">
      <w:pPr>
        <w:pStyle w:val="paragraph"/>
        <w:spacing w:before="0" w:beforeAutospacing="0" w:after="0" w:afterAutospacing="0"/>
        <w:ind w:left="1125" w:right="1125"/>
        <w:jc w:val="center"/>
        <w:textAlignment w:val="baseline"/>
        <w:rPr>
          <w:rStyle w:val="normaltextrun"/>
          <w:rFonts w:ascii="Calibri" w:hAnsi="Calibri" w:cs="Calibri"/>
          <w:b/>
          <w:color w:val="5B518E"/>
          <w:sz w:val="28"/>
          <w:szCs w:val="28"/>
        </w:rPr>
      </w:pPr>
      <w:r w:rsidRPr="1227E543">
        <w:rPr>
          <w:rStyle w:val="normaltextrun"/>
          <w:rFonts w:ascii="Calibri" w:hAnsi="Calibri" w:cs="Calibri"/>
          <w:b/>
          <w:bCs/>
          <w:color w:val="5B518E"/>
          <w:sz w:val="28"/>
          <w:szCs w:val="28"/>
        </w:rPr>
        <w:t>Wednesday 14th</w:t>
      </w:r>
      <w:r w:rsidR="0010343E" w:rsidRPr="1227E543">
        <w:rPr>
          <w:rStyle w:val="normaltextrun"/>
          <w:rFonts w:ascii="Calibri" w:hAnsi="Calibri" w:cs="Calibri"/>
          <w:b/>
          <w:color w:val="5B518E"/>
          <w:sz w:val="28"/>
          <w:szCs w:val="28"/>
        </w:rPr>
        <w:t xml:space="preserve"> </w:t>
      </w:r>
      <w:r w:rsidR="006A6A01" w:rsidRPr="1227E543">
        <w:rPr>
          <w:rStyle w:val="normaltextrun"/>
          <w:rFonts w:ascii="Calibri" w:hAnsi="Calibri" w:cs="Calibri"/>
          <w:b/>
          <w:color w:val="5B518E"/>
          <w:sz w:val="28"/>
          <w:szCs w:val="28"/>
        </w:rPr>
        <w:t>September</w:t>
      </w:r>
      <w:r w:rsidR="002C1170" w:rsidRPr="1227E543">
        <w:rPr>
          <w:rStyle w:val="normaltextrun"/>
          <w:rFonts w:ascii="Calibri" w:hAnsi="Calibri" w:cs="Calibri"/>
          <w:b/>
          <w:color w:val="5B518E"/>
          <w:sz w:val="28"/>
          <w:szCs w:val="28"/>
        </w:rPr>
        <w:t xml:space="preserve"> </w:t>
      </w:r>
      <w:r w:rsidR="0010343E" w:rsidRPr="1227E543">
        <w:rPr>
          <w:rStyle w:val="normaltextrun"/>
          <w:rFonts w:ascii="Calibri" w:hAnsi="Calibri" w:cs="Calibri"/>
          <w:b/>
          <w:color w:val="5B518E"/>
          <w:sz w:val="28"/>
          <w:szCs w:val="28"/>
        </w:rPr>
        <w:t>202</w:t>
      </w:r>
      <w:r w:rsidR="002C1170" w:rsidRPr="1227E543">
        <w:rPr>
          <w:rStyle w:val="normaltextrun"/>
          <w:rFonts w:ascii="Calibri" w:hAnsi="Calibri" w:cs="Calibri"/>
          <w:b/>
          <w:color w:val="5B518E"/>
          <w:sz w:val="28"/>
          <w:szCs w:val="28"/>
        </w:rPr>
        <w:t>2</w:t>
      </w:r>
      <w:r w:rsidR="003A328F" w:rsidRPr="1227E543">
        <w:rPr>
          <w:rStyle w:val="normaltextrun"/>
          <w:rFonts w:ascii="Calibri" w:hAnsi="Calibri" w:cs="Calibri"/>
          <w:b/>
          <w:color w:val="5B518E"/>
          <w:sz w:val="28"/>
          <w:szCs w:val="28"/>
        </w:rPr>
        <w:t xml:space="preserve"> at </w:t>
      </w:r>
      <w:r w:rsidR="5644344B" w:rsidRPr="1227E543">
        <w:rPr>
          <w:rStyle w:val="normaltextrun"/>
          <w:rFonts w:ascii="Calibri" w:hAnsi="Calibri" w:cs="Calibri"/>
          <w:b/>
          <w:bCs/>
          <w:color w:val="5B518E"/>
          <w:sz w:val="28"/>
          <w:szCs w:val="28"/>
        </w:rPr>
        <w:t>13.45</w:t>
      </w:r>
    </w:p>
    <w:p w14:paraId="052F2FEF" w14:textId="016E0656" w:rsidR="0010343E" w:rsidRDefault="0010343E" w:rsidP="3F4F7646">
      <w:pPr>
        <w:pStyle w:val="paragraph"/>
        <w:spacing w:before="0" w:beforeAutospacing="0" w:after="0" w:afterAutospacing="0"/>
        <w:ind w:left="1125" w:right="1125"/>
        <w:jc w:val="center"/>
        <w:textAlignment w:val="baseline"/>
        <w:rPr>
          <w:rFonts w:ascii="Segoe UI" w:hAnsi="Segoe UI" w:cs="Segoe UI"/>
          <w:sz w:val="18"/>
          <w:szCs w:val="18"/>
        </w:rPr>
      </w:pPr>
    </w:p>
    <w:p w14:paraId="0B67019A" w14:textId="50FE885B" w:rsidR="5644344B" w:rsidRDefault="5644344B" w:rsidP="1227E543">
      <w:pPr>
        <w:ind w:hanging="142"/>
        <w:jc w:val="center"/>
        <w:rPr>
          <w:rFonts w:eastAsiaTheme="minorEastAsia"/>
          <w:b/>
          <w:bCs/>
          <w:color w:val="5B518E"/>
          <w:sz w:val="28"/>
          <w:szCs w:val="28"/>
        </w:rPr>
      </w:pPr>
      <w:r w:rsidRPr="1227E543">
        <w:rPr>
          <w:rFonts w:eastAsiaTheme="minorEastAsia"/>
          <w:b/>
          <w:bCs/>
          <w:color w:val="5B518E"/>
          <w:sz w:val="28"/>
          <w:szCs w:val="28"/>
        </w:rPr>
        <w:t>On Zoom</w:t>
      </w:r>
    </w:p>
    <w:p w14:paraId="25AAF231" w14:textId="1EC6FC4E"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b/>
          <w:bCs/>
          <w:color w:val="5B518E"/>
        </w:rPr>
        <w:t>Items are confidential where marked</w:t>
      </w:r>
      <w:r>
        <w:rPr>
          <w:rStyle w:val="normaltextrun"/>
          <w:rFonts w:ascii="Calibri" w:hAnsi="Calibri" w:cs="Calibri"/>
          <w:b/>
          <w:bCs/>
          <w:color w:val="5B518E"/>
        </w:rPr>
        <w:br/>
      </w:r>
      <w:r>
        <w:rPr>
          <w:rStyle w:val="eop"/>
          <w:rFonts w:ascii="Calibri" w:hAnsi="Calibri" w:cs="Calibri"/>
          <w:color w:val="5B518E"/>
        </w:rPr>
        <w:t> </w:t>
      </w:r>
    </w:p>
    <w:p w14:paraId="2A1A16B2" w14:textId="6D6DDEB8" w:rsidR="0010343E" w:rsidRDefault="0010343E" w:rsidP="119B476F">
      <w:pPr>
        <w:pStyle w:val="paragraph"/>
        <w:spacing w:before="0" w:beforeAutospacing="0" w:after="0" w:afterAutospacing="0"/>
        <w:ind w:right="255"/>
        <w:textAlignment w:val="baseline"/>
        <w:rPr>
          <w:rStyle w:val="normaltextrun"/>
          <w:rFonts w:ascii="Calibri" w:hAnsi="Calibri" w:cs="Calibri"/>
          <w:sz w:val="22"/>
          <w:szCs w:val="22"/>
        </w:rPr>
      </w:pPr>
      <w:r w:rsidRPr="119B476F">
        <w:rPr>
          <w:rStyle w:val="normaltextrun"/>
          <w:rFonts w:ascii="Calibri" w:hAnsi="Calibri" w:cs="Calibri"/>
          <w:b/>
          <w:bCs/>
          <w:color w:val="5B518E"/>
          <w:sz w:val="22"/>
          <w:szCs w:val="22"/>
        </w:rPr>
        <w:t>Members:</w:t>
      </w:r>
      <w:r w:rsidRPr="119B476F">
        <w:rPr>
          <w:rStyle w:val="normaltextrun"/>
          <w:b/>
          <w:bCs/>
          <w:color w:val="5B518E"/>
          <w:sz w:val="22"/>
          <w:szCs w:val="22"/>
        </w:rPr>
        <w:t> </w:t>
      </w:r>
      <w:r w:rsidRPr="119B476F">
        <w:rPr>
          <w:rStyle w:val="normaltextrun"/>
          <w:rFonts w:ascii="Calibri" w:hAnsi="Calibri" w:cs="Calibri"/>
          <w:sz w:val="22"/>
          <w:szCs w:val="22"/>
        </w:rPr>
        <w:t>David Broome</w:t>
      </w:r>
      <w:r w:rsidR="003B67C9" w:rsidRPr="119B476F">
        <w:rPr>
          <w:rStyle w:val="normaltextrun"/>
          <w:rFonts w:ascii="Calibri" w:hAnsi="Calibri" w:cs="Calibri"/>
          <w:sz w:val="22"/>
          <w:szCs w:val="22"/>
        </w:rPr>
        <w:t xml:space="preserve"> (Deputy Chairman)</w:t>
      </w:r>
      <w:r w:rsidRPr="119B476F">
        <w:rPr>
          <w:rStyle w:val="normaltextrun"/>
          <w:rFonts w:ascii="Calibri" w:hAnsi="Calibri" w:cs="Calibri"/>
          <w:sz w:val="22"/>
          <w:szCs w:val="22"/>
        </w:rPr>
        <w:t xml:space="preserve">, Peter Cattee (Chairman), Jas Heer, Tricia Kennerley, </w:t>
      </w:r>
      <w:proofErr w:type="spellStart"/>
      <w:r w:rsidR="119B476F" w:rsidRPr="119B476F">
        <w:rPr>
          <w:rStyle w:val="normaltextrun"/>
          <w:rFonts w:ascii="Calibri" w:hAnsi="Calibri" w:cs="Calibri"/>
          <w:sz w:val="22"/>
          <w:szCs w:val="22"/>
        </w:rPr>
        <w:t>Ghada</w:t>
      </w:r>
      <w:proofErr w:type="spellEnd"/>
      <w:r w:rsidR="119B476F" w:rsidRPr="119B476F">
        <w:rPr>
          <w:rStyle w:val="normaltextrun"/>
          <w:rFonts w:ascii="Calibri" w:hAnsi="Calibri" w:cs="Calibri"/>
          <w:sz w:val="22"/>
          <w:szCs w:val="22"/>
        </w:rPr>
        <w:t xml:space="preserve"> Beal</w:t>
      </w:r>
      <w:r w:rsidRPr="119B476F">
        <w:rPr>
          <w:rStyle w:val="normaltextrun"/>
          <w:rFonts w:ascii="Calibri" w:hAnsi="Calibri" w:cs="Calibri"/>
          <w:sz w:val="22"/>
          <w:szCs w:val="22"/>
        </w:rPr>
        <w:t>, Has Modi, Bharat Patel, </w:t>
      </w:r>
      <w:r w:rsidR="0DD5A373" w:rsidRPr="119B476F">
        <w:rPr>
          <w:rStyle w:val="normaltextrun"/>
          <w:rFonts w:ascii="Calibri" w:hAnsi="Calibri" w:cs="Calibri"/>
          <w:sz w:val="22"/>
          <w:szCs w:val="22"/>
        </w:rPr>
        <w:t xml:space="preserve">Prakash Patel, </w:t>
      </w:r>
      <w:r w:rsidRPr="119B476F">
        <w:rPr>
          <w:rStyle w:val="normaltextrun"/>
          <w:rFonts w:ascii="Calibri" w:hAnsi="Calibri" w:cs="Calibri"/>
          <w:sz w:val="22"/>
          <w:szCs w:val="22"/>
        </w:rPr>
        <w:t>Adrian Price, Anil Sharma </w:t>
      </w:r>
    </w:p>
    <w:p w14:paraId="45E57CC9"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0FF107DC" w14:textId="3CDB59C3" w:rsidR="0010343E" w:rsidRDefault="0010343E" w:rsidP="059CC1CF">
      <w:pPr>
        <w:pStyle w:val="paragraph"/>
        <w:spacing w:before="0" w:beforeAutospacing="0" w:after="0" w:afterAutospacing="0"/>
        <w:ind w:right="1125"/>
        <w:textAlignment w:val="baseline"/>
        <w:rPr>
          <w:rFonts w:ascii="Segoe UI" w:hAnsi="Segoe UI" w:cs="Segoe UI"/>
          <w:sz w:val="18"/>
          <w:szCs w:val="18"/>
        </w:rPr>
      </w:pPr>
      <w:r w:rsidRPr="059CC1CF">
        <w:rPr>
          <w:rStyle w:val="normaltextrun"/>
          <w:rFonts w:ascii="Calibri" w:hAnsi="Calibri" w:cs="Calibri"/>
          <w:b/>
          <w:bCs/>
          <w:color w:val="5B518E"/>
          <w:sz w:val="22"/>
          <w:szCs w:val="22"/>
        </w:rPr>
        <w:t>In attendance: </w:t>
      </w:r>
      <w:r w:rsidRPr="059CC1CF">
        <w:rPr>
          <w:rStyle w:val="normaltextrun"/>
          <w:rFonts w:ascii="Calibri" w:hAnsi="Calibri" w:cs="Calibri"/>
          <w:sz w:val="22"/>
          <w:szCs w:val="22"/>
        </w:rPr>
        <w:t>Mike Dent, Jack Cresswell, Rob Thomas</w:t>
      </w:r>
      <w:r w:rsidRPr="059CC1CF">
        <w:rPr>
          <w:rStyle w:val="eop"/>
          <w:rFonts w:ascii="Calibri" w:hAnsi="Calibri" w:cs="Calibri"/>
          <w:sz w:val="22"/>
          <w:szCs w:val="22"/>
        </w:rPr>
        <w:t> </w:t>
      </w:r>
    </w:p>
    <w:p w14:paraId="2CC7386C"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sidRPr="119B476F">
        <w:rPr>
          <w:rStyle w:val="eop"/>
          <w:rFonts w:ascii="Calibri" w:hAnsi="Calibri" w:cs="Calibri"/>
          <w:sz w:val="22"/>
          <w:szCs w:val="22"/>
        </w:rPr>
        <w:t> </w:t>
      </w:r>
    </w:p>
    <w:p w14:paraId="315ECA9D" w14:textId="77777777" w:rsidR="00C05F39" w:rsidRDefault="00C05F39" w:rsidP="000F5489">
      <w:pPr>
        <w:pStyle w:val="paragraph"/>
        <w:spacing w:before="0" w:beforeAutospacing="0" w:after="0" w:afterAutospacing="0"/>
        <w:textAlignment w:val="baseline"/>
        <w:rPr>
          <w:rStyle w:val="normaltextrun"/>
          <w:rFonts w:ascii="Calibri" w:hAnsi="Calibri" w:cs="Calibri"/>
          <w:sz w:val="22"/>
          <w:szCs w:val="22"/>
        </w:rPr>
      </w:pPr>
    </w:p>
    <w:p w14:paraId="6AF99E48" w14:textId="1F1BF7AD" w:rsidR="0010343E" w:rsidRDefault="0010343E" w:rsidP="00AF46FC">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Welcome from Chair</w:t>
      </w:r>
      <w:r>
        <w:rPr>
          <w:rStyle w:val="eop"/>
          <w:rFonts w:ascii="Calibri" w:hAnsi="Calibri" w:cs="Calibri"/>
          <w:sz w:val="22"/>
          <w:szCs w:val="22"/>
        </w:rPr>
        <w:t> </w:t>
      </w:r>
    </w:p>
    <w:p w14:paraId="2030BB48"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3E2F7095" w14:textId="6FC17D34" w:rsidR="0010343E" w:rsidRPr="0010343E" w:rsidRDefault="0010343E" w:rsidP="00AF46FC">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10343E">
        <w:rPr>
          <w:rStyle w:val="normaltextrun"/>
          <w:rFonts w:ascii="Calibri" w:hAnsi="Calibri" w:cs="Calibri"/>
          <w:sz w:val="22"/>
          <w:szCs w:val="22"/>
        </w:rPr>
        <w:t>Apologies for absence</w:t>
      </w:r>
      <w:r w:rsidRPr="0010343E">
        <w:rPr>
          <w:rStyle w:val="eop"/>
          <w:rFonts w:ascii="Calibri" w:hAnsi="Calibri" w:cs="Calibri"/>
          <w:sz w:val="22"/>
          <w:szCs w:val="22"/>
        </w:rPr>
        <w:t> </w:t>
      </w:r>
      <w:r>
        <w:rPr>
          <w:rStyle w:val="eop"/>
          <w:rFonts w:ascii="Calibri" w:hAnsi="Calibri" w:cs="Calibri"/>
          <w:sz w:val="22"/>
          <w:szCs w:val="22"/>
        </w:rPr>
        <w:br/>
      </w:r>
    </w:p>
    <w:p w14:paraId="083B5D91" w14:textId="68813BCC" w:rsidR="0010343E" w:rsidRDefault="0010343E" w:rsidP="00AF46FC">
      <w:pPr>
        <w:pStyle w:val="paragraph"/>
        <w:numPr>
          <w:ilvl w:val="0"/>
          <w:numId w:val="1"/>
        </w:numPr>
        <w:spacing w:before="0" w:beforeAutospacing="0" w:after="0" w:afterAutospacing="0"/>
        <w:textAlignment w:val="baseline"/>
        <w:rPr>
          <w:rStyle w:val="eop"/>
          <w:rFonts w:ascii="Calibri" w:hAnsi="Calibri" w:cs="Calibri"/>
          <w:sz w:val="22"/>
          <w:szCs w:val="22"/>
        </w:rPr>
      </w:pPr>
      <w:r w:rsidRPr="0010343E">
        <w:rPr>
          <w:rStyle w:val="normaltextrun"/>
          <w:rFonts w:ascii="Calibri" w:hAnsi="Calibri" w:cs="Calibri"/>
          <w:sz w:val="22"/>
          <w:szCs w:val="22"/>
        </w:rPr>
        <w:t>Declarations or conflicts of interest</w:t>
      </w:r>
      <w:r w:rsidRPr="0010343E">
        <w:rPr>
          <w:rStyle w:val="eop"/>
          <w:rFonts w:ascii="Calibri" w:hAnsi="Calibri" w:cs="Calibri"/>
          <w:sz w:val="22"/>
          <w:szCs w:val="22"/>
        </w:rPr>
        <w:t> </w:t>
      </w:r>
    </w:p>
    <w:p w14:paraId="40DFDCD2"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73B85AB2" w14:textId="19262375" w:rsidR="0010343E" w:rsidRPr="0010343E" w:rsidRDefault="0010343E" w:rsidP="00AF46FC">
      <w:pPr>
        <w:pStyle w:val="paragraph"/>
        <w:numPr>
          <w:ilvl w:val="0"/>
          <w:numId w:val="1"/>
        </w:numPr>
        <w:spacing w:before="0" w:beforeAutospacing="0" w:after="0" w:afterAutospacing="0"/>
        <w:textAlignment w:val="baseline"/>
        <w:rPr>
          <w:rFonts w:ascii="Calibri" w:hAnsi="Calibri" w:cs="Calibri"/>
          <w:sz w:val="22"/>
          <w:szCs w:val="22"/>
        </w:rPr>
      </w:pPr>
      <w:r w:rsidRPr="059CC1CF">
        <w:rPr>
          <w:rStyle w:val="normaltextrun"/>
          <w:rFonts w:ascii="Calibri" w:hAnsi="Calibri" w:cs="Calibri"/>
          <w:sz w:val="22"/>
          <w:szCs w:val="22"/>
        </w:rPr>
        <w:t>Minutes of last meeting </w:t>
      </w:r>
      <w:r w:rsidRPr="059CC1CF">
        <w:rPr>
          <w:rStyle w:val="normaltextrun"/>
          <w:rFonts w:ascii="Calibri" w:hAnsi="Calibri" w:cs="Calibri"/>
          <w:b/>
          <w:bCs/>
          <w:sz w:val="22"/>
          <w:szCs w:val="22"/>
        </w:rPr>
        <w:t>(Confidential Appendix FCS 01/</w:t>
      </w:r>
      <w:r w:rsidR="002C1170" w:rsidRPr="059CC1CF">
        <w:rPr>
          <w:rStyle w:val="normaltextrun"/>
          <w:rFonts w:ascii="Calibri" w:hAnsi="Calibri" w:cs="Calibri"/>
          <w:b/>
          <w:bCs/>
          <w:sz w:val="22"/>
          <w:szCs w:val="22"/>
        </w:rPr>
        <w:t>0</w:t>
      </w:r>
      <w:r w:rsidR="0028386C">
        <w:rPr>
          <w:rStyle w:val="normaltextrun"/>
          <w:rFonts w:ascii="Calibri" w:hAnsi="Calibri" w:cs="Calibri"/>
          <w:b/>
          <w:bCs/>
          <w:sz w:val="22"/>
          <w:szCs w:val="22"/>
        </w:rPr>
        <w:t>9</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 </w:t>
      </w:r>
      <w:r w:rsidRPr="059CC1CF">
        <w:rPr>
          <w:rStyle w:val="normaltextrun"/>
          <w:rFonts w:ascii="Calibri" w:hAnsi="Calibri" w:cs="Calibri"/>
          <w:sz w:val="22"/>
          <w:szCs w:val="22"/>
        </w:rPr>
        <w:t>and matters arising</w:t>
      </w:r>
      <w:r w:rsidRPr="059CC1CF">
        <w:rPr>
          <w:rStyle w:val="eop"/>
          <w:rFonts w:ascii="Calibri" w:hAnsi="Calibri" w:cs="Calibri"/>
          <w:sz w:val="22"/>
          <w:szCs w:val="22"/>
        </w:rPr>
        <w:t> </w:t>
      </w:r>
    </w:p>
    <w:p w14:paraId="027C4731"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74C3E542" w14:textId="77777777" w:rsidR="0010343E" w:rsidRDefault="354DCBBE" w:rsidP="6B3340CB">
      <w:pPr>
        <w:pStyle w:val="paragraph"/>
        <w:spacing w:before="0" w:beforeAutospacing="0" w:after="0" w:afterAutospacing="0"/>
        <w:ind w:right="1125"/>
        <w:textAlignment w:val="baseline"/>
        <w:rPr>
          <w:rStyle w:val="eop"/>
          <w:rFonts w:ascii="Calibri" w:hAnsi="Calibri" w:cs="Calibri"/>
          <w:color w:val="5B518E"/>
          <w:sz w:val="22"/>
          <w:szCs w:val="22"/>
        </w:rPr>
      </w:pPr>
      <w:r w:rsidRPr="6B3340CB">
        <w:rPr>
          <w:rStyle w:val="normaltextrun"/>
          <w:rFonts w:ascii="Calibri" w:hAnsi="Calibri" w:cs="Calibri"/>
          <w:b/>
          <w:bCs/>
          <w:color w:val="5B518E"/>
          <w:sz w:val="22"/>
          <w:szCs w:val="22"/>
        </w:rPr>
        <w:t>REPORTS</w:t>
      </w:r>
      <w:r w:rsidRPr="6B3340CB">
        <w:rPr>
          <w:rStyle w:val="eop"/>
          <w:rFonts w:ascii="Calibri" w:hAnsi="Calibri" w:cs="Calibri"/>
          <w:color w:val="5B518E"/>
          <w:sz w:val="22"/>
          <w:szCs w:val="22"/>
        </w:rPr>
        <w:t> </w:t>
      </w:r>
    </w:p>
    <w:p w14:paraId="3D67A4E8" w14:textId="77777777" w:rsidR="004F5BE9" w:rsidRDefault="004F5BE9" w:rsidP="6B3340CB">
      <w:pPr>
        <w:pStyle w:val="paragraph"/>
        <w:spacing w:before="0" w:beforeAutospacing="0" w:after="0" w:afterAutospacing="0"/>
        <w:ind w:right="1125"/>
        <w:textAlignment w:val="baseline"/>
        <w:rPr>
          <w:rStyle w:val="eop"/>
          <w:rFonts w:ascii="Calibri" w:hAnsi="Calibri" w:cs="Calibri"/>
          <w:color w:val="5B518E"/>
          <w:sz w:val="22"/>
          <w:szCs w:val="22"/>
        </w:rPr>
      </w:pPr>
    </w:p>
    <w:p w14:paraId="0004CA98" w14:textId="392FAB56" w:rsidR="6F757EB3" w:rsidRPr="00E813F9" w:rsidRDefault="0A36CF5D" w:rsidP="00AF46FC">
      <w:pPr>
        <w:pStyle w:val="paragraph"/>
        <w:numPr>
          <w:ilvl w:val="0"/>
          <w:numId w:val="1"/>
        </w:numPr>
        <w:spacing w:before="0" w:beforeAutospacing="0" w:after="0" w:afterAutospacing="0"/>
        <w:rPr>
          <w:rStyle w:val="normaltextrun"/>
          <w:rFonts w:ascii="Calibri" w:hAnsi="Calibri" w:cs="Calibri"/>
          <w:sz w:val="22"/>
          <w:szCs w:val="22"/>
        </w:rPr>
      </w:pPr>
      <w:r w:rsidRPr="6B3340CB">
        <w:rPr>
          <w:rStyle w:val="normaltextrun"/>
          <w:rFonts w:ascii="Calibri" w:hAnsi="Calibri" w:cs="Calibri"/>
          <w:sz w:val="22"/>
          <w:szCs w:val="22"/>
        </w:rPr>
        <w:t xml:space="preserve">CPCF </w:t>
      </w:r>
      <w:r w:rsidR="0EA0B041" w:rsidRPr="6B3340CB">
        <w:rPr>
          <w:rStyle w:val="normaltextrun"/>
          <w:rFonts w:ascii="Calibri" w:hAnsi="Calibri" w:cs="Calibri"/>
          <w:sz w:val="22"/>
          <w:szCs w:val="22"/>
        </w:rPr>
        <w:t>negotiations</w:t>
      </w:r>
    </w:p>
    <w:p w14:paraId="48E7E4B2" w14:textId="250DC301" w:rsidR="00426388" w:rsidRDefault="1A962B59" w:rsidP="00AF46FC">
      <w:pPr>
        <w:pStyle w:val="paragraph"/>
        <w:numPr>
          <w:ilvl w:val="1"/>
          <w:numId w:val="1"/>
        </w:numPr>
        <w:spacing w:before="0" w:beforeAutospacing="0" w:after="0" w:afterAutospacing="0"/>
        <w:rPr>
          <w:rStyle w:val="normaltextrun"/>
          <w:rFonts w:asciiTheme="minorHAnsi" w:eastAsiaTheme="minorEastAsia" w:hAnsiTheme="minorHAnsi" w:cstheme="minorBidi"/>
        </w:rPr>
      </w:pPr>
      <w:r w:rsidRPr="059CC1CF">
        <w:rPr>
          <w:rStyle w:val="normaltextrun"/>
          <w:rFonts w:ascii="Calibri" w:hAnsi="Calibri" w:cs="Calibri"/>
          <w:sz w:val="22"/>
          <w:szCs w:val="22"/>
        </w:rPr>
        <w:t xml:space="preserve">Clinical </w:t>
      </w:r>
      <w:r w:rsidR="008D6F1B" w:rsidRPr="059CC1CF">
        <w:rPr>
          <w:rStyle w:val="normaltextrun"/>
          <w:rFonts w:ascii="Calibri" w:hAnsi="Calibri" w:cs="Calibri"/>
          <w:sz w:val="22"/>
          <w:szCs w:val="22"/>
        </w:rPr>
        <w:t>s</w:t>
      </w:r>
      <w:r w:rsidRPr="059CC1CF">
        <w:rPr>
          <w:rStyle w:val="normaltextrun"/>
          <w:rFonts w:ascii="Calibri" w:hAnsi="Calibri" w:cs="Calibri"/>
          <w:sz w:val="22"/>
          <w:szCs w:val="22"/>
        </w:rPr>
        <w:t xml:space="preserve">ervices </w:t>
      </w:r>
      <w:r w:rsidR="008D6F1B" w:rsidRPr="059CC1CF">
        <w:rPr>
          <w:rStyle w:val="normaltextrun"/>
          <w:rFonts w:ascii="Calibri" w:hAnsi="Calibri" w:cs="Calibri"/>
          <w:sz w:val="22"/>
          <w:szCs w:val="22"/>
        </w:rPr>
        <w:t xml:space="preserve">fee setting </w:t>
      </w:r>
      <w:r w:rsidR="002C1170" w:rsidRPr="059CC1CF">
        <w:rPr>
          <w:rStyle w:val="normaltextrun"/>
          <w:rFonts w:ascii="Calibri" w:hAnsi="Calibri" w:cs="Calibri"/>
          <w:b/>
          <w:bCs/>
          <w:sz w:val="22"/>
          <w:szCs w:val="22"/>
        </w:rPr>
        <w:t>(</w:t>
      </w:r>
      <w:r w:rsidR="007D324E" w:rsidRPr="059CC1CF">
        <w:rPr>
          <w:rStyle w:val="normaltextrun"/>
          <w:rFonts w:ascii="Calibri" w:hAnsi="Calibri" w:cs="Calibri"/>
          <w:b/>
          <w:bCs/>
          <w:sz w:val="22"/>
          <w:szCs w:val="22"/>
        </w:rPr>
        <w:t xml:space="preserve">Confidential </w:t>
      </w:r>
      <w:r w:rsidR="007D324E" w:rsidRPr="00BD5062">
        <w:rPr>
          <w:rStyle w:val="normaltextrun"/>
          <w:rFonts w:ascii="Calibri" w:hAnsi="Calibri" w:cs="Calibri"/>
          <w:b/>
          <w:bCs/>
          <w:sz w:val="22"/>
          <w:szCs w:val="22"/>
        </w:rPr>
        <w:t>v</w:t>
      </w:r>
      <w:r w:rsidR="002C1170" w:rsidRPr="00BD5062">
        <w:rPr>
          <w:rStyle w:val="normaltextrun"/>
          <w:rFonts w:ascii="Calibri" w:hAnsi="Calibri" w:cs="Calibri"/>
          <w:b/>
          <w:bCs/>
          <w:sz w:val="22"/>
          <w:szCs w:val="22"/>
        </w:rPr>
        <w:t>erbal report</w:t>
      </w:r>
      <w:r w:rsidR="002C1170" w:rsidRPr="059CC1CF">
        <w:rPr>
          <w:rStyle w:val="normaltextrun"/>
          <w:rFonts w:ascii="Calibri" w:hAnsi="Calibri" w:cs="Calibri"/>
          <w:b/>
          <w:bCs/>
          <w:sz w:val="22"/>
          <w:szCs w:val="22"/>
        </w:rPr>
        <w:t>)</w:t>
      </w:r>
    </w:p>
    <w:p w14:paraId="1A3F199B" w14:textId="77777777" w:rsidR="0010343E" w:rsidRDefault="354DCBBE" w:rsidP="6B3340CB">
      <w:pPr>
        <w:pStyle w:val="paragraph"/>
        <w:spacing w:before="0" w:beforeAutospacing="0" w:after="0" w:afterAutospacing="0"/>
        <w:ind w:left="1125" w:right="1125"/>
        <w:textAlignment w:val="baseline"/>
        <w:rPr>
          <w:rFonts w:ascii="Segoe UI" w:hAnsi="Segoe UI" w:cs="Segoe UI"/>
          <w:sz w:val="18"/>
          <w:szCs w:val="18"/>
        </w:rPr>
      </w:pPr>
      <w:r w:rsidRPr="6B3340CB">
        <w:rPr>
          <w:rStyle w:val="eop"/>
          <w:rFonts w:ascii="Calibri" w:hAnsi="Calibri" w:cs="Calibri"/>
          <w:sz w:val="22"/>
          <w:szCs w:val="22"/>
        </w:rPr>
        <w:t> </w:t>
      </w:r>
    </w:p>
    <w:p w14:paraId="43BE5477" w14:textId="6D0E3870" w:rsidR="0010343E" w:rsidRPr="007616D0" w:rsidRDefault="354DCBBE" w:rsidP="00AF46FC">
      <w:pPr>
        <w:pStyle w:val="paragraph"/>
        <w:numPr>
          <w:ilvl w:val="0"/>
          <w:numId w:val="1"/>
        </w:numPr>
        <w:spacing w:before="0" w:beforeAutospacing="0" w:after="0" w:afterAutospacing="0"/>
        <w:textAlignment w:val="baseline"/>
        <w:rPr>
          <w:rFonts w:ascii="Calibri" w:hAnsi="Calibri" w:cs="Calibri"/>
          <w:sz w:val="22"/>
          <w:szCs w:val="22"/>
        </w:rPr>
      </w:pPr>
      <w:r w:rsidRPr="059CC1CF">
        <w:rPr>
          <w:rStyle w:val="normaltextrun"/>
          <w:rFonts w:ascii="Calibri" w:hAnsi="Calibri" w:cs="Calibri"/>
          <w:sz w:val="22"/>
          <w:szCs w:val="22"/>
        </w:rPr>
        <w:t>Remuneration</w:t>
      </w:r>
      <w:r w:rsidRPr="059CC1CF">
        <w:rPr>
          <w:rStyle w:val="eop"/>
          <w:rFonts w:ascii="Calibri" w:hAnsi="Calibri" w:cs="Calibri"/>
          <w:sz w:val="22"/>
          <w:szCs w:val="22"/>
        </w:rPr>
        <w:t> </w:t>
      </w:r>
      <w:r w:rsidR="341967FA" w:rsidRPr="059CC1CF">
        <w:rPr>
          <w:rStyle w:val="eop"/>
          <w:rFonts w:ascii="Calibri" w:hAnsi="Calibri" w:cs="Calibri"/>
          <w:sz w:val="22"/>
          <w:szCs w:val="22"/>
        </w:rPr>
        <w:t>and reimbursement</w:t>
      </w:r>
    </w:p>
    <w:p w14:paraId="56458CE5" w14:textId="088A69DB" w:rsidR="2C1103BF" w:rsidRDefault="2C1103BF" w:rsidP="00AF46FC">
      <w:pPr>
        <w:pStyle w:val="paragraph"/>
        <w:numPr>
          <w:ilvl w:val="0"/>
          <w:numId w:val="2"/>
        </w:numPr>
        <w:spacing w:before="0" w:beforeAutospacing="0" w:after="0" w:afterAutospacing="0"/>
        <w:rPr>
          <w:rStyle w:val="normaltextrun"/>
          <w:rFonts w:asciiTheme="minorHAnsi" w:eastAsiaTheme="minorEastAsia" w:hAnsiTheme="minorHAnsi" w:cstheme="minorBidi"/>
        </w:rPr>
      </w:pPr>
      <w:r w:rsidRPr="059CC1CF">
        <w:rPr>
          <w:rStyle w:val="normaltextrun"/>
          <w:rFonts w:ascii="Calibri" w:hAnsi="Calibri" w:cs="Calibri"/>
          <w:sz w:val="22"/>
          <w:szCs w:val="22"/>
        </w:rPr>
        <w:t xml:space="preserve">CPCF outturn </w:t>
      </w:r>
      <w:r w:rsidRPr="059CC1CF">
        <w:rPr>
          <w:rStyle w:val="normaltextrun"/>
          <w:rFonts w:ascii="Calibri" w:hAnsi="Calibri" w:cs="Calibri"/>
          <w:b/>
          <w:bCs/>
          <w:sz w:val="22"/>
          <w:szCs w:val="22"/>
        </w:rPr>
        <w:t xml:space="preserve">(Confidential Appendix FCS </w:t>
      </w:r>
      <w:r w:rsidR="00E965E1">
        <w:rPr>
          <w:rStyle w:val="normaltextrun"/>
          <w:rFonts w:ascii="Calibri" w:hAnsi="Calibri" w:cs="Calibri"/>
          <w:b/>
          <w:bCs/>
          <w:sz w:val="22"/>
          <w:szCs w:val="22"/>
        </w:rPr>
        <w:t>02</w:t>
      </w:r>
      <w:r w:rsidRPr="059CC1CF">
        <w:rPr>
          <w:rStyle w:val="normaltextrun"/>
          <w:rFonts w:ascii="Calibri" w:hAnsi="Calibri" w:cs="Calibri"/>
          <w:b/>
          <w:bCs/>
          <w:sz w:val="22"/>
          <w:szCs w:val="22"/>
        </w:rPr>
        <w:t>/</w:t>
      </w:r>
      <w:r w:rsidR="00426388" w:rsidRPr="059CC1CF">
        <w:rPr>
          <w:rStyle w:val="normaltextrun"/>
          <w:rFonts w:ascii="Calibri" w:hAnsi="Calibri" w:cs="Calibri"/>
          <w:b/>
          <w:bCs/>
          <w:sz w:val="22"/>
          <w:szCs w:val="22"/>
        </w:rPr>
        <w:t>0</w:t>
      </w:r>
      <w:r w:rsidR="0028386C">
        <w:rPr>
          <w:rStyle w:val="normaltextrun"/>
          <w:rFonts w:ascii="Calibri" w:hAnsi="Calibri" w:cs="Calibri"/>
          <w:b/>
          <w:bCs/>
          <w:sz w:val="22"/>
          <w:szCs w:val="22"/>
        </w:rPr>
        <w:t>9</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w:t>
      </w:r>
    </w:p>
    <w:p w14:paraId="166FE729" w14:textId="27E8FD16" w:rsidR="007B2E33" w:rsidRDefault="2DBB18BC" w:rsidP="00AF46FC">
      <w:pPr>
        <w:pStyle w:val="paragraph"/>
        <w:numPr>
          <w:ilvl w:val="0"/>
          <w:numId w:val="2"/>
        </w:numPr>
        <w:spacing w:before="0" w:beforeAutospacing="0" w:after="0" w:afterAutospacing="0"/>
        <w:rPr>
          <w:rStyle w:val="normaltextrun"/>
          <w:rFonts w:asciiTheme="minorHAnsi" w:eastAsiaTheme="minorEastAsia" w:hAnsiTheme="minorHAnsi" w:cstheme="minorBidi"/>
        </w:rPr>
      </w:pPr>
      <w:r w:rsidRPr="059CC1CF">
        <w:rPr>
          <w:rStyle w:val="normaltextrun"/>
          <w:rFonts w:ascii="Calibri" w:hAnsi="Calibri" w:cs="Calibri"/>
          <w:sz w:val="22"/>
          <w:szCs w:val="22"/>
        </w:rPr>
        <w:t>Retained margin update </w:t>
      </w:r>
      <w:r w:rsidRPr="059CC1CF">
        <w:rPr>
          <w:rStyle w:val="normaltextrun"/>
          <w:rFonts w:ascii="Calibri" w:hAnsi="Calibri" w:cs="Calibri"/>
          <w:b/>
          <w:bCs/>
          <w:sz w:val="22"/>
          <w:szCs w:val="22"/>
        </w:rPr>
        <w:t>(Confidential Appendix FCS </w:t>
      </w:r>
      <w:r w:rsidR="00E963E6">
        <w:rPr>
          <w:rStyle w:val="normaltextrun"/>
          <w:rFonts w:ascii="Calibri" w:hAnsi="Calibri" w:cs="Calibri"/>
          <w:b/>
          <w:bCs/>
          <w:sz w:val="22"/>
          <w:szCs w:val="22"/>
        </w:rPr>
        <w:t>03</w:t>
      </w:r>
      <w:r w:rsidRPr="059CC1CF">
        <w:rPr>
          <w:rStyle w:val="normaltextrun"/>
          <w:rFonts w:ascii="Calibri" w:hAnsi="Calibri" w:cs="Calibri"/>
          <w:b/>
          <w:bCs/>
          <w:sz w:val="22"/>
          <w:szCs w:val="22"/>
        </w:rPr>
        <w:t>/</w:t>
      </w:r>
      <w:r w:rsidR="002C1170" w:rsidRPr="059CC1CF">
        <w:rPr>
          <w:rStyle w:val="normaltextrun"/>
          <w:rFonts w:ascii="Calibri" w:hAnsi="Calibri" w:cs="Calibri"/>
          <w:b/>
          <w:bCs/>
          <w:sz w:val="22"/>
          <w:szCs w:val="22"/>
        </w:rPr>
        <w:t>0</w:t>
      </w:r>
      <w:r w:rsidR="0028386C">
        <w:rPr>
          <w:rStyle w:val="normaltextrun"/>
          <w:rFonts w:ascii="Calibri" w:hAnsi="Calibri" w:cs="Calibri"/>
          <w:b/>
          <w:bCs/>
          <w:sz w:val="22"/>
          <w:szCs w:val="22"/>
        </w:rPr>
        <w:t>9</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 </w:t>
      </w:r>
    </w:p>
    <w:p w14:paraId="16AE8AA2" w14:textId="4942FEA7" w:rsidR="19AAD577" w:rsidRDefault="2DBB18BC" w:rsidP="00AF46FC">
      <w:pPr>
        <w:pStyle w:val="paragraph"/>
        <w:numPr>
          <w:ilvl w:val="0"/>
          <w:numId w:val="2"/>
        </w:numPr>
        <w:spacing w:before="0" w:beforeAutospacing="0" w:after="0" w:afterAutospacing="0"/>
        <w:rPr>
          <w:rStyle w:val="normaltextrun"/>
          <w:rFonts w:asciiTheme="minorHAnsi" w:eastAsiaTheme="minorEastAsia" w:hAnsiTheme="minorHAnsi" w:cstheme="minorBidi"/>
          <w:sz w:val="22"/>
          <w:szCs w:val="22"/>
        </w:rPr>
      </w:pPr>
      <w:r w:rsidRPr="059CC1CF">
        <w:rPr>
          <w:rStyle w:val="eop"/>
          <w:rFonts w:ascii="Calibri" w:hAnsi="Calibri" w:cs="Calibri"/>
          <w:sz w:val="22"/>
          <w:szCs w:val="22"/>
        </w:rPr>
        <w:t xml:space="preserve">Price concessions update </w:t>
      </w:r>
      <w:r w:rsidRPr="059CC1CF">
        <w:rPr>
          <w:rStyle w:val="eop"/>
          <w:rFonts w:ascii="Calibri" w:hAnsi="Calibri" w:cs="Calibri"/>
          <w:b/>
          <w:bCs/>
          <w:sz w:val="22"/>
          <w:szCs w:val="22"/>
        </w:rPr>
        <w:t xml:space="preserve">(Appendix FCS </w:t>
      </w:r>
      <w:r w:rsidR="009040AA">
        <w:rPr>
          <w:rStyle w:val="eop"/>
          <w:rFonts w:ascii="Calibri" w:hAnsi="Calibri" w:cs="Calibri"/>
          <w:b/>
          <w:bCs/>
          <w:sz w:val="22"/>
          <w:szCs w:val="22"/>
        </w:rPr>
        <w:t>04</w:t>
      </w:r>
      <w:r w:rsidRPr="059CC1CF">
        <w:rPr>
          <w:rStyle w:val="eop"/>
          <w:rFonts w:ascii="Calibri" w:hAnsi="Calibri" w:cs="Calibri"/>
          <w:b/>
          <w:bCs/>
          <w:sz w:val="22"/>
          <w:szCs w:val="22"/>
        </w:rPr>
        <w:t>/</w:t>
      </w:r>
      <w:r w:rsidR="002C1170" w:rsidRPr="059CC1CF">
        <w:rPr>
          <w:rStyle w:val="eop"/>
          <w:rFonts w:ascii="Calibri" w:hAnsi="Calibri" w:cs="Calibri"/>
          <w:b/>
          <w:bCs/>
          <w:sz w:val="22"/>
          <w:szCs w:val="22"/>
        </w:rPr>
        <w:t>0</w:t>
      </w:r>
      <w:r w:rsidR="00A358A3">
        <w:rPr>
          <w:rStyle w:val="eop"/>
          <w:rFonts w:ascii="Calibri" w:hAnsi="Calibri" w:cs="Calibri"/>
          <w:b/>
          <w:bCs/>
          <w:sz w:val="22"/>
          <w:szCs w:val="22"/>
        </w:rPr>
        <w:t>9</w:t>
      </w:r>
      <w:r w:rsidRPr="059CC1CF">
        <w:rPr>
          <w:rStyle w:val="eop"/>
          <w:rFonts w:ascii="Calibri" w:hAnsi="Calibri" w:cs="Calibri"/>
          <w:b/>
          <w:bCs/>
          <w:sz w:val="22"/>
          <w:szCs w:val="22"/>
        </w:rPr>
        <w:t>/2</w:t>
      </w:r>
      <w:r w:rsidR="002C1170" w:rsidRPr="059CC1CF">
        <w:rPr>
          <w:rStyle w:val="eop"/>
          <w:rFonts w:ascii="Calibri" w:hAnsi="Calibri" w:cs="Calibri"/>
          <w:b/>
          <w:bCs/>
          <w:sz w:val="22"/>
          <w:szCs w:val="22"/>
        </w:rPr>
        <w:t>2</w:t>
      </w:r>
      <w:r w:rsidRPr="059CC1CF">
        <w:rPr>
          <w:rStyle w:val="eop"/>
          <w:rFonts w:ascii="Calibri" w:hAnsi="Calibri" w:cs="Calibri"/>
          <w:b/>
          <w:bCs/>
          <w:sz w:val="22"/>
          <w:szCs w:val="22"/>
        </w:rPr>
        <w:t>)</w:t>
      </w:r>
      <w:r w:rsidR="059CC1CF" w:rsidRPr="059CC1CF">
        <w:rPr>
          <w:rFonts w:ascii="Calibri" w:eastAsia="Calibri" w:hAnsi="Calibri" w:cs="Calibri"/>
          <w:color w:val="000000" w:themeColor="text1"/>
          <w:sz w:val="22"/>
          <w:szCs w:val="22"/>
        </w:rPr>
        <w:t xml:space="preserve"> </w:t>
      </w:r>
    </w:p>
    <w:p w14:paraId="56818DC6" w14:textId="53CFB682" w:rsidR="002C1170" w:rsidRDefault="69FCCCDB" w:rsidP="00AF46FC">
      <w:pPr>
        <w:pStyle w:val="paragraph"/>
        <w:numPr>
          <w:ilvl w:val="0"/>
          <w:numId w:val="2"/>
        </w:numPr>
        <w:spacing w:before="0" w:beforeAutospacing="0" w:after="0" w:afterAutospacing="0"/>
        <w:rPr>
          <w:rStyle w:val="normaltextrun"/>
        </w:rPr>
      </w:pPr>
      <w:r w:rsidRPr="059CC1CF">
        <w:rPr>
          <w:rStyle w:val="normaltextrun"/>
          <w:rFonts w:ascii="Calibri" w:hAnsi="Calibri" w:cs="Calibri"/>
          <w:sz w:val="22"/>
          <w:szCs w:val="22"/>
        </w:rPr>
        <w:t>C-19 cost claims</w:t>
      </w:r>
      <w:r w:rsidR="1233DC56" w:rsidRPr="059CC1CF">
        <w:rPr>
          <w:rStyle w:val="normaltextrun"/>
          <w:rFonts w:ascii="Calibri" w:hAnsi="Calibri" w:cs="Calibri"/>
          <w:sz w:val="22"/>
          <w:szCs w:val="22"/>
        </w:rPr>
        <w:t xml:space="preserve"> update </w:t>
      </w:r>
      <w:r w:rsidR="1233DC56" w:rsidRPr="059CC1CF">
        <w:rPr>
          <w:rStyle w:val="normaltextrun"/>
          <w:rFonts w:ascii="Calibri" w:hAnsi="Calibri" w:cs="Calibri"/>
          <w:b/>
          <w:bCs/>
          <w:sz w:val="22"/>
          <w:szCs w:val="22"/>
        </w:rPr>
        <w:t>(</w:t>
      </w:r>
      <w:r w:rsidR="007D324E" w:rsidRPr="059CC1CF">
        <w:rPr>
          <w:rStyle w:val="normaltextrun"/>
          <w:rFonts w:ascii="Calibri" w:hAnsi="Calibri" w:cs="Calibri"/>
          <w:b/>
          <w:bCs/>
          <w:sz w:val="22"/>
          <w:szCs w:val="22"/>
        </w:rPr>
        <w:t xml:space="preserve">Confidential </w:t>
      </w:r>
      <w:r w:rsidR="2C1103BF" w:rsidRPr="059CC1CF">
        <w:rPr>
          <w:rStyle w:val="normaltextrun"/>
          <w:rFonts w:ascii="Calibri" w:hAnsi="Calibri" w:cs="Calibri"/>
          <w:b/>
          <w:bCs/>
          <w:sz w:val="22"/>
          <w:szCs w:val="22"/>
        </w:rPr>
        <w:t xml:space="preserve">Appendix FCS </w:t>
      </w:r>
      <w:r w:rsidR="00F078A8">
        <w:rPr>
          <w:rStyle w:val="normaltextrun"/>
          <w:rFonts w:ascii="Calibri" w:hAnsi="Calibri" w:cs="Calibri"/>
          <w:b/>
          <w:bCs/>
          <w:sz w:val="22"/>
          <w:szCs w:val="22"/>
        </w:rPr>
        <w:t>05</w:t>
      </w:r>
      <w:r w:rsidR="2C1103BF" w:rsidRPr="059CC1CF">
        <w:rPr>
          <w:rStyle w:val="normaltextrun"/>
          <w:rFonts w:ascii="Calibri" w:hAnsi="Calibri" w:cs="Calibri"/>
          <w:b/>
          <w:bCs/>
          <w:sz w:val="22"/>
          <w:szCs w:val="22"/>
        </w:rPr>
        <w:t>/</w:t>
      </w:r>
      <w:r w:rsidR="00426388" w:rsidRPr="059CC1CF">
        <w:rPr>
          <w:rStyle w:val="normaltextrun"/>
          <w:rFonts w:ascii="Calibri" w:hAnsi="Calibri" w:cs="Calibri"/>
          <w:b/>
          <w:bCs/>
          <w:sz w:val="22"/>
          <w:szCs w:val="22"/>
        </w:rPr>
        <w:t>0</w:t>
      </w:r>
      <w:r w:rsidR="0028386C">
        <w:rPr>
          <w:rStyle w:val="normaltextrun"/>
          <w:rFonts w:ascii="Calibri" w:hAnsi="Calibri" w:cs="Calibri"/>
          <w:b/>
          <w:bCs/>
          <w:sz w:val="22"/>
          <w:szCs w:val="22"/>
        </w:rPr>
        <w:t>9</w:t>
      </w:r>
      <w:r w:rsidR="2C1103BF"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1233DC56" w:rsidRPr="059CC1CF">
        <w:rPr>
          <w:rStyle w:val="normaltextrun"/>
          <w:rFonts w:ascii="Calibri" w:hAnsi="Calibri" w:cs="Calibri"/>
          <w:b/>
          <w:bCs/>
          <w:sz w:val="22"/>
          <w:szCs w:val="22"/>
        </w:rPr>
        <w:t>)</w:t>
      </w:r>
      <w:r w:rsidR="354DCBBE" w:rsidRPr="059CC1CF">
        <w:rPr>
          <w:rStyle w:val="normaltextrun"/>
        </w:rPr>
        <w:t> </w:t>
      </w:r>
    </w:p>
    <w:p w14:paraId="47C1C8B7" w14:textId="533994DF" w:rsidR="002C1170" w:rsidRDefault="002C1170" w:rsidP="059CC1CF">
      <w:pPr>
        <w:pStyle w:val="paragraph"/>
        <w:spacing w:before="0" w:beforeAutospacing="0" w:after="0" w:afterAutospacing="0"/>
        <w:rPr>
          <w:rStyle w:val="eop"/>
          <w:rFonts w:ascii="Calibri" w:hAnsi="Calibri" w:cs="Calibri"/>
          <w:b/>
          <w:bCs/>
          <w:sz w:val="22"/>
          <w:szCs w:val="22"/>
        </w:rPr>
      </w:pPr>
    </w:p>
    <w:p w14:paraId="63F9CE0A" w14:textId="26653D9B" w:rsidR="00426388" w:rsidRPr="008846C1" w:rsidRDefault="00426388" w:rsidP="00AF46FC">
      <w:pPr>
        <w:pStyle w:val="paragraph"/>
        <w:numPr>
          <w:ilvl w:val="0"/>
          <w:numId w:val="1"/>
        </w:numPr>
        <w:spacing w:before="0" w:beforeAutospacing="0" w:after="0" w:afterAutospacing="0"/>
        <w:rPr>
          <w:rStyle w:val="eop"/>
          <w:rFonts w:asciiTheme="minorHAnsi" w:eastAsiaTheme="minorEastAsia" w:hAnsiTheme="minorHAnsi" w:cstheme="minorBidi"/>
        </w:rPr>
      </w:pPr>
      <w:r w:rsidRPr="002C1170">
        <w:rPr>
          <w:rStyle w:val="eop"/>
          <w:rFonts w:ascii="Calibri" w:hAnsi="Calibri" w:cs="Calibri"/>
          <w:sz w:val="22"/>
          <w:szCs w:val="22"/>
        </w:rPr>
        <w:t>Reimbursement reforms</w:t>
      </w:r>
    </w:p>
    <w:p w14:paraId="4980C737" w14:textId="7977FBE4" w:rsidR="00426388" w:rsidRDefault="00426388" w:rsidP="00AF46FC">
      <w:pPr>
        <w:pStyle w:val="paragraph"/>
        <w:numPr>
          <w:ilvl w:val="1"/>
          <w:numId w:val="1"/>
        </w:numPr>
        <w:spacing w:before="0" w:beforeAutospacing="0" w:after="0" w:afterAutospacing="0"/>
        <w:rPr>
          <w:rStyle w:val="normaltextrun"/>
          <w:rFonts w:asciiTheme="minorHAnsi" w:eastAsiaTheme="minorEastAsia" w:hAnsiTheme="minorHAnsi" w:cstheme="minorBidi"/>
          <w:sz w:val="22"/>
          <w:szCs w:val="22"/>
        </w:rPr>
      </w:pPr>
      <w:r w:rsidRPr="059CC1CF">
        <w:rPr>
          <w:rStyle w:val="normaltextrun"/>
          <w:rFonts w:ascii="Calibri" w:hAnsi="Calibri" w:cs="Calibri"/>
          <w:sz w:val="22"/>
          <w:szCs w:val="22"/>
        </w:rPr>
        <w:t xml:space="preserve">Category A reform update </w:t>
      </w:r>
      <w:r w:rsidRPr="059CC1CF">
        <w:rPr>
          <w:rStyle w:val="normaltextrun"/>
          <w:rFonts w:ascii="Calibri" w:hAnsi="Calibri" w:cs="Calibri"/>
          <w:b/>
          <w:bCs/>
          <w:sz w:val="22"/>
          <w:szCs w:val="22"/>
        </w:rPr>
        <w:t xml:space="preserve">(Confidential Appendix FCS </w:t>
      </w:r>
      <w:r w:rsidR="00CC65E9">
        <w:rPr>
          <w:rStyle w:val="normaltextrun"/>
          <w:rFonts w:ascii="Calibri" w:hAnsi="Calibri" w:cs="Calibri"/>
          <w:b/>
          <w:bCs/>
          <w:sz w:val="22"/>
          <w:szCs w:val="22"/>
        </w:rPr>
        <w:t>06</w:t>
      </w:r>
      <w:r w:rsidRPr="059CC1CF">
        <w:rPr>
          <w:rStyle w:val="normaltextrun"/>
          <w:rFonts w:ascii="Calibri" w:hAnsi="Calibri" w:cs="Calibri"/>
          <w:b/>
          <w:bCs/>
          <w:sz w:val="22"/>
          <w:szCs w:val="22"/>
        </w:rPr>
        <w:t>/0</w:t>
      </w:r>
      <w:r w:rsidR="0028386C">
        <w:rPr>
          <w:rStyle w:val="normaltextrun"/>
          <w:rFonts w:ascii="Calibri" w:hAnsi="Calibri" w:cs="Calibri"/>
          <w:b/>
          <w:bCs/>
          <w:sz w:val="22"/>
          <w:szCs w:val="22"/>
        </w:rPr>
        <w:t>9</w:t>
      </w:r>
      <w:r w:rsidRPr="059CC1CF">
        <w:rPr>
          <w:rStyle w:val="normaltextrun"/>
          <w:rFonts w:ascii="Calibri" w:hAnsi="Calibri" w:cs="Calibri"/>
          <w:b/>
          <w:bCs/>
          <w:sz w:val="22"/>
          <w:szCs w:val="22"/>
        </w:rPr>
        <w:t>/22)</w:t>
      </w:r>
    </w:p>
    <w:p w14:paraId="78D8C74C" w14:textId="58E2ABE9" w:rsidR="00426388" w:rsidRPr="00426388" w:rsidRDefault="00426388" w:rsidP="487B46C8">
      <w:pPr>
        <w:pStyle w:val="paragraph"/>
        <w:spacing w:before="0" w:beforeAutospacing="0" w:after="0" w:afterAutospacing="0"/>
        <w:ind w:left="632"/>
        <w:textAlignment w:val="baseline"/>
        <w:rPr>
          <w:rStyle w:val="normaltextrun"/>
          <w:b/>
        </w:rPr>
      </w:pPr>
    </w:p>
    <w:p w14:paraId="0503FAFF" w14:textId="14FE488E" w:rsidR="0010343E" w:rsidRPr="0010343E" w:rsidRDefault="354DCBBE" w:rsidP="00AF46FC">
      <w:pPr>
        <w:pStyle w:val="paragraph"/>
        <w:numPr>
          <w:ilvl w:val="0"/>
          <w:numId w:val="1"/>
        </w:numPr>
        <w:spacing w:before="0" w:beforeAutospacing="0" w:after="0" w:afterAutospacing="0"/>
        <w:textAlignment w:val="baseline"/>
        <w:rPr>
          <w:color w:val="000000" w:themeColor="text1"/>
          <w:sz w:val="22"/>
          <w:szCs w:val="22"/>
        </w:rPr>
      </w:pPr>
      <w:r w:rsidRPr="059CC1CF">
        <w:rPr>
          <w:rStyle w:val="normaltextrun"/>
          <w:rFonts w:ascii="Calibri" w:hAnsi="Calibri" w:cs="Calibri"/>
          <w:sz w:val="22"/>
          <w:szCs w:val="22"/>
        </w:rPr>
        <w:t>General funding update </w:t>
      </w:r>
      <w:r w:rsidRPr="059CC1CF">
        <w:rPr>
          <w:rStyle w:val="normaltextrun"/>
          <w:rFonts w:ascii="Calibri" w:hAnsi="Calibri" w:cs="Calibri"/>
          <w:b/>
          <w:bCs/>
          <w:sz w:val="22"/>
          <w:szCs w:val="22"/>
        </w:rPr>
        <w:t>(Appendix FCS </w:t>
      </w:r>
      <w:r w:rsidR="00CC65E9">
        <w:rPr>
          <w:rStyle w:val="normaltextrun"/>
          <w:rFonts w:ascii="Calibri" w:hAnsi="Calibri" w:cs="Calibri"/>
          <w:b/>
          <w:bCs/>
          <w:sz w:val="22"/>
          <w:szCs w:val="22"/>
        </w:rPr>
        <w:t>07</w:t>
      </w:r>
      <w:r w:rsidRPr="059CC1CF">
        <w:rPr>
          <w:rStyle w:val="normaltextrun"/>
          <w:rFonts w:ascii="Calibri" w:hAnsi="Calibri" w:cs="Calibri"/>
          <w:b/>
          <w:bCs/>
          <w:sz w:val="22"/>
          <w:szCs w:val="22"/>
        </w:rPr>
        <w:t>/</w:t>
      </w:r>
      <w:r w:rsidR="00426388" w:rsidRPr="059CC1CF">
        <w:rPr>
          <w:rStyle w:val="normaltextrun"/>
          <w:rFonts w:ascii="Calibri" w:hAnsi="Calibri" w:cs="Calibri"/>
          <w:b/>
          <w:bCs/>
          <w:sz w:val="22"/>
          <w:szCs w:val="22"/>
        </w:rPr>
        <w:t>0</w:t>
      </w:r>
      <w:r w:rsidR="0028386C">
        <w:rPr>
          <w:rStyle w:val="normaltextrun"/>
          <w:rFonts w:ascii="Calibri" w:hAnsi="Calibri" w:cs="Calibri"/>
          <w:b/>
          <w:bCs/>
          <w:sz w:val="22"/>
          <w:szCs w:val="22"/>
        </w:rPr>
        <w:t>9</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w:t>
      </w:r>
    </w:p>
    <w:p w14:paraId="5A457DFB" w14:textId="090A37E0" w:rsidR="0010343E" w:rsidRPr="0010343E" w:rsidRDefault="0010343E" w:rsidP="42B61739">
      <w:pPr>
        <w:pStyle w:val="paragraph"/>
        <w:spacing w:before="0" w:beforeAutospacing="0" w:after="0" w:afterAutospacing="0"/>
        <w:textAlignment w:val="baseline"/>
        <w:rPr>
          <w:sz w:val="22"/>
          <w:szCs w:val="22"/>
        </w:rPr>
      </w:pPr>
      <w:r w:rsidRPr="42B61739">
        <w:rPr>
          <w:rStyle w:val="normaltextrun"/>
          <w:rFonts w:ascii="Calibri" w:hAnsi="Calibri" w:cs="Calibri"/>
          <w:b/>
          <w:bCs/>
          <w:sz w:val="22"/>
          <w:szCs w:val="22"/>
        </w:rPr>
        <w:t> </w:t>
      </w:r>
      <w:r w:rsidRPr="42B61739">
        <w:rPr>
          <w:rStyle w:val="eop"/>
          <w:rFonts w:ascii="Calibri" w:hAnsi="Calibri" w:cs="Calibri"/>
          <w:sz w:val="22"/>
          <w:szCs w:val="22"/>
        </w:rPr>
        <w:t> </w:t>
      </w:r>
    </w:p>
    <w:p w14:paraId="76B08F1D" w14:textId="109FE938" w:rsidR="0010343E" w:rsidRPr="0010343E" w:rsidRDefault="354DCBBE" w:rsidP="00AF46FC">
      <w:pPr>
        <w:pStyle w:val="paragraph"/>
        <w:numPr>
          <w:ilvl w:val="0"/>
          <w:numId w:val="1"/>
        </w:numPr>
        <w:spacing w:before="0" w:beforeAutospacing="0" w:after="0" w:afterAutospacing="0"/>
        <w:textAlignment w:val="baseline"/>
        <w:rPr>
          <w:rStyle w:val="scxw96657786"/>
          <w:sz w:val="22"/>
          <w:szCs w:val="22"/>
        </w:rPr>
      </w:pPr>
      <w:r w:rsidRPr="059CC1CF">
        <w:rPr>
          <w:rStyle w:val="normaltextrun"/>
          <w:rFonts w:ascii="Calibri" w:hAnsi="Calibri" w:cs="Calibri"/>
          <w:sz w:val="22"/>
          <w:szCs w:val="22"/>
        </w:rPr>
        <w:t>Statistics</w:t>
      </w:r>
      <w:r w:rsidRPr="059CC1CF">
        <w:rPr>
          <w:rStyle w:val="normaltextrun"/>
          <w:rFonts w:ascii="Calibri" w:hAnsi="Calibri" w:cs="Calibri"/>
          <w:color w:val="0000FF"/>
          <w:sz w:val="22"/>
          <w:szCs w:val="22"/>
        </w:rPr>
        <w:t> </w:t>
      </w:r>
      <w:r w:rsidRPr="059CC1CF">
        <w:rPr>
          <w:rStyle w:val="normaltextrun"/>
          <w:rFonts w:ascii="Calibri" w:hAnsi="Calibri" w:cs="Calibri"/>
          <w:b/>
          <w:bCs/>
          <w:sz w:val="22"/>
          <w:szCs w:val="22"/>
        </w:rPr>
        <w:t>(Appendix FCS </w:t>
      </w:r>
      <w:r w:rsidR="00CC65E9">
        <w:rPr>
          <w:rStyle w:val="normaltextrun"/>
          <w:rFonts w:ascii="Calibri" w:hAnsi="Calibri" w:cs="Calibri"/>
          <w:b/>
          <w:bCs/>
          <w:sz w:val="22"/>
          <w:szCs w:val="22"/>
        </w:rPr>
        <w:t>08</w:t>
      </w:r>
      <w:r w:rsidRPr="059CC1CF">
        <w:rPr>
          <w:rStyle w:val="normaltextrun"/>
          <w:rFonts w:ascii="Calibri" w:hAnsi="Calibri" w:cs="Calibri"/>
          <w:b/>
          <w:bCs/>
          <w:sz w:val="22"/>
          <w:szCs w:val="22"/>
        </w:rPr>
        <w:t>/</w:t>
      </w:r>
      <w:r w:rsidR="002C1170" w:rsidRPr="059CC1CF">
        <w:rPr>
          <w:rStyle w:val="normaltextrun"/>
          <w:rFonts w:ascii="Calibri" w:hAnsi="Calibri" w:cs="Calibri"/>
          <w:b/>
          <w:bCs/>
          <w:sz w:val="22"/>
          <w:szCs w:val="22"/>
        </w:rPr>
        <w:t>0</w:t>
      </w:r>
      <w:r w:rsidR="0028386C">
        <w:rPr>
          <w:rStyle w:val="normaltextrun"/>
          <w:rFonts w:ascii="Calibri" w:hAnsi="Calibri" w:cs="Calibri"/>
          <w:b/>
          <w:bCs/>
          <w:sz w:val="22"/>
          <w:szCs w:val="22"/>
        </w:rPr>
        <w:t>9</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w:t>
      </w:r>
      <w:r>
        <w:br/>
      </w:r>
    </w:p>
    <w:p w14:paraId="6D74A07F" w14:textId="5DC971A8" w:rsidR="004B10C4" w:rsidRPr="004E3620" w:rsidRDefault="354DCBBE" w:rsidP="00AF46FC">
      <w:pPr>
        <w:pStyle w:val="paragraph"/>
        <w:numPr>
          <w:ilvl w:val="0"/>
          <w:numId w:val="1"/>
        </w:numPr>
        <w:spacing w:before="0" w:beforeAutospacing="0" w:after="0" w:afterAutospacing="0"/>
        <w:textAlignment w:val="baseline"/>
        <w:rPr>
          <w:rStyle w:val="normaltextrun"/>
          <w:sz w:val="22"/>
          <w:szCs w:val="22"/>
        </w:rPr>
      </w:pPr>
      <w:r w:rsidRPr="059CC1CF">
        <w:rPr>
          <w:rStyle w:val="normaltextrun"/>
          <w:rFonts w:ascii="Calibri" w:hAnsi="Calibri" w:cs="Calibri"/>
          <w:sz w:val="22"/>
          <w:szCs w:val="22"/>
        </w:rPr>
        <w:t>Any other business</w:t>
      </w:r>
    </w:p>
    <w:p w14:paraId="33844E9D" w14:textId="77777777" w:rsidR="004E3620" w:rsidRDefault="004E3620" w:rsidP="004E3620">
      <w:pPr>
        <w:pStyle w:val="paragraph"/>
        <w:spacing w:before="0" w:beforeAutospacing="0" w:after="0" w:afterAutospacing="0"/>
        <w:textAlignment w:val="baseline"/>
        <w:rPr>
          <w:rStyle w:val="normaltextrun"/>
          <w:rFonts w:ascii="Calibri" w:hAnsi="Calibri" w:cs="Calibri"/>
          <w:sz w:val="22"/>
          <w:szCs w:val="22"/>
        </w:rPr>
      </w:pPr>
    </w:p>
    <w:p w14:paraId="2E6794B5" w14:textId="753D115C" w:rsidR="00F43B81" w:rsidRDefault="00F43B81">
      <w:pPr>
        <w:rPr>
          <w:rStyle w:val="eop"/>
          <w:rFonts w:ascii="Times New Roman" w:eastAsia="Times New Roman" w:hAnsi="Times New Roman" w:cs="Times New Roman"/>
          <w:lang w:eastAsia="en-GB"/>
        </w:rPr>
      </w:pPr>
      <w:r>
        <w:rPr>
          <w:rStyle w:val="eop"/>
        </w:rPr>
        <w:br w:type="page"/>
      </w:r>
    </w:p>
    <w:p w14:paraId="6740E7B8" w14:textId="77777777" w:rsidR="00536D0A" w:rsidRPr="00907E6A" w:rsidRDefault="00536D0A" w:rsidP="00536D0A">
      <w:pPr>
        <w:spacing w:before="15" w:after="1"/>
        <w:ind w:right="689"/>
        <w:jc w:val="both"/>
        <w:rPr>
          <w:b/>
          <w:bCs/>
          <w:color w:val="000000" w:themeColor="text1"/>
        </w:rPr>
      </w:pPr>
    </w:p>
    <w:tbl>
      <w:tblPr>
        <w:tblW w:w="0" w:type="auto"/>
        <w:tblLayout w:type="fixed"/>
        <w:tblLook w:val="01E0" w:firstRow="1" w:lastRow="1" w:firstColumn="1" w:lastColumn="1" w:noHBand="0" w:noVBand="0"/>
      </w:tblPr>
      <w:tblGrid>
        <w:gridCol w:w="3510"/>
        <w:gridCol w:w="5385"/>
      </w:tblGrid>
      <w:tr w:rsidR="00536D0A" w14:paraId="6E6046C1" w14:textId="77777777" w:rsidTr="00BF374D">
        <w:trPr>
          <w:trHeight w:val="79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066BEA" w14:textId="77777777" w:rsidR="00536D0A" w:rsidRDefault="00536D0A" w:rsidP="00BF374D">
            <w:pPr>
              <w:pStyle w:val="TableParagraph"/>
              <w:ind w:left="107"/>
              <w:jc w:val="both"/>
            </w:pPr>
            <w:r w:rsidRPr="680B3C7F">
              <w:t>Subject</w:t>
            </w:r>
          </w:p>
        </w:tc>
        <w:tc>
          <w:tcPr>
            <w:tcW w:w="5385" w:type="dxa"/>
            <w:tcBorders>
              <w:top w:val="single" w:sz="6" w:space="0" w:color="000000" w:themeColor="text1"/>
              <w:bottom w:val="single" w:sz="6" w:space="0" w:color="000000" w:themeColor="text1"/>
              <w:right w:val="single" w:sz="6" w:space="0" w:color="000000" w:themeColor="text1"/>
            </w:tcBorders>
            <w:vAlign w:val="center"/>
          </w:tcPr>
          <w:p w14:paraId="5166C354" w14:textId="77777777" w:rsidR="00536D0A" w:rsidRDefault="00536D0A" w:rsidP="00BF374D">
            <w:pPr>
              <w:pStyle w:val="TableParagraph"/>
              <w:ind w:left="107"/>
              <w:jc w:val="both"/>
            </w:pPr>
            <w:r w:rsidRPr="680B3C7F">
              <w:t>Price concessions update</w:t>
            </w:r>
          </w:p>
        </w:tc>
      </w:tr>
      <w:tr w:rsidR="00536D0A" w14:paraId="2F71F693" w14:textId="77777777" w:rsidTr="00BF374D">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7E8740C3" w14:textId="77777777" w:rsidR="00536D0A" w:rsidRDefault="00536D0A" w:rsidP="00BF374D">
            <w:pPr>
              <w:pStyle w:val="TableParagraph"/>
              <w:ind w:left="107"/>
              <w:jc w:val="both"/>
            </w:pPr>
            <w:r w:rsidRPr="680B3C7F">
              <w:t>Date of meeting</w:t>
            </w:r>
          </w:p>
        </w:tc>
        <w:tc>
          <w:tcPr>
            <w:tcW w:w="5385" w:type="dxa"/>
            <w:tcBorders>
              <w:bottom w:val="single" w:sz="6" w:space="0" w:color="000000" w:themeColor="text1"/>
              <w:right w:val="single" w:sz="6" w:space="0" w:color="000000" w:themeColor="text1"/>
            </w:tcBorders>
            <w:vAlign w:val="center"/>
          </w:tcPr>
          <w:p w14:paraId="25CC7359" w14:textId="77777777" w:rsidR="00536D0A" w:rsidRDefault="00536D0A" w:rsidP="00BF374D">
            <w:pPr>
              <w:pStyle w:val="TableParagraph"/>
              <w:jc w:val="both"/>
            </w:pPr>
            <w:r>
              <w:t xml:space="preserve">  September 2022</w:t>
            </w:r>
          </w:p>
        </w:tc>
      </w:tr>
      <w:tr w:rsidR="00536D0A" w14:paraId="7B62EDD6" w14:textId="77777777" w:rsidTr="00BF374D">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420D25B1" w14:textId="77777777" w:rsidR="00536D0A" w:rsidRDefault="00536D0A" w:rsidP="00BF374D">
            <w:pPr>
              <w:pStyle w:val="TableParagraph"/>
              <w:ind w:left="107"/>
              <w:jc w:val="both"/>
            </w:pPr>
            <w:r w:rsidRPr="680B3C7F">
              <w:t>Committee/Subcommittee</w:t>
            </w:r>
          </w:p>
        </w:tc>
        <w:tc>
          <w:tcPr>
            <w:tcW w:w="5385" w:type="dxa"/>
            <w:tcBorders>
              <w:bottom w:val="single" w:sz="6" w:space="0" w:color="000000" w:themeColor="text1"/>
              <w:right w:val="single" w:sz="6" w:space="0" w:color="000000" w:themeColor="text1"/>
            </w:tcBorders>
            <w:vAlign w:val="center"/>
          </w:tcPr>
          <w:p w14:paraId="0D6BCB4C" w14:textId="77777777" w:rsidR="00536D0A" w:rsidRDefault="00536D0A" w:rsidP="00BF374D">
            <w:pPr>
              <w:pStyle w:val="TableParagraph"/>
              <w:ind w:left="107"/>
              <w:jc w:val="both"/>
            </w:pPr>
            <w:proofErr w:type="spellStart"/>
            <w:r w:rsidRPr="680B3C7F">
              <w:t>FunCon</w:t>
            </w:r>
            <w:proofErr w:type="spellEnd"/>
          </w:p>
        </w:tc>
      </w:tr>
      <w:tr w:rsidR="00536D0A" w14:paraId="0800CA2E" w14:textId="77777777" w:rsidTr="00BF374D">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1D4B12AC" w14:textId="77777777" w:rsidR="00536D0A" w:rsidRDefault="00536D0A" w:rsidP="00BF374D">
            <w:pPr>
              <w:pStyle w:val="TableParagraph"/>
              <w:ind w:left="107"/>
              <w:jc w:val="both"/>
            </w:pPr>
            <w:r w:rsidRPr="680B3C7F">
              <w:t>Status</w:t>
            </w:r>
          </w:p>
        </w:tc>
        <w:tc>
          <w:tcPr>
            <w:tcW w:w="5385" w:type="dxa"/>
            <w:tcBorders>
              <w:bottom w:val="single" w:sz="6" w:space="0" w:color="000000" w:themeColor="text1"/>
              <w:right w:val="single" w:sz="6" w:space="0" w:color="000000" w:themeColor="text1"/>
            </w:tcBorders>
            <w:vAlign w:val="center"/>
          </w:tcPr>
          <w:p w14:paraId="6418018F" w14:textId="77777777" w:rsidR="00536D0A" w:rsidRDefault="00536D0A" w:rsidP="00BF374D">
            <w:pPr>
              <w:pStyle w:val="TableParagraph"/>
              <w:ind w:left="107"/>
              <w:jc w:val="both"/>
            </w:pPr>
            <w:r>
              <w:t>Not c</w:t>
            </w:r>
            <w:r w:rsidRPr="680B3C7F">
              <w:t>onfidential</w:t>
            </w:r>
          </w:p>
        </w:tc>
      </w:tr>
      <w:tr w:rsidR="00536D0A" w14:paraId="372C98BA" w14:textId="77777777" w:rsidTr="00BF374D">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21590A86" w14:textId="77777777" w:rsidR="00536D0A" w:rsidRDefault="00536D0A" w:rsidP="00BF374D">
            <w:pPr>
              <w:pStyle w:val="TableParagraph"/>
              <w:ind w:left="107"/>
              <w:jc w:val="both"/>
            </w:pPr>
            <w:r w:rsidRPr="680B3C7F">
              <w:t>Overview</w:t>
            </w:r>
          </w:p>
        </w:tc>
        <w:tc>
          <w:tcPr>
            <w:tcW w:w="5385" w:type="dxa"/>
            <w:tcBorders>
              <w:bottom w:val="single" w:sz="6" w:space="0" w:color="000000" w:themeColor="text1"/>
              <w:right w:val="single" w:sz="6" w:space="0" w:color="000000" w:themeColor="text1"/>
            </w:tcBorders>
            <w:vAlign w:val="center"/>
          </w:tcPr>
          <w:p w14:paraId="6FF578EA" w14:textId="77777777" w:rsidR="00536D0A" w:rsidRDefault="00536D0A" w:rsidP="00BF374D">
            <w:pPr>
              <w:pStyle w:val="TableParagraph"/>
              <w:ind w:left="107"/>
              <w:jc w:val="both"/>
            </w:pPr>
            <w:r>
              <w:t>Overview of monthly price concessions granted</w:t>
            </w:r>
          </w:p>
        </w:tc>
      </w:tr>
      <w:tr w:rsidR="00536D0A" w14:paraId="667236EF" w14:textId="77777777" w:rsidTr="00BF374D">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44EBEAD1" w14:textId="77777777" w:rsidR="00536D0A" w:rsidRDefault="00536D0A" w:rsidP="00BF374D">
            <w:pPr>
              <w:pStyle w:val="TableParagraph"/>
              <w:ind w:left="107"/>
              <w:jc w:val="both"/>
            </w:pPr>
            <w:r w:rsidRPr="680B3C7F">
              <w:t>Proposed action(s)</w:t>
            </w:r>
          </w:p>
        </w:tc>
        <w:tc>
          <w:tcPr>
            <w:tcW w:w="5385" w:type="dxa"/>
            <w:tcBorders>
              <w:bottom w:val="single" w:sz="6" w:space="0" w:color="000000" w:themeColor="text1"/>
              <w:right w:val="single" w:sz="6" w:space="0" w:color="000000" w:themeColor="text1"/>
            </w:tcBorders>
            <w:vAlign w:val="center"/>
          </w:tcPr>
          <w:p w14:paraId="299C2633" w14:textId="77777777" w:rsidR="00536D0A" w:rsidRDefault="00536D0A" w:rsidP="00BF374D">
            <w:pPr>
              <w:pStyle w:val="TableParagraph"/>
              <w:ind w:left="107"/>
              <w:jc w:val="both"/>
            </w:pPr>
            <w:r>
              <w:t>No action required</w:t>
            </w:r>
          </w:p>
        </w:tc>
      </w:tr>
      <w:tr w:rsidR="00536D0A" w14:paraId="4C4A8F72" w14:textId="77777777" w:rsidTr="00BF374D">
        <w:trPr>
          <w:trHeight w:val="106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46B268CF" w14:textId="77777777" w:rsidR="00536D0A" w:rsidRDefault="00536D0A" w:rsidP="00BF374D">
            <w:pPr>
              <w:pStyle w:val="TableParagraph"/>
              <w:ind w:left="107"/>
              <w:jc w:val="both"/>
            </w:pPr>
            <w:r w:rsidRPr="680B3C7F">
              <w:t>Author(s) of the paper</w:t>
            </w:r>
          </w:p>
        </w:tc>
        <w:tc>
          <w:tcPr>
            <w:tcW w:w="5385" w:type="dxa"/>
            <w:tcBorders>
              <w:bottom w:val="single" w:sz="6" w:space="0" w:color="000000" w:themeColor="text1"/>
              <w:right w:val="single" w:sz="6" w:space="0" w:color="000000" w:themeColor="text1"/>
            </w:tcBorders>
            <w:vAlign w:val="center"/>
          </w:tcPr>
          <w:p w14:paraId="456B9BF3" w14:textId="77777777" w:rsidR="00536D0A" w:rsidRDefault="00536D0A" w:rsidP="00BF374D">
            <w:pPr>
              <w:pStyle w:val="TableParagraph"/>
              <w:ind w:left="107" w:right="1299"/>
              <w:jc w:val="both"/>
            </w:pPr>
            <w:r w:rsidRPr="680B3C7F">
              <w:t>PSNC Dispensing &amp; Supply Team</w:t>
            </w:r>
          </w:p>
        </w:tc>
      </w:tr>
    </w:tbl>
    <w:p w14:paraId="636DDDE8" w14:textId="77777777" w:rsidR="00536D0A" w:rsidRPr="00907E6A" w:rsidRDefault="00536D0A" w:rsidP="00536D0A">
      <w:pPr>
        <w:spacing w:before="15"/>
        <w:ind w:right="2880"/>
        <w:jc w:val="both"/>
        <w:rPr>
          <w:color w:val="5B518E"/>
        </w:rPr>
      </w:pPr>
    </w:p>
    <w:p w14:paraId="08E6F0CA" w14:textId="77777777" w:rsidR="00536D0A" w:rsidRPr="00907E6A" w:rsidRDefault="00536D0A" w:rsidP="00536D0A">
      <w:pPr>
        <w:spacing w:before="15"/>
        <w:ind w:right="2880"/>
        <w:jc w:val="both"/>
        <w:rPr>
          <w:color w:val="5B518E"/>
        </w:rPr>
      </w:pPr>
    </w:p>
    <w:p w14:paraId="1EB03141" w14:textId="77777777" w:rsidR="00536D0A" w:rsidRPr="00907E6A" w:rsidRDefault="00536D0A" w:rsidP="00536D0A">
      <w:pPr>
        <w:spacing w:before="15"/>
        <w:ind w:left="851" w:right="2880"/>
        <w:jc w:val="both"/>
        <w:rPr>
          <w:b/>
          <w:bCs/>
          <w:color w:val="5B518E"/>
        </w:rPr>
      </w:pPr>
    </w:p>
    <w:p w14:paraId="685E431B" w14:textId="77777777" w:rsidR="00536D0A" w:rsidRPr="00907E6A" w:rsidRDefault="00536D0A" w:rsidP="00536D0A">
      <w:pPr>
        <w:spacing w:before="15"/>
        <w:ind w:left="851" w:right="2880"/>
        <w:jc w:val="both"/>
        <w:rPr>
          <w:b/>
          <w:color w:val="5B518E"/>
        </w:rPr>
      </w:pPr>
    </w:p>
    <w:p w14:paraId="0341615E" w14:textId="77777777" w:rsidR="00536D0A" w:rsidRPr="00907E6A" w:rsidRDefault="00536D0A" w:rsidP="00536D0A">
      <w:pPr>
        <w:spacing w:before="15"/>
        <w:ind w:left="851" w:right="2880"/>
        <w:jc w:val="both"/>
        <w:rPr>
          <w:b/>
          <w:color w:val="5B518E"/>
        </w:rPr>
      </w:pPr>
    </w:p>
    <w:p w14:paraId="7E40FE9A" w14:textId="77777777" w:rsidR="00536D0A" w:rsidRPr="00907E6A" w:rsidRDefault="00536D0A" w:rsidP="00536D0A">
      <w:pPr>
        <w:spacing w:before="15"/>
        <w:ind w:left="851" w:right="2880"/>
        <w:jc w:val="both"/>
        <w:rPr>
          <w:b/>
          <w:color w:val="5B518E"/>
        </w:rPr>
      </w:pPr>
    </w:p>
    <w:p w14:paraId="1E7467A4" w14:textId="77777777" w:rsidR="00536D0A" w:rsidRPr="00907E6A" w:rsidRDefault="00536D0A" w:rsidP="00536D0A">
      <w:pPr>
        <w:spacing w:before="15"/>
        <w:ind w:left="851" w:right="2880"/>
        <w:jc w:val="both"/>
        <w:rPr>
          <w:b/>
          <w:color w:val="5B518E"/>
        </w:rPr>
      </w:pPr>
    </w:p>
    <w:p w14:paraId="72B8B533" w14:textId="77777777" w:rsidR="00536D0A" w:rsidRPr="00907E6A" w:rsidRDefault="00536D0A" w:rsidP="00536D0A">
      <w:pPr>
        <w:spacing w:before="15"/>
        <w:ind w:left="851" w:right="2880"/>
        <w:jc w:val="both"/>
        <w:rPr>
          <w:b/>
          <w:color w:val="5B518E"/>
        </w:rPr>
      </w:pPr>
    </w:p>
    <w:p w14:paraId="330C4F54" w14:textId="77777777" w:rsidR="00536D0A" w:rsidRPr="00907E6A" w:rsidRDefault="00536D0A" w:rsidP="00536D0A">
      <w:pPr>
        <w:spacing w:before="15"/>
        <w:ind w:left="851" w:right="2880"/>
        <w:jc w:val="both"/>
        <w:rPr>
          <w:b/>
          <w:color w:val="5B518E"/>
        </w:rPr>
      </w:pPr>
    </w:p>
    <w:p w14:paraId="7A4C0F45" w14:textId="77777777" w:rsidR="00536D0A" w:rsidRPr="00907E6A" w:rsidRDefault="00536D0A" w:rsidP="00536D0A">
      <w:pPr>
        <w:spacing w:before="15"/>
        <w:ind w:left="851" w:right="2880"/>
        <w:jc w:val="both"/>
        <w:rPr>
          <w:b/>
          <w:color w:val="5B518E"/>
        </w:rPr>
      </w:pPr>
    </w:p>
    <w:p w14:paraId="52F2CE64" w14:textId="77777777" w:rsidR="00536D0A" w:rsidRPr="00907E6A" w:rsidRDefault="00536D0A" w:rsidP="00536D0A">
      <w:pPr>
        <w:spacing w:before="15"/>
        <w:ind w:left="851" w:right="2880"/>
        <w:jc w:val="both"/>
        <w:rPr>
          <w:b/>
          <w:color w:val="5B518E"/>
        </w:rPr>
      </w:pPr>
    </w:p>
    <w:p w14:paraId="47E4A3C6" w14:textId="77777777" w:rsidR="00536D0A" w:rsidRPr="00907E6A" w:rsidRDefault="00536D0A" w:rsidP="00536D0A">
      <w:pPr>
        <w:spacing w:before="15"/>
        <w:ind w:left="851" w:right="2880"/>
        <w:jc w:val="both"/>
        <w:rPr>
          <w:b/>
          <w:color w:val="5B518E"/>
        </w:rPr>
      </w:pPr>
    </w:p>
    <w:p w14:paraId="296BCDC7" w14:textId="77777777" w:rsidR="00536D0A" w:rsidRPr="00907E6A" w:rsidRDefault="00536D0A" w:rsidP="00536D0A">
      <w:pPr>
        <w:spacing w:before="15"/>
        <w:ind w:left="851" w:right="2880"/>
        <w:jc w:val="both"/>
        <w:rPr>
          <w:b/>
          <w:color w:val="5B518E"/>
        </w:rPr>
      </w:pPr>
    </w:p>
    <w:p w14:paraId="27C225E2" w14:textId="77777777" w:rsidR="00536D0A" w:rsidRDefault="00536D0A" w:rsidP="00536D0A">
      <w:pPr>
        <w:spacing w:before="15"/>
        <w:ind w:left="851" w:right="2880"/>
        <w:jc w:val="both"/>
        <w:rPr>
          <w:b/>
          <w:color w:val="5B518E"/>
        </w:rPr>
      </w:pPr>
    </w:p>
    <w:p w14:paraId="5E3419BB" w14:textId="77777777" w:rsidR="00536D0A" w:rsidRDefault="00536D0A" w:rsidP="00536D0A">
      <w:pPr>
        <w:spacing w:before="15"/>
        <w:ind w:left="851" w:right="2880"/>
        <w:jc w:val="both"/>
        <w:rPr>
          <w:b/>
          <w:color w:val="5B518E"/>
        </w:rPr>
      </w:pPr>
    </w:p>
    <w:p w14:paraId="0FCBF17B" w14:textId="77777777" w:rsidR="00536D0A" w:rsidRDefault="00536D0A" w:rsidP="00536D0A">
      <w:pPr>
        <w:spacing w:before="15"/>
        <w:ind w:left="851" w:right="2880"/>
        <w:jc w:val="both"/>
        <w:rPr>
          <w:b/>
          <w:color w:val="5B518E"/>
        </w:rPr>
      </w:pPr>
    </w:p>
    <w:p w14:paraId="5A4DB725" w14:textId="77777777" w:rsidR="00536D0A" w:rsidRDefault="00536D0A" w:rsidP="00536D0A">
      <w:pPr>
        <w:spacing w:before="15"/>
        <w:ind w:right="2880"/>
        <w:jc w:val="both"/>
        <w:rPr>
          <w:b/>
          <w:color w:val="5B518E"/>
        </w:rPr>
      </w:pPr>
    </w:p>
    <w:p w14:paraId="38EEA8BB" w14:textId="77777777" w:rsidR="00536D0A" w:rsidRDefault="00536D0A" w:rsidP="00536D0A">
      <w:pPr>
        <w:pStyle w:val="Heading1"/>
        <w:jc w:val="center"/>
        <w:rPr>
          <w:rFonts w:ascii="Calibri Light" w:eastAsia="Calibri Light" w:hAnsi="Calibri Light" w:cs="Calibri Light"/>
          <w:color w:val="44546A" w:themeColor="text2"/>
          <w:sz w:val="20"/>
          <w:szCs w:val="20"/>
        </w:rPr>
      </w:pPr>
      <w:r>
        <w:br w:type="page"/>
      </w:r>
      <w:r>
        <w:lastRenderedPageBreak/>
        <w:t>Price concessions update</w:t>
      </w:r>
      <w:r>
        <w:br/>
      </w:r>
    </w:p>
    <w:p w14:paraId="36CBECDE" w14:textId="77777777" w:rsidR="00536D0A" w:rsidRPr="002605CF" w:rsidRDefault="00536D0A" w:rsidP="00536D0A">
      <w:pPr>
        <w:pStyle w:val="Heading2"/>
        <w:rPr>
          <w:sz w:val="32"/>
          <w:szCs w:val="32"/>
        </w:rPr>
      </w:pPr>
      <w:r w:rsidRPr="3CD14F08">
        <w:rPr>
          <w:sz w:val="32"/>
          <w:szCs w:val="32"/>
        </w:rPr>
        <w:t>Executive summary</w:t>
      </w:r>
      <w:r>
        <w:br/>
      </w:r>
    </w:p>
    <w:p w14:paraId="484ADFCF" w14:textId="77777777" w:rsidR="00536D0A" w:rsidRPr="002605CF" w:rsidRDefault="00536D0A" w:rsidP="00AF46FC">
      <w:pPr>
        <w:pStyle w:val="pf0"/>
        <w:numPr>
          <w:ilvl w:val="0"/>
          <w:numId w:val="5"/>
        </w:numPr>
        <w:spacing w:before="0" w:beforeAutospacing="0" w:after="0" w:afterAutospacing="0"/>
        <w:ind w:left="714" w:hanging="357"/>
        <w:jc w:val="both"/>
        <w:rPr>
          <w:rFonts w:asciiTheme="minorHAnsi" w:hAnsiTheme="minorHAnsi" w:cstheme="minorBidi"/>
          <w:sz w:val="22"/>
          <w:szCs w:val="22"/>
        </w:rPr>
      </w:pPr>
      <w:r w:rsidRPr="6DDDA9A6">
        <w:rPr>
          <w:rStyle w:val="cf01"/>
          <w:rFonts w:asciiTheme="minorHAnsi" w:eastAsia="Calibri" w:hAnsiTheme="minorHAnsi" w:cstheme="minorBidi"/>
          <w:sz w:val="22"/>
          <w:szCs w:val="22"/>
        </w:rPr>
        <w:t>PSNC has received significant contractor and Committee feedback on the price concessions granted by DHSC for the months of July and August.</w:t>
      </w:r>
    </w:p>
    <w:p w14:paraId="7B78D5E6" w14:textId="77777777" w:rsidR="00536D0A" w:rsidRPr="002605CF" w:rsidRDefault="00536D0A" w:rsidP="00AF46FC">
      <w:pPr>
        <w:pStyle w:val="pf0"/>
        <w:numPr>
          <w:ilvl w:val="0"/>
          <w:numId w:val="5"/>
        </w:numPr>
        <w:spacing w:before="0" w:beforeAutospacing="0" w:after="0" w:afterAutospacing="0"/>
        <w:ind w:left="714" w:hanging="357"/>
        <w:jc w:val="both"/>
        <w:rPr>
          <w:rFonts w:asciiTheme="minorHAnsi" w:hAnsiTheme="minorHAnsi" w:cstheme="minorBidi"/>
          <w:sz w:val="22"/>
          <w:szCs w:val="22"/>
        </w:rPr>
      </w:pPr>
      <w:r w:rsidRPr="6DDDA9A6">
        <w:rPr>
          <w:rStyle w:val="cf01"/>
          <w:rFonts w:asciiTheme="minorHAnsi" w:eastAsia="Calibri" w:hAnsiTheme="minorHAnsi" w:cstheme="minorBidi"/>
          <w:sz w:val="22"/>
          <w:szCs w:val="22"/>
        </w:rPr>
        <w:t xml:space="preserve">In July, DHSC imposed prices for 40% of lines applied for. This includes </w:t>
      </w:r>
      <w:proofErr w:type="spellStart"/>
      <w:r w:rsidRPr="6DDDA9A6">
        <w:rPr>
          <w:rStyle w:val="cf01"/>
          <w:rFonts w:asciiTheme="minorHAnsi" w:eastAsia="Calibri" w:hAnsiTheme="minorHAnsi" w:cstheme="minorBidi"/>
          <w:sz w:val="22"/>
          <w:szCs w:val="22"/>
        </w:rPr>
        <w:t>Alendronic</w:t>
      </w:r>
      <w:proofErr w:type="spellEnd"/>
      <w:r w:rsidRPr="6DDDA9A6">
        <w:rPr>
          <w:rStyle w:val="cf01"/>
          <w:rFonts w:asciiTheme="minorHAnsi" w:eastAsia="Calibri" w:hAnsiTheme="minorHAnsi" w:cstheme="minorBidi"/>
          <w:sz w:val="22"/>
          <w:szCs w:val="22"/>
        </w:rPr>
        <w:t xml:space="preserve"> acid tablets where the final price did not reflect the level of reports received by PSNC.</w:t>
      </w:r>
    </w:p>
    <w:p w14:paraId="65B2C041" w14:textId="77777777" w:rsidR="00536D0A" w:rsidRPr="002605CF" w:rsidRDefault="00536D0A" w:rsidP="00AF46FC">
      <w:pPr>
        <w:pStyle w:val="pf0"/>
        <w:numPr>
          <w:ilvl w:val="0"/>
          <w:numId w:val="5"/>
        </w:numPr>
        <w:spacing w:before="0" w:beforeAutospacing="0" w:after="0" w:afterAutospacing="0"/>
        <w:ind w:left="714" w:hanging="357"/>
        <w:jc w:val="both"/>
        <w:rPr>
          <w:rFonts w:asciiTheme="minorHAnsi" w:hAnsiTheme="minorHAnsi" w:cstheme="minorBidi"/>
          <w:sz w:val="22"/>
          <w:szCs w:val="22"/>
        </w:rPr>
      </w:pPr>
      <w:r w:rsidRPr="6DDDA9A6">
        <w:rPr>
          <w:rStyle w:val="cf01"/>
          <w:rFonts w:asciiTheme="minorHAnsi" w:eastAsia="Calibri" w:hAnsiTheme="minorHAnsi" w:cstheme="minorBidi"/>
          <w:sz w:val="22"/>
          <w:szCs w:val="22"/>
        </w:rPr>
        <w:t>In August, a record number of price concessions were announced – 138 in total. DHSC imposed very low prices for Aripiprazole and Temazepam tablets.</w:t>
      </w:r>
    </w:p>
    <w:p w14:paraId="15866671" w14:textId="77777777" w:rsidR="00536D0A" w:rsidRPr="002605CF" w:rsidRDefault="00536D0A" w:rsidP="00AF46FC">
      <w:pPr>
        <w:pStyle w:val="pf0"/>
        <w:numPr>
          <w:ilvl w:val="0"/>
          <w:numId w:val="5"/>
        </w:numPr>
        <w:spacing w:before="0" w:beforeAutospacing="0" w:after="0" w:afterAutospacing="0"/>
        <w:ind w:left="714" w:hanging="357"/>
        <w:jc w:val="both"/>
        <w:rPr>
          <w:rFonts w:asciiTheme="minorHAnsi" w:hAnsiTheme="minorHAnsi" w:cstheme="minorBidi"/>
          <w:sz w:val="22"/>
          <w:szCs w:val="22"/>
        </w:rPr>
      </w:pPr>
      <w:r w:rsidRPr="6DDDA9A6">
        <w:rPr>
          <w:rStyle w:val="cf01"/>
          <w:rFonts w:asciiTheme="minorHAnsi" w:eastAsia="Calibri" w:hAnsiTheme="minorHAnsi" w:cstheme="minorBidi"/>
          <w:sz w:val="22"/>
          <w:szCs w:val="22"/>
        </w:rPr>
        <w:t>In both months, PSNC challenged some of the final prices and urged the Department to review their data gathering processes and look at purchase prices across the month to provide a better reflection of prices contractors have paid.</w:t>
      </w:r>
    </w:p>
    <w:p w14:paraId="6014B4F2" w14:textId="77777777" w:rsidR="00536D0A" w:rsidRPr="002605CF" w:rsidRDefault="00536D0A" w:rsidP="00AF46FC">
      <w:pPr>
        <w:pStyle w:val="pf0"/>
        <w:numPr>
          <w:ilvl w:val="0"/>
          <w:numId w:val="5"/>
        </w:numPr>
        <w:spacing w:before="0" w:beforeAutospacing="0" w:after="0" w:afterAutospacing="0"/>
        <w:ind w:left="714" w:hanging="357"/>
        <w:jc w:val="both"/>
        <w:rPr>
          <w:rFonts w:asciiTheme="minorHAnsi" w:hAnsiTheme="minorHAnsi" w:cstheme="minorBidi"/>
          <w:sz w:val="22"/>
          <w:szCs w:val="22"/>
        </w:rPr>
      </w:pPr>
      <w:r w:rsidRPr="6DDDA9A6">
        <w:rPr>
          <w:rStyle w:val="cf01"/>
          <w:rFonts w:asciiTheme="minorHAnsi" w:eastAsia="Calibri" w:hAnsiTheme="minorHAnsi" w:cstheme="minorBidi"/>
          <w:sz w:val="22"/>
          <w:szCs w:val="22"/>
        </w:rPr>
        <w:t>In support of a request for a price re-determination, PSNC presented evidence of contractor reports, invoices and selling prices to DHSC.</w:t>
      </w:r>
    </w:p>
    <w:p w14:paraId="156E9516" w14:textId="77777777" w:rsidR="00536D0A" w:rsidRPr="002605CF" w:rsidRDefault="00536D0A" w:rsidP="00AF46FC">
      <w:pPr>
        <w:pStyle w:val="pf0"/>
        <w:numPr>
          <w:ilvl w:val="0"/>
          <w:numId w:val="5"/>
        </w:numPr>
        <w:spacing w:before="0" w:beforeAutospacing="0" w:after="0" w:afterAutospacing="0"/>
        <w:ind w:left="714" w:hanging="357"/>
        <w:jc w:val="both"/>
        <w:rPr>
          <w:rStyle w:val="cf01"/>
          <w:rFonts w:asciiTheme="minorHAnsi" w:eastAsiaTheme="minorEastAsia" w:hAnsiTheme="minorHAnsi" w:cstheme="minorBidi"/>
          <w:sz w:val="22"/>
          <w:szCs w:val="22"/>
        </w:rPr>
      </w:pPr>
      <w:r w:rsidRPr="6DDDA9A6">
        <w:rPr>
          <w:rStyle w:val="cf01"/>
          <w:rFonts w:asciiTheme="minorHAnsi" w:eastAsia="Calibri" w:hAnsiTheme="minorHAnsi" w:cstheme="minorBidi"/>
          <w:sz w:val="22"/>
          <w:szCs w:val="22"/>
        </w:rPr>
        <w:t xml:space="preserve">In response to PSNC’s objections, DHSC stated that their data supported the original prices, and they were unable to offer any further adjustments. </w:t>
      </w:r>
    </w:p>
    <w:p w14:paraId="4E5A396B" w14:textId="77777777" w:rsidR="00536D0A" w:rsidRPr="002605CF" w:rsidRDefault="00536D0A" w:rsidP="00AF46FC">
      <w:pPr>
        <w:pStyle w:val="pf0"/>
        <w:numPr>
          <w:ilvl w:val="0"/>
          <w:numId w:val="5"/>
        </w:numPr>
        <w:spacing w:before="0" w:beforeAutospacing="0" w:after="0" w:afterAutospacing="0"/>
        <w:ind w:left="714" w:hanging="357"/>
        <w:jc w:val="both"/>
        <w:rPr>
          <w:rStyle w:val="cf01"/>
          <w:sz w:val="22"/>
          <w:szCs w:val="22"/>
        </w:rPr>
      </w:pPr>
      <w:r w:rsidRPr="146B15D3">
        <w:rPr>
          <w:rStyle w:val="cf01"/>
          <w:rFonts w:asciiTheme="minorHAnsi" w:eastAsia="Calibri" w:hAnsiTheme="minorHAnsi" w:cstheme="minorBidi"/>
          <w:sz w:val="22"/>
          <w:szCs w:val="22"/>
        </w:rPr>
        <w:t>PSNC requested an urgent meeting with DHSC to discuss their position and we expressed our concerns stating that the impositions did not match the purchase prices reported by contractors or the evidence of market prices which were passed on to the Department.</w:t>
      </w:r>
    </w:p>
    <w:p w14:paraId="7659A232" w14:textId="77777777" w:rsidR="00536D0A" w:rsidRPr="002605CF" w:rsidRDefault="00536D0A" w:rsidP="00AF46FC">
      <w:pPr>
        <w:pStyle w:val="pf0"/>
        <w:numPr>
          <w:ilvl w:val="0"/>
          <w:numId w:val="5"/>
        </w:numPr>
        <w:spacing w:before="0" w:beforeAutospacing="0" w:after="0" w:afterAutospacing="0"/>
        <w:ind w:left="714" w:hanging="357"/>
        <w:jc w:val="both"/>
        <w:rPr>
          <w:rStyle w:val="cf01"/>
          <w:sz w:val="22"/>
          <w:szCs w:val="22"/>
        </w:rPr>
      </w:pPr>
      <w:r w:rsidRPr="6DDDA9A6">
        <w:rPr>
          <w:rStyle w:val="cf01"/>
          <w:rFonts w:asciiTheme="minorHAnsi" w:eastAsia="Calibri" w:hAnsiTheme="minorHAnsi" w:cstheme="minorBidi"/>
          <w:sz w:val="22"/>
          <w:szCs w:val="22"/>
        </w:rPr>
        <w:t>We highlighted that the concessions system is not working in the current environment from a community pharmacy perspective.</w:t>
      </w:r>
    </w:p>
    <w:p w14:paraId="67B060AE" w14:textId="77777777" w:rsidR="00536D0A" w:rsidRPr="002605CF" w:rsidRDefault="00536D0A" w:rsidP="00AF46FC">
      <w:pPr>
        <w:pStyle w:val="pf0"/>
        <w:numPr>
          <w:ilvl w:val="0"/>
          <w:numId w:val="5"/>
        </w:numPr>
        <w:spacing w:before="0" w:beforeAutospacing="0" w:after="0" w:afterAutospacing="0"/>
        <w:ind w:left="714" w:hanging="357"/>
        <w:jc w:val="both"/>
        <w:rPr>
          <w:rFonts w:asciiTheme="minorHAnsi" w:eastAsiaTheme="minorEastAsia" w:hAnsiTheme="minorHAnsi" w:cstheme="minorBidi"/>
          <w:sz w:val="22"/>
          <w:szCs w:val="22"/>
        </w:rPr>
      </w:pPr>
      <w:r w:rsidRPr="6DDDA9A6">
        <w:rPr>
          <w:rStyle w:val="cf01"/>
          <w:rFonts w:asciiTheme="minorHAnsi" w:eastAsiaTheme="minorEastAsia" w:hAnsiTheme="minorHAnsi" w:cstheme="minorBidi"/>
          <w:sz w:val="22"/>
          <w:szCs w:val="22"/>
        </w:rPr>
        <w:t xml:space="preserve">In September, PSNC issued a </w:t>
      </w:r>
      <w:hyperlink r:id="rId10" w:history="1">
        <w:r w:rsidRPr="198BE7C7">
          <w:rPr>
            <w:rStyle w:val="Hyperlink"/>
            <w:rFonts w:asciiTheme="minorHAnsi" w:eastAsia="Calibri" w:hAnsiTheme="minorHAnsi" w:cstheme="minorBidi"/>
            <w:sz w:val="22"/>
            <w:szCs w:val="22"/>
          </w:rPr>
          <w:t>public statement</w:t>
        </w:r>
      </w:hyperlink>
      <w:r w:rsidRPr="6DDDA9A6">
        <w:rPr>
          <w:rStyle w:val="cf01"/>
          <w:rFonts w:asciiTheme="minorHAnsi" w:eastAsiaTheme="minorEastAsia" w:hAnsiTheme="minorHAnsi" w:cstheme="minorBidi"/>
          <w:sz w:val="22"/>
          <w:szCs w:val="22"/>
        </w:rPr>
        <w:t xml:space="preserve"> highlighting concerns about the large variation between purchase prices and reimbursement/concessionary prices for many drugs, demanding an overhaul of the current concession system so that prices:</w:t>
      </w:r>
    </w:p>
    <w:p w14:paraId="7479F19D" w14:textId="77777777" w:rsidR="00536D0A" w:rsidRDefault="00536D0A" w:rsidP="00AF46FC">
      <w:pPr>
        <w:pStyle w:val="ListParagraph"/>
        <w:widowControl w:val="0"/>
        <w:numPr>
          <w:ilvl w:val="1"/>
          <w:numId w:val="5"/>
        </w:numPr>
        <w:autoSpaceDE w:val="0"/>
        <w:autoSpaceDN w:val="0"/>
        <w:spacing w:after="0" w:line="240" w:lineRule="auto"/>
        <w:contextualSpacing w:val="0"/>
        <w:jc w:val="both"/>
        <w:rPr>
          <w:rFonts w:eastAsiaTheme="minorEastAsia"/>
        </w:rPr>
      </w:pPr>
      <w:r w:rsidRPr="6DDDA9A6">
        <w:rPr>
          <w:rFonts w:eastAsiaTheme="minorEastAsia"/>
        </w:rPr>
        <w:t>are more responsive to changes in the market;</w:t>
      </w:r>
    </w:p>
    <w:p w14:paraId="0536FE4A" w14:textId="77777777" w:rsidR="00536D0A" w:rsidRDefault="00536D0A" w:rsidP="00AF46FC">
      <w:pPr>
        <w:pStyle w:val="ListParagraph"/>
        <w:widowControl w:val="0"/>
        <w:numPr>
          <w:ilvl w:val="1"/>
          <w:numId w:val="5"/>
        </w:numPr>
        <w:autoSpaceDE w:val="0"/>
        <w:autoSpaceDN w:val="0"/>
        <w:spacing w:after="0" w:line="240" w:lineRule="auto"/>
        <w:contextualSpacing w:val="0"/>
        <w:jc w:val="both"/>
        <w:rPr>
          <w:rFonts w:eastAsiaTheme="minorEastAsia"/>
        </w:rPr>
      </w:pPr>
      <w:r w:rsidRPr="6DDDA9A6">
        <w:rPr>
          <w:rFonts w:eastAsiaTheme="minorEastAsia"/>
        </w:rPr>
        <w:t>are agreed more quickly to provide contractors with certainty of reimbursement; and</w:t>
      </w:r>
    </w:p>
    <w:p w14:paraId="29C5FFE0" w14:textId="77777777" w:rsidR="00536D0A" w:rsidRPr="00B70A1B" w:rsidRDefault="00536D0A" w:rsidP="00AF46FC">
      <w:pPr>
        <w:pStyle w:val="ListParagraph"/>
        <w:widowControl w:val="0"/>
        <w:numPr>
          <w:ilvl w:val="1"/>
          <w:numId w:val="5"/>
        </w:numPr>
        <w:autoSpaceDE w:val="0"/>
        <w:autoSpaceDN w:val="0"/>
        <w:spacing w:after="0" w:line="240" w:lineRule="auto"/>
        <w:contextualSpacing w:val="0"/>
        <w:jc w:val="both"/>
      </w:pPr>
      <w:r w:rsidRPr="6DDDA9A6">
        <w:rPr>
          <w:rFonts w:eastAsiaTheme="minorEastAsia"/>
        </w:rPr>
        <w:t>are set using high-quality data that reflects the reality presen</w:t>
      </w:r>
      <w:r>
        <w:t>ted by contractors on the ground; and</w:t>
      </w:r>
    </w:p>
    <w:p w14:paraId="2BF6078C" w14:textId="77777777" w:rsidR="00536D0A" w:rsidRDefault="00536D0A" w:rsidP="00AF46FC">
      <w:pPr>
        <w:pStyle w:val="ListParagraph"/>
        <w:widowControl w:val="0"/>
        <w:numPr>
          <w:ilvl w:val="1"/>
          <w:numId w:val="5"/>
        </w:numPr>
        <w:autoSpaceDE w:val="0"/>
        <w:autoSpaceDN w:val="0"/>
        <w:spacing w:after="0" w:line="240" w:lineRule="auto"/>
        <w:contextualSpacing w:val="0"/>
        <w:jc w:val="both"/>
      </w:pPr>
      <w:r>
        <w:t>balance contractors’ duty to supply with a reasonable purchase risk.</w:t>
      </w:r>
    </w:p>
    <w:p w14:paraId="188C512A" w14:textId="77777777" w:rsidR="00536D0A" w:rsidRDefault="00536D0A" w:rsidP="00AF46FC">
      <w:pPr>
        <w:pStyle w:val="ListParagraph"/>
        <w:widowControl w:val="0"/>
        <w:numPr>
          <w:ilvl w:val="0"/>
          <w:numId w:val="5"/>
        </w:numPr>
        <w:autoSpaceDE w:val="0"/>
        <w:autoSpaceDN w:val="0"/>
        <w:spacing w:after="0" w:line="240" w:lineRule="auto"/>
        <w:contextualSpacing w:val="0"/>
        <w:jc w:val="both"/>
        <w:rPr>
          <w:rStyle w:val="cf01"/>
          <w:rFonts w:eastAsiaTheme="minorEastAsia"/>
        </w:rPr>
      </w:pPr>
      <w:r w:rsidRPr="6DDDA9A6">
        <w:rPr>
          <w:rStyle w:val="cf01"/>
        </w:rPr>
        <w:t>PSNC has also submitted another formal request urging DHSC to reassess the August concessionary prices for Aripiprazole and Temazepam. PSNC is still awaiting a response from DHSC on this.</w:t>
      </w:r>
    </w:p>
    <w:p w14:paraId="5A1280CA" w14:textId="77777777" w:rsidR="00536D0A" w:rsidRDefault="00536D0A" w:rsidP="00AF46FC">
      <w:pPr>
        <w:pStyle w:val="ListParagraph"/>
        <w:widowControl w:val="0"/>
        <w:numPr>
          <w:ilvl w:val="0"/>
          <w:numId w:val="5"/>
        </w:numPr>
        <w:autoSpaceDE w:val="0"/>
        <w:autoSpaceDN w:val="0"/>
        <w:spacing w:after="0" w:line="240" w:lineRule="auto"/>
        <w:contextualSpacing w:val="0"/>
        <w:jc w:val="both"/>
      </w:pPr>
      <w:r>
        <w:t>PSNC presented a webinar on Wednesday 7 September 2022 to address questions raised by many pharmacy contractors, including how price concessions are negotiated, what the impact of price concessions is on overall funding, and how PSNC is working to improve the price concessions system.</w:t>
      </w:r>
    </w:p>
    <w:p w14:paraId="12E398A2" w14:textId="77777777" w:rsidR="00536D0A" w:rsidRPr="00EE03F6" w:rsidRDefault="00536D0A" w:rsidP="00536D0A">
      <w:pPr>
        <w:contextualSpacing/>
        <w:jc w:val="both"/>
      </w:pPr>
    </w:p>
    <w:p w14:paraId="40632AC3" w14:textId="77777777" w:rsidR="00536D0A" w:rsidRPr="00DF4644" w:rsidRDefault="00536D0A" w:rsidP="00536D0A">
      <w:pPr>
        <w:pStyle w:val="Heading2"/>
        <w:jc w:val="both"/>
        <w:rPr>
          <w:sz w:val="32"/>
          <w:szCs w:val="32"/>
        </w:rPr>
      </w:pPr>
      <w:r w:rsidRPr="6DDDA9A6">
        <w:rPr>
          <w:sz w:val="32"/>
          <w:szCs w:val="32"/>
        </w:rPr>
        <w:t>August 2022 </w:t>
      </w:r>
    </w:p>
    <w:p w14:paraId="376C3F40" w14:textId="77777777" w:rsidR="00536D0A" w:rsidRPr="00D102C9" w:rsidRDefault="00536D0A" w:rsidP="00536D0A">
      <w:pPr>
        <w:spacing w:line="276" w:lineRule="auto"/>
        <w:ind w:left="720"/>
        <w:jc w:val="both"/>
        <w:rPr>
          <w:rFonts w:eastAsiaTheme="minorEastAsia"/>
        </w:rPr>
      </w:pPr>
    </w:p>
    <w:p w14:paraId="4EC34DDF" w14:textId="77777777" w:rsidR="00536D0A" w:rsidRPr="007610BD" w:rsidRDefault="00536D0A" w:rsidP="00AF46FC">
      <w:pPr>
        <w:numPr>
          <w:ilvl w:val="0"/>
          <w:numId w:val="3"/>
        </w:numPr>
        <w:autoSpaceDE w:val="0"/>
        <w:autoSpaceDN w:val="0"/>
        <w:spacing w:after="0" w:line="276" w:lineRule="auto"/>
        <w:jc w:val="both"/>
        <w:rPr>
          <w:rFonts w:eastAsiaTheme="minorEastAsia"/>
        </w:rPr>
      </w:pPr>
      <w:r w:rsidRPr="007610BD">
        <w:t>PSNC applied for a total of </w:t>
      </w:r>
      <w:r w:rsidRPr="007610BD">
        <w:rPr>
          <w:b/>
          <w:bCs/>
        </w:rPr>
        <w:t xml:space="preserve">140 </w:t>
      </w:r>
      <w:r w:rsidRPr="007610BD">
        <w:t>price concessions in August 2022; DHSC wrote to PSNC 1</w:t>
      </w:r>
      <w:r w:rsidRPr="007610BD">
        <w:rPr>
          <w:vertAlign w:val="superscript"/>
        </w:rPr>
        <w:t xml:space="preserve"> </w:t>
      </w:r>
      <w:r w:rsidRPr="007610BD">
        <w:t>September 2022 with the list of final prices.</w:t>
      </w:r>
    </w:p>
    <w:p w14:paraId="358F32C3" w14:textId="77777777" w:rsidR="00536D0A" w:rsidRPr="007610BD" w:rsidRDefault="00536D0A" w:rsidP="00AF46FC">
      <w:pPr>
        <w:numPr>
          <w:ilvl w:val="1"/>
          <w:numId w:val="3"/>
        </w:numPr>
        <w:autoSpaceDE w:val="0"/>
        <w:autoSpaceDN w:val="0"/>
        <w:spacing w:after="0" w:line="276" w:lineRule="auto"/>
        <w:jc w:val="both"/>
        <w:rPr>
          <w:rFonts w:eastAsiaTheme="minorEastAsia"/>
          <w:b/>
          <w:bCs/>
        </w:rPr>
      </w:pPr>
      <w:r w:rsidRPr="007610BD">
        <w:rPr>
          <w:b/>
          <w:bCs/>
        </w:rPr>
        <w:t xml:space="preserve">99 </w:t>
      </w:r>
      <w:r w:rsidRPr="007610BD">
        <w:t xml:space="preserve">price concessions were </w:t>
      </w:r>
      <w:r w:rsidRPr="007610BD">
        <w:rPr>
          <w:u w:val="single"/>
        </w:rPr>
        <w:t>agreed</w:t>
      </w:r>
      <w:r w:rsidRPr="007610BD">
        <w:t xml:space="preserve"> between DHSC and PSNC.</w:t>
      </w:r>
    </w:p>
    <w:p w14:paraId="519B3902" w14:textId="77777777" w:rsidR="00536D0A" w:rsidRPr="007610BD" w:rsidRDefault="00536D0A" w:rsidP="00AF46FC">
      <w:pPr>
        <w:numPr>
          <w:ilvl w:val="1"/>
          <w:numId w:val="3"/>
        </w:numPr>
        <w:autoSpaceDE w:val="0"/>
        <w:autoSpaceDN w:val="0"/>
        <w:spacing w:after="0" w:line="276" w:lineRule="auto"/>
        <w:jc w:val="both"/>
        <w:rPr>
          <w:rFonts w:eastAsiaTheme="minorEastAsia"/>
          <w:b/>
          <w:bCs/>
        </w:rPr>
      </w:pPr>
      <w:r w:rsidRPr="007610BD">
        <w:rPr>
          <w:b/>
          <w:bCs/>
        </w:rPr>
        <w:t xml:space="preserve">39 </w:t>
      </w:r>
      <w:r w:rsidRPr="007610BD">
        <w:t xml:space="preserve">products had prices </w:t>
      </w:r>
      <w:r w:rsidRPr="007610BD">
        <w:rPr>
          <w:u w:val="single"/>
        </w:rPr>
        <w:t>imposed</w:t>
      </w:r>
      <w:r w:rsidRPr="007610BD">
        <w:t xml:space="preserve"> as PSNC was unable to agree to the final prices proposed by DHSC.</w:t>
      </w:r>
    </w:p>
    <w:p w14:paraId="4AE6D738" w14:textId="77777777" w:rsidR="00536D0A" w:rsidRPr="007610BD" w:rsidRDefault="00536D0A" w:rsidP="00AF46FC">
      <w:pPr>
        <w:numPr>
          <w:ilvl w:val="1"/>
          <w:numId w:val="3"/>
        </w:numPr>
        <w:autoSpaceDE w:val="0"/>
        <w:autoSpaceDN w:val="0"/>
        <w:spacing w:after="0" w:line="276" w:lineRule="auto"/>
        <w:jc w:val="both"/>
        <w:rPr>
          <w:rFonts w:eastAsiaTheme="minorEastAsia"/>
          <w:b/>
          <w:bCs/>
        </w:rPr>
      </w:pPr>
      <w:r w:rsidRPr="007610BD">
        <w:rPr>
          <w:b/>
          <w:bCs/>
        </w:rPr>
        <w:t xml:space="preserve">1 </w:t>
      </w:r>
      <w:r w:rsidRPr="007610BD">
        <w:t xml:space="preserve">product where PSNC and DHSC </w:t>
      </w:r>
      <w:r w:rsidRPr="007610BD">
        <w:rPr>
          <w:u w:val="single"/>
        </w:rPr>
        <w:t>agreed to no concessionary price</w:t>
      </w:r>
      <w:r w:rsidRPr="007610BD">
        <w:t>.</w:t>
      </w:r>
    </w:p>
    <w:p w14:paraId="14DB62DA" w14:textId="77777777" w:rsidR="00536D0A" w:rsidRPr="007610BD" w:rsidRDefault="00536D0A" w:rsidP="00AF46FC">
      <w:pPr>
        <w:numPr>
          <w:ilvl w:val="1"/>
          <w:numId w:val="3"/>
        </w:numPr>
        <w:autoSpaceDE w:val="0"/>
        <w:autoSpaceDN w:val="0"/>
        <w:spacing w:after="0" w:line="276" w:lineRule="auto"/>
        <w:jc w:val="both"/>
        <w:rPr>
          <w:rFonts w:eastAsiaTheme="minorEastAsia"/>
          <w:b/>
          <w:bCs/>
        </w:rPr>
      </w:pPr>
      <w:r w:rsidRPr="007610BD">
        <w:rPr>
          <w:b/>
          <w:bCs/>
        </w:rPr>
        <w:t>1</w:t>
      </w:r>
      <w:r w:rsidRPr="007610BD">
        <w:t xml:space="preserve"> product had a </w:t>
      </w:r>
      <w:r w:rsidRPr="007610BD">
        <w:rPr>
          <w:u w:val="single"/>
        </w:rPr>
        <w:t>no concessionary price imposed</w:t>
      </w:r>
      <w:r w:rsidRPr="007610BD">
        <w:t xml:space="preserve"> by DHSC.</w:t>
      </w:r>
    </w:p>
    <w:p w14:paraId="3F6C0110" w14:textId="77777777" w:rsidR="00536D0A" w:rsidRPr="007610BD" w:rsidRDefault="00536D0A" w:rsidP="00AF46FC">
      <w:pPr>
        <w:numPr>
          <w:ilvl w:val="0"/>
          <w:numId w:val="3"/>
        </w:numPr>
        <w:autoSpaceDE w:val="0"/>
        <w:autoSpaceDN w:val="0"/>
        <w:spacing w:after="0" w:line="276" w:lineRule="auto"/>
        <w:jc w:val="both"/>
        <w:rPr>
          <w:rFonts w:eastAsiaTheme="minorEastAsia"/>
        </w:rPr>
      </w:pPr>
      <w:r w:rsidRPr="6DDDA9A6">
        <w:rPr>
          <w:rFonts w:eastAsiaTheme="minorEastAsia"/>
        </w:rPr>
        <w:t>PSNC received significant contractor feedback on the final prices of Aripiprazole and Temazepam in particular. PSNC understands that supply issues are affecting availability of these drugs.</w:t>
      </w:r>
    </w:p>
    <w:p w14:paraId="2D71A1AC" w14:textId="77777777" w:rsidR="00536D0A" w:rsidRDefault="00536D0A" w:rsidP="00536D0A">
      <w:pPr>
        <w:jc w:val="both"/>
      </w:pPr>
    </w:p>
    <w:p w14:paraId="7B541BAC" w14:textId="77777777" w:rsidR="00536D0A" w:rsidRPr="00D16358" w:rsidRDefault="00536D0A" w:rsidP="00536D0A">
      <w:pPr>
        <w:jc w:val="both"/>
      </w:pPr>
    </w:p>
    <w:p w14:paraId="64B68DAB" w14:textId="77777777" w:rsidR="00536D0A" w:rsidRPr="00DF4644" w:rsidRDefault="00536D0A" w:rsidP="00536D0A">
      <w:pPr>
        <w:pStyle w:val="Heading2"/>
        <w:jc w:val="both"/>
        <w:rPr>
          <w:sz w:val="32"/>
          <w:szCs w:val="32"/>
        </w:rPr>
      </w:pPr>
      <w:r w:rsidRPr="081A2059">
        <w:rPr>
          <w:sz w:val="32"/>
          <w:szCs w:val="32"/>
        </w:rPr>
        <w:t>July 2022 </w:t>
      </w:r>
    </w:p>
    <w:p w14:paraId="4A65C072" w14:textId="77777777" w:rsidR="00536D0A" w:rsidRPr="00D102C9" w:rsidRDefault="00536D0A" w:rsidP="00536D0A">
      <w:pPr>
        <w:pStyle w:val="ListParagraph"/>
        <w:jc w:val="both"/>
        <w:rPr>
          <w:rFonts w:eastAsiaTheme="minorEastAsia"/>
        </w:rPr>
      </w:pPr>
    </w:p>
    <w:p w14:paraId="3C94C1C3" w14:textId="77777777" w:rsidR="00536D0A" w:rsidRPr="00252BF5" w:rsidRDefault="00536D0A" w:rsidP="00AF46FC">
      <w:pPr>
        <w:pStyle w:val="ListParagraph"/>
        <w:numPr>
          <w:ilvl w:val="0"/>
          <w:numId w:val="4"/>
        </w:numPr>
        <w:autoSpaceDE w:val="0"/>
        <w:autoSpaceDN w:val="0"/>
        <w:spacing w:after="0" w:line="240" w:lineRule="auto"/>
        <w:contextualSpacing w:val="0"/>
        <w:jc w:val="both"/>
        <w:rPr>
          <w:rFonts w:eastAsiaTheme="minorEastAsia"/>
        </w:rPr>
      </w:pPr>
      <w:r w:rsidRPr="00252BF5">
        <w:t>PSNC applied for a total of </w:t>
      </w:r>
      <w:r w:rsidRPr="00252BF5">
        <w:rPr>
          <w:b/>
          <w:bCs/>
        </w:rPr>
        <w:t xml:space="preserve">99 </w:t>
      </w:r>
      <w:r w:rsidRPr="00252BF5">
        <w:t xml:space="preserve">price concessions in June 2022; DHSC wrote to PSNC on </w:t>
      </w:r>
      <w:r>
        <w:t>30</w:t>
      </w:r>
      <w:r w:rsidRPr="00252BF5">
        <w:t xml:space="preserve"> August 2022 with the list of final prices.</w:t>
      </w:r>
    </w:p>
    <w:p w14:paraId="31DA2258" w14:textId="77777777" w:rsidR="00536D0A" w:rsidRPr="00252BF5" w:rsidRDefault="00536D0A" w:rsidP="00AF46FC">
      <w:pPr>
        <w:pStyle w:val="ListParagraph"/>
        <w:numPr>
          <w:ilvl w:val="1"/>
          <w:numId w:val="4"/>
        </w:numPr>
        <w:autoSpaceDE w:val="0"/>
        <w:autoSpaceDN w:val="0"/>
        <w:spacing w:after="0" w:line="276" w:lineRule="auto"/>
        <w:contextualSpacing w:val="0"/>
        <w:jc w:val="both"/>
        <w:rPr>
          <w:rFonts w:eastAsiaTheme="minorEastAsia"/>
          <w:b/>
          <w:bCs/>
        </w:rPr>
      </w:pPr>
      <w:r w:rsidRPr="00252BF5">
        <w:rPr>
          <w:b/>
          <w:bCs/>
        </w:rPr>
        <w:t xml:space="preserve">54 </w:t>
      </w:r>
      <w:r w:rsidRPr="00252BF5">
        <w:t xml:space="preserve">price concessions were </w:t>
      </w:r>
      <w:r w:rsidRPr="00252BF5">
        <w:rPr>
          <w:u w:val="single"/>
        </w:rPr>
        <w:t>agreed</w:t>
      </w:r>
      <w:r w:rsidRPr="00252BF5">
        <w:t xml:space="preserve"> between DHSC and PSNC.</w:t>
      </w:r>
    </w:p>
    <w:p w14:paraId="18644EE8" w14:textId="77777777" w:rsidR="00536D0A" w:rsidRPr="00252BF5" w:rsidRDefault="00536D0A" w:rsidP="00AF46FC">
      <w:pPr>
        <w:pStyle w:val="ListParagraph"/>
        <w:numPr>
          <w:ilvl w:val="1"/>
          <w:numId w:val="4"/>
        </w:numPr>
        <w:autoSpaceDE w:val="0"/>
        <w:autoSpaceDN w:val="0"/>
        <w:spacing w:after="0" w:line="276" w:lineRule="auto"/>
        <w:contextualSpacing w:val="0"/>
        <w:jc w:val="both"/>
        <w:rPr>
          <w:rFonts w:eastAsiaTheme="minorEastAsia"/>
          <w:b/>
          <w:bCs/>
        </w:rPr>
      </w:pPr>
      <w:r w:rsidRPr="00252BF5">
        <w:rPr>
          <w:b/>
          <w:bCs/>
        </w:rPr>
        <w:t xml:space="preserve">41 </w:t>
      </w:r>
      <w:r w:rsidRPr="00252BF5">
        <w:t xml:space="preserve">products had prices </w:t>
      </w:r>
      <w:r w:rsidRPr="00252BF5">
        <w:rPr>
          <w:u w:val="single"/>
        </w:rPr>
        <w:t>imposed</w:t>
      </w:r>
      <w:r w:rsidRPr="00252BF5">
        <w:t xml:space="preserve"> as PSNC was unable to agree to the final prices proposed by DHSC.</w:t>
      </w:r>
    </w:p>
    <w:p w14:paraId="5B33D1F4" w14:textId="77777777" w:rsidR="00536D0A" w:rsidRPr="00252BF5" w:rsidRDefault="00536D0A" w:rsidP="00AF46FC">
      <w:pPr>
        <w:pStyle w:val="ListParagraph"/>
        <w:numPr>
          <w:ilvl w:val="1"/>
          <w:numId w:val="4"/>
        </w:numPr>
        <w:autoSpaceDE w:val="0"/>
        <w:autoSpaceDN w:val="0"/>
        <w:spacing w:after="0" w:line="276" w:lineRule="auto"/>
        <w:contextualSpacing w:val="0"/>
        <w:jc w:val="both"/>
        <w:rPr>
          <w:rFonts w:eastAsiaTheme="minorEastAsia"/>
          <w:b/>
          <w:bCs/>
        </w:rPr>
      </w:pPr>
      <w:r w:rsidRPr="7B65A672">
        <w:rPr>
          <w:b/>
          <w:bCs/>
        </w:rPr>
        <w:t xml:space="preserve">1 </w:t>
      </w:r>
      <w:r w:rsidRPr="7B65A672">
        <w:t xml:space="preserve">product where PSNC and DHSC </w:t>
      </w:r>
      <w:r w:rsidRPr="7B65A672">
        <w:rPr>
          <w:u w:val="single"/>
        </w:rPr>
        <w:t>agreed to no concessionary price</w:t>
      </w:r>
      <w:r w:rsidRPr="7B65A672">
        <w:t>.</w:t>
      </w:r>
    </w:p>
    <w:p w14:paraId="6E0A55E7" w14:textId="77777777" w:rsidR="00536D0A" w:rsidRPr="00252BF5" w:rsidRDefault="00536D0A" w:rsidP="00AF46FC">
      <w:pPr>
        <w:pStyle w:val="ListParagraph"/>
        <w:numPr>
          <w:ilvl w:val="1"/>
          <w:numId w:val="4"/>
        </w:numPr>
        <w:autoSpaceDE w:val="0"/>
        <w:autoSpaceDN w:val="0"/>
        <w:spacing w:after="0" w:line="276" w:lineRule="auto"/>
        <w:contextualSpacing w:val="0"/>
        <w:jc w:val="both"/>
        <w:rPr>
          <w:rFonts w:eastAsiaTheme="minorEastAsia"/>
          <w:b/>
          <w:bCs/>
        </w:rPr>
      </w:pPr>
      <w:r w:rsidRPr="00252BF5">
        <w:rPr>
          <w:b/>
          <w:bCs/>
        </w:rPr>
        <w:t>3</w:t>
      </w:r>
      <w:r w:rsidRPr="00252BF5">
        <w:t xml:space="preserve"> products had a </w:t>
      </w:r>
      <w:r w:rsidRPr="00252BF5">
        <w:rPr>
          <w:u w:val="single"/>
        </w:rPr>
        <w:t>no concessionary price imposed</w:t>
      </w:r>
      <w:r w:rsidRPr="00252BF5">
        <w:t xml:space="preserve"> by DHSC.</w:t>
      </w:r>
    </w:p>
    <w:p w14:paraId="1D8E7E13" w14:textId="77777777" w:rsidR="00536D0A" w:rsidRPr="00252BF5" w:rsidRDefault="00536D0A" w:rsidP="00AF46FC">
      <w:pPr>
        <w:pStyle w:val="ListParagraph"/>
        <w:numPr>
          <w:ilvl w:val="1"/>
          <w:numId w:val="4"/>
        </w:numPr>
        <w:autoSpaceDE w:val="0"/>
        <w:autoSpaceDN w:val="0"/>
        <w:spacing w:after="0" w:line="276" w:lineRule="auto"/>
        <w:contextualSpacing w:val="0"/>
        <w:rPr>
          <w:rFonts w:eastAsiaTheme="minorEastAsia"/>
          <w:b/>
        </w:rPr>
      </w:pPr>
      <w:r w:rsidRPr="00252BF5">
        <w:rPr>
          <w:rFonts w:eastAsiaTheme="minorEastAsia"/>
          <w:b/>
          <w:bCs/>
        </w:rPr>
        <w:t>2</w:t>
      </w:r>
      <w:r w:rsidRPr="00252BF5">
        <w:rPr>
          <w:rFonts w:eastAsiaTheme="minorEastAsia"/>
        </w:rPr>
        <w:t xml:space="preserve"> price concessions were for Category A products as older list prices were used to determine reimbursement prices.</w:t>
      </w:r>
      <w:r>
        <w:br/>
      </w:r>
    </w:p>
    <w:p w14:paraId="7E875BD1" w14:textId="77777777" w:rsidR="00536D0A" w:rsidRDefault="00536D0A" w:rsidP="00AF46FC">
      <w:pPr>
        <w:pStyle w:val="ListParagraph"/>
        <w:numPr>
          <w:ilvl w:val="0"/>
          <w:numId w:val="4"/>
        </w:numPr>
        <w:autoSpaceDE w:val="0"/>
        <w:autoSpaceDN w:val="0"/>
        <w:spacing w:after="0" w:line="240" w:lineRule="auto"/>
        <w:contextualSpacing w:val="0"/>
        <w:jc w:val="both"/>
      </w:pPr>
      <w:r w:rsidRPr="3CD14F08">
        <w:t>Following imposed prices, PSNC sought retrospective prices for the following products:</w:t>
      </w:r>
    </w:p>
    <w:p w14:paraId="29DA549E" w14:textId="77777777" w:rsidR="00536D0A" w:rsidRPr="002964E1" w:rsidRDefault="00536D0A" w:rsidP="00AF46FC">
      <w:pPr>
        <w:pStyle w:val="ListParagraph"/>
        <w:numPr>
          <w:ilvl w:val="1"/>
          <w:numId w:val="4"/>
        </w:numPr>
        <w:autoSpaceDE w:val="0"/>
        <w:autoSpaceDN w:val="0"/>
        <w:spacing w:after="0" w:line="240" w:lineRule="auto"/>
        <w:contextualSpacing w:val="0"/>
        <w:jc w:val="both"/>
      </w:pPr>
      <w:r w:rsidRPr="002964E1">
        <w:t>Chlorpromazine 100mg tablets</w:t>
      </w:r>
    </w:p>
    <w:p w14:paraId="37ECF642" w14:textId="77777777" w:rsidR="00536D0A" w:rsidRPr="002964E1" w:rsidRDefault="00536D0A" w:rsidP="00AF46FC">
      <w:pPr>
        <w:pStyle w:val="ListParagraph"/>
        <w:numPr>
          <w:ilvl w:val="1"/>
          <w:numId w:val="4"/>
        </w:numPr>
        <w:autoSpaceDE w:val="0"/>
        <w:autoSpaceDN w:val="0"/>
        <w:spacing w:after="0" w:line="240" w:lineRule="auto"/>
        <w:contextualSpacing w:val="0"/>
        <w:jc w:val="both"/>
      </w:pPr>
      <w:r w:rsidRPr="002964E1">
        <w:t>Chlorpromazine 25mg tablets</w:t>
      </w:r>
    </w:p>
    <w:p w14:paraId="18B0190C" w14:textId="77777777" w:rsidR="00536D0A" w:rsidRPr="002964E1" w:rsidRDefault="00536D0A" w:rsidP="00AF46FC">
      <w:pPr>
        <w:pStyle w:val="ListParagraph"/>
        <w:numPr>
          <w:ilvl w:val="1"/>
          <w:numId w:val="4"/>
        </w:numPr>
        <w:autoSpaceDE w:val="0"/>
        <w:autoSpaceDN w:val="0"/>
        <w:spacing w:after="0" w:line="240" w:lineRule="auto"/>
        <w:contextualSpacing w:val="0"/>
        <w:jc w:val="both"/>
      </w:pPr>
      <w:r w:rsidRPr="002964E1">
        <w:t>Chlorpromazine 50mg tablets</w:t>
      </w:r>
    </w:p>
    <w:p w14:paraId="36BD9762" w14:textId="77777777" w:rsidR="00536D0A" w:rsidRPr="002964E1" w:rsidRDefault="00536D0A" w:rsidP="00AF46FC">
      <w:pPr>
        <w:pStyle w:val="ListParagraph"/>
        <w:numPr>
          <w:ilvl w:val="1"/>
          <w:numId w:val="4"/>
        </w:numPr>
        <w:autoSpaceDE w:val="0"/>
        <w:autoSpaceDN w:val="0"/>
        <w:spacing w:after="0" w:line="240" w:lineRule="auto"/>
        <w:contextualSpacing w:val="0"/>
        <w:jc w:val="both"/>
      </w:pPr>
      <w:r w:rsidRPr="002964E1">
        <w:t>Clonidine 25microgram tablets</w:t>
      </w:r>
    </w:p>
    <w:p w14:paraId="22656305" w14:textId="77777777" w:rsidR="00536D0A" w:rsidRPr="002964E1" w:rsidRDefault="00536D0A" w:rsidP="00AF46FC">
      <w:pPr>
        <w:pStyle w:val="ListParagraph"/>
        <w:numPr>
          <w:ilvl w:val="1"/>
          <w:numId w:val="4"/>
        </w:numPr>
        <w:autoSpaceDE w:val="0"/>
        <w:autoSpaceDN w:val="0"/>
        <w:spacing w:after="0" w:line="240" w:lineRule="auto"/>
        <w:contextualSpacing w:val="0"/>
        <w:jc w:val="both"/>
      </w:pPr>
      <w:r w:rsidRPr="002964E1">
        <w:t>Hydroxocobalamin 1mg/ml solution for injection ampoules</w:t>
      </w:r>
    </w:p>
    <w:p w14:paraId="2694772F" w14:textId="77777777" w:rsidR="00536D0A" w:rsidRPr="002964E1" w:rsidRDefault="00536D0A" w:rsidP="00AF46FC">
      <w:pPr>
        <w:pStyle w:val="ListParagraph"/>
        <w:numPr>
          <w:ilvl w:val="1"/>
          <w:numId w:val="4"/>
        </w:numPr>
        <w:autoSpaceDE w:val="0"/>
        <w:autoSpaceDN w:val="0"/>
        <w:spacing w:after="0" w:line="240" w:lineRule="auto"/>
        <w:contextualSpacing w:val="0"/>
        <w:jc w:val="both"/>
      </w:pPr>
      <w:proofErr w:type="spellStart"/>
      <w:r w:rsidRPr="002964E1">
        <w:t>Ibandronic</w:t>
      </w:r>
      <w:proofErr w:type="spellEnd"/>
      <w:r w:rsidRPr="002964E1">
        <w:t xml:space="preserve"> acid 50mg tablets</w:t>
      </w:r>
    </w:p>
    <w:p w14:paraId="28ACFAAD" w14:textId="77777777" w:rsidR="00536D0A" w:rsidRPr="002964E1" w:rsidRDefault="00536D0A" w:rsidP="00AF46FC">
      <w:pPr>
        <w:pStyle w:val="ListParagraph"/>
        <w:numPr>
          <w:ilvl w:val="1"/>
          <w:numId w:val="4"/>
        </w:numPr>
        <w:autoSpaceDE w:val="0"/>
        <w:autoSpaceDN w:val="0"/>
        <w:spacing w:after="0" w:line="240" w:lineRule="auto"/>
        <w:contextualSpacing w:val="0"/>
        <w:jc w:val="both"/>
      </w:pPr>
      <w:proofErr w:type="spellStart"/>
      <w:r w:rsidRPr="002964E1">
        <w:t>Naftidrofuryl</w:t>
      </w:r>
      <w:proofErr w:type="spellEnd"/>
      <w:r w:rsidRPr="002964E1">
        <w:t xml:space="preserve"> 100mg capsules</w:t>
      </w:r>
    </w:p>
    <w:p w14:paraId="0F1985F5" w14:textId="77777777" w:rsidR="00536D0A" w:rsidRPr="002964E1" w:rsidRDefault="00536D0A" w:rsidP="00AF46FC">
      <w:pPr>
        <w:pStyle w:val="ListParagraph"/>
        <w:numPr>
          <w:ilvl w:val="1"/>
          <w:numId w:val="4"/>
        </w:numPr>
        <w:autoSpaceDE w:val="0"/>
        <w:autoSpaceDN w:val="0"/>
        <w:spacing w:after="0" w:line="240" w:lineRule="auto"/>
        <w:contextualSpacing w:val="0"/>
        <w:jc w:val="both"/>
      </w:pPr>
      <w:r w:rsidRPr="002964E1">
        <w:t>Risedronate sodium 35mg tablets</w:t>
      </w:r>
    </w:p>
    <w:p w14:paraId="6134C9F0" w14:textId="77777777" w:rsidR="00536D0A" w:rsidRPr="002964E1" w:rsidRDefault="00536D0A" w:rsidP="00AF46FC">
      <w:pPr>
        <w:pStyle w:val="ListParagraph"/>
        <w:numPr>
          <w:ilvl w:val="1"/>
          <w:numId w:val="4"/>
        </w:numPr>
        <w:autoSpaceDE w:val="0"/>
        <w:autoSpaceDN w:val="0"/>
        <w:spacing w:after="0" w:line="240" w:lineRule="auto"/>
        <w:contextualSpacing w:val="0"/>
        <w:jc w:val="both"/>
      </w:pPr>
      <w:r w:rsidRPr="002964E1">
        <w:t>Temazepam 10mg tablets</w:t>
      </w:r>
    </w:p>
    <w:p w14:paraId="4133F665" w14:textId="77777777" w:rsidR="00536D0A" w:rsidRDefault="00536D0A" w:rsidP="00AF46FC">
      <w:pPr>
        <w:pStyle w:val="ListParagraph"/>
        <w:numPr>
          <w:ilvl w:val="1"/>
          <w:numId w:val="4"/>
        </w:numPr>
        <w:autoSpaceDE w:val="0"/>
        <w:autoSpaceDN w:val="0"/>
        <w:spacing w:after="0" w:line="240" w:lineRule="auto"/>
        <w:contextualSpacing w:val="0"/>
        <w:jc w:val="both"/>
      </w:pPr>
      <w:r w:rsidRPr="3CD14F08">
        <w:t>Temazepam 20mg tablets</w:t>
      </w:r>
    </w:p>
    <w:p w14:paraId="0180645A" w14:textId="77777777" w:rsidR="00536D0A" w:rsidRDefault="00536D0A" w:rsidP="00536D0A">
      <w:pPr>
        <w:ind w:left="720"/>
        <w:jc w:val="both"/>
      </w:pPr>
    </w:p>
    <w:p w14:paraId="35967423" w14:textId="77777777" w:rsidR="00536D0A" w:rsidRDefault="00536D0A" w:rsidP="00AF46FC">
      <w:pPr>
        <w:pStyle w:val="ListParagraph"/>
        <w:numPr>
          <w:ilvl w:val="0"/>
          <w:numId w:val="4"/>
        </w:numPr>
        <w:autoSpaceDE w:val="0"/>
        <w:autoSpaceDN w:val="0"/>
        <w:spacing w:after="0" w:line="240" w:lineRule="auto"/>
        <w:contextualSpacing w:val="0"/>
        <w:jc w:val="both"/>
      </w:pPr>
      <w:r w:rsidRPr="45944075">
        <w:t>In July,</w:t>
      </w:r>
      <w:r w:rsidRPr="3CD14F08">
        <w:t xml:space="preserve"> PSNC </w:t>
      </w:r>
      <w:r w:rsidRPr="45944075">
        <w:t>held</w:t>
      </w:r>
      <w:r>
        <w:t xml:space="preserve"> a meeting with DHSC </w:t>
      </w:r>
      <w:r w:rsidRPr="45944075">
        <w:t>to discuss observations and concerns about</w:t>
      </w:r>
      <w:r>
        <w:t xml:space="preserve"> the price concession process for May and June 2022. The following points were discussed: </w:t>
      </w:r>
    </w:p>
    <w:p w14:paraId="67F23955" w14:textId="77777777" w:rsidR="00536D0A" w:rsidRDefault="00536D0A" w:rsidP="00AF46FC">
      <w:pPr>
        <w:pStyle w:val="ListParagraph"/>
        <w:numPr>
          <w:ilvl w:val="1"/>
          <w:numId w:val="6"/>
        </w:numPr>
        <w:autoSpaceDE w:val="0"/>
        <w:autoSpaceDN w:val="0"/>
        <w:spacing w:after="0" w:line="240" w:lineRule="auto"/>
        <w:contextualSpacing w:val="0"/>
        <w:jc w:val="both"/>
        <w:rPr>
          <w:rFonts w:eastAsiaTheme="minorEastAsia"/>
        </w:rPr>
      </w:pPr>
      <w:r w:rsidRPr="65B34846">
        <w:t>Length of time between PSNC requests and DHSC responses.</w:t>
      </w:r>
    </w:p>
    <w:p w14:paraId="528E5648" w14:textId="77777777" w:rsidR="00536D0A" w:rsidRDefault="00536D0A" w:rsidP="00AF46FC">
      <w:pPr>
        <w:pStyle w:val="ListParagraph"/>
        <w:numPr>
          <w:ilvl w:val="1"/>
          <w:numId w:val="6"/>
        </w:numPr>
        <w:autoSpaceDE w:val="0"/>
        <w:autoSpaceDN w:val="0"/>
        <w:spacing w:after="0" w:line="240" w:lineRule="auto"/>
        <w:contextualSpacing w:val="0"/>
        <w:jc w:val="both"/>
        <w:rPr>
          <w:rFonts w:eastAsiaTheme="minorEastAsia"/>
        </w:rPr>
      </w:pPr>
      <w:r w:rsidRPr="65B34846">
        <w:t>Large number of no-concession prices in DHSC’s first response.</w:t>
      </w:r>
    </w:p>
    <w:p w14:paraId="3990F148" w14:textId="77777777" w:rsidR="00536D0A" w:rsidRDefault="00536D0A" w:rsidP="00AF46FC">
      <w:pPr>
        <w:pStyle w:val="ListParagraph"/>
        <w:numPr>
          <w:ilvl w:val="1"/>
          <w:numId w:val="6"/>
        </w:numPr>
        <w:autoSpaceDE w:val="0"/>
        <w:autoSpaceDN w:val="0"/>
        <w:spacing w:after="0" w:line="240" w:lineRule="auto"/>
        <w:contextualSpacing w:val="0"/>
        <w:jc w:val="both"/>
        <w:rPr>
          <w:rFonts w:eastAsiaTheme="minorEastAsia"/>
        </w:rPr>
      </w:pPr>
      <w:r w:rsidRPr="65B34846">
        <w:t>Large percentage of imposed prices.</w:t>
      </w:r>
    </w:p>
    <w:p w14:paraId="08852AEE" w14:textId="77777777" w:rsidR="00536D0A" w:rsidRDefault="00536D0A" w:rsidP="00AF46FC">
      <w:pPr>
        <w:pStyle w:val="ListParagraph"/>
        <w:numPr>
          <w:ilvl w:val="1"/>
          <w:numId w:val="6"/>
        </w:numPr>
        <w:autoSpaceDE w:val="0"/>
        <w:autoSpaceDN w:val="0"/>
        <w:spacing w:after="0" w:line="240" w:lineRule="auto"/>
        <w:contextualSpacing w:val="0"/>
        <w:jc w:val="both"/>
        <w:rPr>
          <w:rFonts w:eastAsiaTheme="minorEastAsia"/>
        </w:rPr>
      </w:pPr>
      <w:r w:rsidRPr="65B34846">
        <w:t>Imposed prices significantly different to the reported/requested prices.</w:t>
      </w:r>
    </w:p>
    <w:p w14:paraId="77CCA2C8" w14:textId="77777777" w:rsidR="00536D0A" w:rsidRDefault="00536D0A" w:rsidP="00AF46FC">
      <w:pPr>
        <w:pStyle w:val="ListParagraph"/>
        <w:numPr>
          <w:ilvl w:val="1"/>
          <w:numId w:val="6"/>
        </w:numPr>
        <w:autoSpaceDE w:val="0"/>
        <w:autoSpaceDN w:val="0"/>
        <w:spacing w:after="0" w:line="240" w:lineRule="auto"/>
        <w:contextualSpacing w:val="0"/>
        <w:jc w:val="both"/>
        <w:rPr>
          <w:rFonts w:eastAsiaTheme="minorEastAsia"/>
        </w:rPr>
      </w:pPr>
      <w:r w:rsidRPr="45944075">
        <w:t xml:space="preserve">Lines that had been in the concession process for a long period of time for example Trimethoprim 50mg/5ml oral suspension and </w:t>
      </w:r>
      <w:proofErr w:type="spellStart"/>
      <w:r w:rsidRPr="45944075">
        <w:t>Naftidrofuryl</w:t>
      </w:r>
      <w:proofErr w:type="spellEnd"/>
      <w:r w:rsidRPr="45944075">
        <w:t xml:space="preserve"> 100mg capsules.</w:t>
      </w:r>
    </w:p>
    <w:p w14:paraId="008DC6F3" w14:textId="77777777" w:rsidR="00536D0A" w:rsidRDefault="00536D0A" w:rsidP="00AF46FC">
      <w:pPr>
        <w:pStyle w:val="ListParagraph"/>
        <w:numPr>
          <w:ilvl w:val="1"/>
          <w:numId w:val="6"/>
        </w:numPr>
        <w:autoSpaceDE w:val="0"/>
        <w:autoSpaceDN w:val="0"/>
        <w:spacing w:after="0" w:line="240" w:lineRule="auto"/>
        <w:contextualSpacing w:val="0"/>
        <w:jc w:val="both"/>
      </w:pPr>
      <w:r w:rsidRPr="7B65A672">
        <w:rPr>
          <w:rFonts w:eastAsiaTheme="minorEastAsia"/>
        </w:rPr>
        <w:t>Calculation of uplift on concession lines to cover margin and discount deduction.</w:t>
      </w:r>
    </w:p>
    <w:p w14:paraId="5A160828" w14:textId="77777777" w:rsidR="00536D0A" w:rsidRDefault="00536D0A" w:rsidP="00536D0A">
      <w:pPr>
        <w:jc w:val="both"/>
      </w:pPr>
    </w:p>
    <w:p w14:paraId="1A43C2FF" w14:textId="77777777" w:rsidR="00536D0A" w:rsidRDefault="00536D0A" w:rsidP="00AF46FC">
      <w:pPr>
        <w:pStyle w:val="ListParagraph"/>
        <w:numPr>
          <w:ilvl w:val="0"/>
          <w:numId w:val="4"/>
        </w:numPr>
        <w:autoSpaceDE w:val="0"/>
        <w:autoSpaceDN w:val="0"/>
        <w:spacing w:after="0" w:line="240" w:lineRule="auto"/>
        <w:contextualSpacing w:val="0"/>
        <w:jc w:val="both"/>
      </w:pPr>
      <w:r w:rsidRPr="1CE50A86">
        <w:t>At this meeting it was agreed that DHSC would respond earlier but this may mean some lines are flagged as awaiting further information. It was noted that in the July first response the number of no concession prices had significantly reduced. However, a large % of lines are still being imposed. PSNC stressed that the same margin uplift allocation process cannot be applied to concession lines as they behave differently to non-concession lines.</w:t>
      </w:r>
    </w:p>
    <w:p w14:paraId="349C751F" w14:textId="77777777" w:rsidR="00536D0A" w:rsidRDefault="00536D0A" w:rsidP="00536D0A">
      <w:pPr>
        <w:ind w:left="720"/>
        <w:jc w:val="both"/>
      </w:pPr>
    </w:p>
    <w:p w14:paraId="714600D9" w14:textId="77777777" w:rsidR="00536D0A" w:rsidRDefault="00536D0A" w:rsidP="00536D0A">
      <w:pPr>
        <w:ind w:left="720"/>
        <w:jc w:val="both"/>
      </w:pPr>
    </w:p>
    <w:p w14:paraId="259B75D3" w14:textId="77777777" w:rsidR="00536D0A" w:rsidRDefault="00536D0A" w:rsidP="00536D0A">
      <w:pPr>
        <w:ind w:left="720"/>
        <w:jc w:val="both"/>
      </w:pPr>
    </w:p>
    <w:p w14:paraId="5803F632" w14:textId="77777777" w:rsidR="00536D0A" w:rsidRDefault="00536D0A" w:rsidP="00536D0A">
      <w:pPr>
        <w:ind w:left="720"/>
        <w:jc w:val="both"/>
      </w:pPr>
    </w:p>
    <w:p w14:paraId="2B08AE23" w14:textId="77777777" w:rsidR="00536D0A" w:rsidRDefault="00536D0A" w:rsidP="00536D0A">
      <w:pPr>
        <w:ind w:left="720"/>
        <w:jc w:val="both"/>
      </w:pPr>
    </w:p>
    <w:p w14:paraId="070D439E" w14:textId="77777777" w:rsidR="00536D0A" w:rsidRPr="00186325" w:rsidRDefault="00536D0A" w:rsidP="00536D0A">
      <w:pPr>
        <w:jc w:val="both"/>
      </w:pPr>
    </w:p>
    <w:p w14:paraId="22E7C224" w14:textId="77777777" w:rsidR="00536D0A" w:rsidRDefault="00536D0A" w:rsidP="00536D0A">
      <w:pPr>
        <w:spacing w:after="200" w:line="276" w:lineRule="auto"/>
        <w:ind w:left="720" w:hanging="720"/>
        <w:jc w:val="both"/>
        <w:rPr>
          <w:rFonts w:asciiTheme="majorHAnsi" w:eastAsiaTheme="majorEastAsia" w:hAnsiTheme="majorHAnsi" w:cstheme="majorBidi"/>
          <w:color w:val="2F5496" w:themeColor="accent1" w:themeShade="BF"/>
          <w:sz w:val="32"/>
          <w:szCs w:val="32"/>
        </w:rPr>
      </w:pPr>
      <w:r w:rsidRPr="6A56791F">
        <w:rPr>
          <w:rFonts w:asciiTheme="majorHAnsi" w:eastAsiaTheme="majorEastAsia" w:hAnsiTheme="majorHAnsi" w:cstheme="majorBidi"/>
          <w:color w:val="2F5496" w:themeColor="accent1" w:themeShade="BF"/>
          <w:sz w:val="32"/>
          <w:szCs w:val="32"/>
        </w:rPr>
        <w:t>Price concessions summary</w:t>
      </w:r>
    </w:p>
    <w:p w14:paraId="300FAC55" w14:textId="77777777" w:rsidR="00536D0A" w:rsidRDefault="00536D0A" w:rsidP="00536D0A">
      <w:pPr>
        <w:spacing w:after="200" w:line="276" w:lineRule="auto"/>
        <w:jc w:val="both"/>
      </w:pPr>
      <w:r>
        <w:rPr>
          <w:noProof/>
        </w:rPr>
        <w:drawing>
          <wp:inline distT="0" distB="0" distL="0" distR="0" wp14:anchorId="5DD1BEC1" wp14:editId="528FCE20">
            <wp:extent cx="5835650" cy="3657600"/>
            <wp:effectExtent l="0" t="0" r="12700" b="0"/>
            <wp:docPr id="1" name="Chart 1">
              <a:extLst xmlns:a="http://schemas.openxmlformats.org/drawingml/2006/main">
                <a:ext uri="{FF2B5EF4-FFF2-40B4-BE49-F238E27FC236}">
                  <a16:creationId xmlns:a16="http://schemas.microsoft.com/office/drawing/2014/main" id="{1552CC34-E1C8-4BDE-AA1B-4ED0804722F4}"/>
                </a:ext>
                <a:ext uri="{147F2762-F138-4A5C-976F-8EAC2B608ADB}">
                  <a16:predDERef xmlns:a16="http://schemas.microsoft.com/office/drawing/2014/main" pred="{51BDFF17-1C59-41B7-8D00-6C8CC4DC0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52F6C5" w14:textId="77777777" w:rsidR="00536D0A" w:rsidRDefault="00536D0A" w:rsidP="00536D0A">
      <w:pPr>
        <w:spacing w:after="200" w:line="276" w:lineRule="auto"/>
        <w:jc w:val="both"/>
      </w:pPr>
      <w:r>
        <w:rPr>
          <w:noProof/>
        </w:rPr>
        <w:drawing>
          <wp:inline distT="0" distB="0" distL="0" distR="0" wp14:anchorId="71E37D8F" wp14:editId="3F54D248">
            <wp:extent cx="5835650" cy="3248025"/>
            <wp:effectExtent l="0" t="0" r="12700" b="9525"/>
            <wp:docPr id="3" name="Chart 3">
              <a:extLst xmlns:a="http://schemas.openxmlformats.org/drawingml/2006/main">
                <a:ext uri="{FF2B5EF4-FFF2-40B4-BE49-F238E27FC236}">
                  <a16:creationId xmlns:a16="http://schemas.microsoft.com/office/drawing/2014/main" id="{883D7F7B-331B-4B98-AC7D-F19F4BC7AF43}"/>
                </a:ext>
                <a:ext uri="{147F2762-F138-4A5C-976F-8EAC2B608ADB}">
                  <a16:predDERef xmlns:a16="http://schemas.microsoft.com/office/drawing/2014/main" pred="{1552CC34-E1C8-4BDE-AA1B-4ED080472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CFFAAC" w14:textId="57E4A41E" w:rsidR="00536D0A" w:rsidRDefault="00536D0A">
      <w:pPr>
        <w:rPr>
          <w:rStyle w:val="eop"/>
          <w:rFonts w:ascii="Times New Roman" w:eastAsia="Times New Roman" w:hAnsi="Times New Roman" w:cs="Times New Roman"/>
          <w:lang w:eastAsia="en-GB"/>
        </w:rPr>
      </w:pPr>
      <w:r>
        <w:rPr>
          <w:rStyle w:val="eop"/>
        </w:rPr>
        <w:br w:type="page"/>
      </w:r>
    </w:p>
    <w:p w14:paraId="77C5D7B2" w14:textId="77777777" w:rsidR="009C55C9" w:rsidRDefault="009C55C9" w:rsidP="009C55C9">
      <w:pPr>
        <w:pStyle w:val="BodyText"/>
        <w:spacing w:after="1"/>
        <w:jc w:val="both"/>
        <w:rPr>
          <w:b/>
          <w:bCs/>
        </w:rPr>
      </w:pPr>
    </w:p>
    <w:p w14:paraId="7BF0C577" w14:textId="77777777" w:rsidR="009C55C9" w:rsidRDefault="009C55C9" w:rsidP="009C55C9">
      <w:pPr>
        <w:ind w:right="689"/>
        <w:jc w:val="right"/>
        <w:rPr>
          <w:b/>
          <w:bCs/>
        </w:rPr>
      </w:pPr>
      <w:r>
        <w:br/>
      </w: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5386"/>
      </w:tblGrid>
      <w:tr w:rsidR="009C55C9" w:rsidRPr="00907E6A" w14:paraId="2214D019" w14:textId="77777777" w:rsidTr="00BF374D">
        <w:trPr>
          <w:trHeight w:val="802"/>
        </w:trPr>
        <w:tc>
          <w:tcPr>
            <w:tcW w:w="3522" w:type="dxa"/>
          </w:tcPr>
          <w:p w14:paraId="5ED46588" w14:textId="77777777" w:rsidR="009C55C9" w:rsidRPr="00907E6A" w:rsidRDefault="009C55C9" w:rsidP="00BF374D">
            <w:pPr>
              <w:pStyle w:val="TableParagraph"/>
              <w:spacing w:before="11"/>
              <w:jc w:val="both"/>
              <w:rPr>
                <w:b/>
              </w:rPr>
            </w:pPr>
          </w:p>
          <w:p w14:paraId="154803A0" w14:textId="77777777" w:rsidR="009C55C9" w:rsidRPr="00907E6A" w:rsidRDefault="009C55C9" w:rsidP="00BF374D">
            <w:pPr>
              <w:pStyle w:val="TableParagraph"/>
              <w:ind w:left="107"/>
              <w:jc w:val="both"/>
            </w:pPr>
            <w:r w:rsidRPr="00907E6A">
              <w:t>Subject</w:t>
            </w:r>
          </w:p>
        </w:tc>
        <w:tc>
          <w:tcPr>
            <w:tcW w:w="5386" w:type="dxa"/>
          </w:tcPr>
          <w:p w14:paraId="06BFD636" w14:textId="77777777" w:rsidR="009C55C9" w:rsidRPr="00907E6A" w:rsidRDefault="009C55C9" w:rsidP="00BF374D">
            <w:pPr>
              <w:pStyle w:val="TableParagraph"/>
              <w:spacing w:before="11"/>
              <w:jc w:val="both"/>
              <w:rPr>
                <w:b/>
              </w:rPr>
            </w:pPr>
          </w:p>
          <w:p w14:paraId="08899B3B" w14:textId="77777777" w:rsidR="009C55C9" w:rsidRPr="00907E6A" w:rsidRDefault="009C55C9" w:rsidP="00BF374D">
            <w:pPr>
              <w:pStyle w:val="TableParagraph"/>
              <w:ind w:left="107"/>
              <w:jc w:val="both"/>
            </w:pPr>
            <w:r w:rsidRPr="00907E6A">
              <w:t>General funding update</w:t>
            </w:r>
          </w:p>
        </w:tc>
      </w:tr>
      <w:tr w:rsidR="009C55C9" w:rsidRPr="00907E6A" w14:paraId="73BA90F7" w14:textId="77777777" w:rsidTr="00BF374D">
        <w:trPr>
          <w:trHeight w:val="803"/>
        </w:trPr>
        <w:tc>
          <w:tcPr>
            <w:tcW w:w="3522" w:type="dxa"/>
          </w:tcPr>
          <w:p w14:paraId="13800243" w14:textId="77777777" w:rsidR="009C55C9" w:rsidRPr="00907E6A" w:rsidRDefault="009C55C9" w:rsidP="00BF374D">
            <w:pPr>
              <w:pStyle w:val="TableParagraph"/>
              <w:spacing w:before="11"/>
              <w:jc w:val="both"/>
              <w:rPr>
                <w:b/>
              </w:rPr>
            </w:pPr>
          </w:p>
          <w:p w14:paraId="30E37A24" w14:textId="77777777" w:rsidR="009C55C9" w:rsidRPr="00907E6A" w:rsidRDefault="009C55C9" w:rsidP="00BF374D">
            <w:pPr>
              <w:pStyle w:val="TableParagraph"/>
              <w:ind w:left="107"/>
              <w:jc w:val="both"/>
            </w:pPr>
            <w:r w:rsidRPr="00907E6A">
              <w:t>Date of meeting</w:t>
            </w:r>
          </w:p>
        </w:tc>
        <w:tc>
          <w:tcPr>
            <w:tcW w:w="5386" w:type="dxa"/>
          </w:tcPr>
          <w:p w14:paraId="21D17A97" w14:textId="77777777" w:rsidR="009C55C9" w:rsidRPr="00907E6A" w:rsidRDefault="009C55C9" w:rsidP="00BF374D">
            <w:pPr>
              <w:pStyle w:val="TableParagraph"/>
              <w:spacing w:before="11"/>
              <w:jc w:val="both"/>
              <w:rPr>
                <w:b/>
              </w:rPr>
            </w:pPr>
          </w:p>
          <w:p w14:paraId="7C58BF94" w14:textId="77777777" w:rsidR="009C55C9" w:rsidRPr="00907E6A" w:rsidRDefault="009C55C9" w:rsidP="00BF374D">
            <w:pPr>
              <w:pStyle w:val="TableParagraph"/>
              <w:ind w:left="107"/>
              <w:jc w:val="both"/>
            </w:pPr>
            <w:r>
              <w:t>September 2022</w:t>
            </w:r>
          </w:p>
        </w:tc>
      </w:tr>
      <w:tr w:rsidR="009C55C9" w:rsidRPr="00907E6A" w14:paraId="0E0D31EA" w14:textId="77777777" w:rsidTr="00BF374D">
        <w:trPr>
          <w:trHeight w:val="803"/>
        </w:trPr>
        <w:tc>
          <w:tcPr>
            <w:tcW w:w="3522" w:type="dxa"/>
          </w:tcPr>
          <w:p w14:paraId="57584BD7" w14:textId="77777777" w:rsidR="009C55C9" w:rsidRPr="00907E6A" w:rsidRDefault="009C55C9" w:rsidP="00BF374D">
            <w:pPr>
              <w:pStyle w:val="TableParagraph"/>
              <w:spacing w:before="11"/>
              <w:jc w:val="both"/>
              <w:rPr>
                <w:b/>
              </w:rPr>
            </w:pPr>
          </w:p>
          <w:p w14:paraId="71625789" w14:textId="77777777" w:rsidR="009C55C9" w:rsidRPr="00907E6A" w:rsidRDefault="009C55C9" w:rsidP="00BF374D">
            <w:pPr>
              <w:pStyle w:val="TableParagraph"/>
              <w:ind w:left="107"/>
              <w:jc w:val="both"/>
            </w:pPr>
            <w:r w:rsidRPr="00907E6A">
              <w:t>Committee/Subcommittee</w:t>
            </w:r>
          </w:p>
        </w:tc>
        <w:tc>
          <w:tcPr>
            <w:tcW w:w="5386" w:type="dxa"/>
          </w:tcPr>
          <w:p w14:paraId="64C51A34" w14:textId="77777777" w:rsidR="009C55C9" w:rsidRPr="00907E6A" w:rsidRDefault="009C55C9" w:rsidP="00BF374D">
            <w:pPr>
              <w:pStyle w:val="TableParagraph"/>
              <w:spacing w:before="11"/>
              <w:jc w:val="both"/>
              <w:rPr>
                <w:b/>
              </w:rPr>
            </w:pPr>
            <w:r>
              <w:rPr>
                <w:b/>
              </w:rPr>
              <w:t xml:space="preserve"> </w:t>
            </w:r>
          </w:p>
          <w:p w14:paraId="788B2B68" w14:textId="77777777" w:rsidR="009C55C9" w:rsidRPr="00907E6A" w:rsidRDefault="009C55C9" w:rsidP="00BF374D">
            <w:pPr>
              <w:pStyle w:val="TableParagraph"/>
              <w:ind w:left="107"/>
              <w:jc w:val="both"/>
            </w:pPr>
            <w:proofErr w:type="spellStart"/>
            <w:r w:rsidRPr="00907E6A">
              <w:t>FunCon</w:t>
            </w:r>
            <w:proofErr w:type="spellEnd"/>
          </w:p>
        </w:tc>
      </w:tr>
      <w:tr w:rsidR="009C55C9" w:rsidRPr="00907E6A" w14:paraId="06A809E1" w14:textId="77777777" w:rsidTr="00BF374D">
        <w:trPr>
          <w:trHeight w:val="801"/>
        </w:trPr>
        <w:tc>
          <w:tcPr>
            <w:tcW w:w="3522" w:type="dxa"/>
          </w:tcPr>
          <w:p w14:paraId="2B409EAC" w14:textId="77777777" w:rsidR="009C55C9" w:rsidRPr="00907E6A" w:rsidRDefault="009C55C9" w:rsidP="00BF374D">
            <w:pPr>
              <w:pStyle w:val="TableParagraph"/>
              <w:spacing w:before="12"/>
              <w:jc w:val="both"/>
              <w:rPr>
                <w:b/>
              </w:rPr>
            </w:pPr>
          </w:p>
          <w:p w14:paraId="6913FCF5" w14:textId="77777777" w:rsidR="009C55C9" w:rsidRPr="00907E6A" w:rsidRDefault="009C55C9" w:rsidP="00BF374D">
            <w:pPr>
              <w:pStyle w:val="TableParagraph"/>
              <w:ind w:left="107"/>
              <w:jc w:val="both"/>
            </w:pPr>
            <w:r w:rsidRPr="00907E6A">
              <w:t>Status</w:t>
            </w:r>
          </w:p>
        </w:tc>
        <w:tc>
          <w:tcPr>
            <w:tcW w:w="5386" w:type="dxa"/>
          </w:tcPr>
          <w:p w14:paraId="3EDC1FFE" w14:textId="77777777" w:rsidR="009C55C9" w:rsidRPr="00907E6A" w:rsidRDefault="009C55C9" w:rsidP="00BF374D">
            <w:pPr>
              <w:pStyle w:val="TableParagraph"/>
              <w:spacing w:before="12"/>
              <w:jc w:val="both"/>
              <w:rPr>
                <w:b/>
              </w:rPr>
            </w:pPr>
          </w:p>
          <w:p w14:paraId="1DC416B6" w14:textId="77777777" w:rsidR="009C55C9" w:rsidRPr="00907E6A" w:rsidRDefault="009C55C9" w:rsidP="00BF374D">
            <w:pPr>
              <w:pStyle w:val="TableParagraph"/>
              <w:ind w:left="107"/>
              <w:jc w:val="both"/>
            </w:pPr>
            <w:r>
              <w:t>Not confidential</w:t>
            </w:r>
          </w:p>
        </w:tc>
      </w:tr>
      <w:tr w:rsidR="009C55C9" w:rsidRPr="00907E6A" w14:paraId="31BDFBC9" w14:textId="77777777" w:rsidTr="00BF374D">
        <w:trPr>
          <w:trHeight w:val="802"/>
        </w:trPr>
        <w:tc>
          <w:tcPr>
            <w:tcW w:w="3522" w:type="dxa"/>
          </w:tcPr>
          <w:p w14:paraId="778FB455" w14:textId="77777777" w:rsidR="009C55C9" w:rsidRPr="00907E6A" w:rsidRDefault="009C55C9" w:rsidP="00BF374D">
            <w:pPr>
              <w:pStyle w:val="TableParagraph"/>
              <w:spacing w:before="11"/>
              <w:jc w:val="both"/>
              <w:rPr>
                <w:b/>
              </w:rPr>
            </w:pPr>
          </w:p>
          <w:p w14:paraId="5F06188A" w14:textId="77777777" w:rsidR="009C55C9" w:rsidRPr="00907E6A" w:rsidRDefault="009C55C9" w:rsidP="00BF374D">
            <w:pPr>
              <w:pStyle w:val="TableParagraph"/>
              <w:ind w:left="107"/>
              <w:jc w:val="both"/>
            </w:pPr>
            <w:r w:rsidRPr="00907E6A">
              <w:t>Overview</w:t>
            </w:r>
          </w:p>
        </w:tc>
        <w:tc>
          <w:tcPr>
            <w:tcW w:w="5386" w:type="dxa"/>
          </w:tcPr>
          <w:p w14:paraId="07E8431F" w14:textId="77777777" w:rsidR="009C55C9" w:rsidRPr="00907E6A" w:rsidRDefault="009C55C9" w:rsidP="00BF374D">
            <w:pPr>
              <w:pStyle w:val="TableParagraph"/>
              <w:spacing w:before="11"/>
              <w:jc w:val="both"/>
              <w:rPr>
                <w:b/>
              </w:rPr>
            </w:pPr>
          </w:p>
          <w:p w14:paraId="7463BFB2" w14:textId="77777777" w:rsidR="009C55C9" w:rsidRPr="00907E6A" w:rsidRDefault="009C55C9" w:rsidP="00BF374D">
            <w:pPr>
              <w:pStyle w:val="TableParagraph"/>
              <w:ind w:left="107"/>
              <w:jc w:val="both"/>
            </w:pPr>
            <w:r w:rsidRPr="00907E6A">
              <w:t>General update on various funding issues</w:t>
            </w:r>
          </w:p>
        </w:tc>
      </w:tr>
      <w:tr w:rsidR="009C55C9" w:rsidRPr="00907E6A" w14:paraId="77907854" w14:textId="77777777" w:rsidTr="00BF374D">
        <w:trPr>
          <w:trHeight w:val="803"/>
        </w:trPr>
        <w:tc>
          <w:tcPr>
            <w:tcW w:w="3522" w:type="dxa"/>
          </w:tcPr>
          <w:p w14:paraId="60712C0E" w14:textId="77777777" w:rsidR="009C55C9" w:rsidRPr="00907E6A" w:rsidRDefault="009C55C9" w:rsidP="00BF374D">
            <w:pPr>
              <w:pStyle w:val="TableParagraph"/>
              <w:spacing w:before="11"/>
              <w:jc w:val="both"/>
              <w:rPr>
                <w:b/>
              </w:rPr>
            </w:pPr>
          </w:p>
          <w:p w14:paraId="70B3ED59" w14:textId="77777777" w:rsidR="009C55C9" w:rsidRPr="00907E6A" w:rsidRDefault="009C55C9" w:rsidP="00BF374D">
            <w:pPr>
              <w:pStyle w:val="TableParagraph"/>
              <w:ind w:left="107"/>
              <w:jc w:val="both"/>
            </w:pPr>
            <w:r w:rsidRPr="00907E6A">
              <w:t>Proposed action(s)</w:t>
            </w:r>
          </w:p>
        </w:tc>
        <w:tc>
          <w:tcPr>
            <w:tcW w:w="5386" w:type="dxa"/>
          </w:tcPr>
          <w:p w14:paraId="41A56E7C" w14:textId="77777777" w:rsidR="009C55C9" w:rsidRPr="00907E6A" w:rsidRDefault="009C55C9" w:rsidP="00BF374D">
            <w:pPr>
              <w:pStyle w:val="TableParagraph"/>
              <w:spacing w:before="11"/>
              <w:jc w:val="both"/>
              <w:rPr>
                <w:b/>
                <w:bCs/>
              </w:rPr>
            </w:pPr>
          </w:p>
          <w:p w14:paraId="028C6E55" w14:textId="77777777" w:rsidR="009C55C9" w:rsidRPr="00907E6A" w:rsidRDefault="009C55C9" w:rsidP="00BF374D">
            <w:pPr>
              <w:pStyle w:val="TableParagraph"/>
              <w:ind w:left="107"/>
              <w:jc w:val="both"/>
            </w:pPr>
            <w:r>
              <w:t>No action required</w:t>
            </w:r>
          </w:p>
          <w:p w14:paraId="607159D7" w14:textId="77777777" w:rsidR="009C55C9" w:rsidRPr="00907E6A" w:rsidRDefault="009C55C9" w:rsidP="00BF374D">
            <w:pPr>
              <w:pStyle w:val="TableParagraph"/>
              <w:spacing w:before="11" w:line="259" w:lineRule="auto"/>
              <w:jc w:val="both"/>
              <w:rPr>
                <w:b/>
                <w:bCs/>
              </w:rPr>
            </w:pPr>
          </w:p>
        </w:tc>
      </w:tr>
      <w:tr w:rsidR="009C55C9" w:rsidRPr="00907E6A" w14:paraId="697ED9BF" w14:textId="77777777" w:rsidTr="00BF374D">
        <w:trPr>
          <w:trHeight w:val="1071"/>
        </w:trPr>
        <w:tc>
          <w:tcPr>
            <w:tcW w:w="3522" w:type="dxa"/>
            <w:vAlign w:val="center"/>
          </w:tcPr>
          <w:p w14:paraId="7C651C95" w14:textId="77777777" w:rsidR="009C55C9" w:rsidRPr="00907E6A" w:rsidRDefault="009C55C9" w:rsidP="00BF374D">
            <w:pPr>
              <w:pStyle w:val="TableParagraph"/>
              <w:ind w:left="107"/>
            </w:pPr>
            <w:r w:rsidRPr="00907E6A">
              <w:t>Author(s) of the paper</w:t>
            </w:r>
          </w:p>
        </w:tc>
        <w:tc>
          <w:tcPr>
            <w:tcW w:w="5386" w:type="dxa"/>
            <w:vAlign w:val="center"/>
          </w:tcPr>
          <w:p w14:paraId="4E0679E3" w14:textId="77777777" w:rsidR="009C55C9" w:rsidRPr="00907E6A" w:rsidRDefault="009C55C9" w:rsidP="00BF374D">
            <w:pPr>
              <w:pStyle w:val="TableParagraph"/>
              <w:ind w:left="107" w:right="1299"/>
            </w:pPr>
            <w:r w:rsidRPr="00907E6A">
              <w:t xml:space="preserve">PSNC </w:t>
            </w:r>
            <w:r>
              <w:t>Dispensing &amp; Supply</w:t>
            </w:r>
            <w:r w:rsidRPr="00907E6A">
              <w:t xml:space="preserve"> Team </w:t>
            </w:r>
          </w:p>
        </w:tc>
      </w:tr>
    </w:tbl>
    <w:p w14:paraId="42745DE3" w14:textId="77777777" w:rsidR="009C55C9" w:rsidRPr="00907E6A" w:rsidRDefault="009C55C9" w:rsidP="009C55C9">
      <w:pPr>
        <w:spacing w:before="15"/>
        <w:ind w:right="2880"/>
        <w:jc w:val="both"/>
        <w:rPr>
          <w:b/>
          <w:bCs/>
          <w:color w:val="5B518E"/>
        </w:rPr>
      </w:pPr>
    </w:p>
    <w:p w14:paraId="05429DB8" w14:textId="77777777" w:rsidR="009C55C9" w:rsidRPr="00907E6A" w:rsidRDefault="009C55C9" w:rsidP="009C55C9">
      <w:pPr>
        <w:spacing w:before="15"/>
        <w:ind w:left="851" w:right="2880"/>
        <w:jc w:val="both"/>
        <w:rPr>
          <w:b/>
          <w:color w:val="5B518E"/>
        </w:rPr>
      </w:pPr>
    </w:p>
    <w:p w14:paraId="67A93D8F" w14:textId="77777777" w:rsidR="009C55C9" w:rsidRPr="00907E6A" w:rsidRDefault="009C55C9" w:rsidP="009C55C9">
      <w:pPr>
        <w:spacing w:before="15"/>
        <w:ind w:left="851" w:right="2880"/>
        <w:jc w:val="both"/>
        <w:rPr>
          <w:b/>
          <w:color w:val="5B518E"/>
        </w:rPr>
      </w:pPr>
    </w:p>
    <w:p w14:paraId="62AB8D1C" w14:textId="77777777" w:rsidR="009C55C9" w:rsidRPr="00907E6A" w:rsidRDefault="009C55C9" w:rsidP="009C55C9">
      <w:pPr>
        <w:spacing w:before="15"/>
        <w:ind w:left="851" w:right="2880"/>
        <w:jc w:val="both"/>
        <w:rPr>
          <w:b/>
          <w:color w:val="5B518E"/>
        </w:rPr>
      </w:pPr>
    </w:p>
    <w:p w14:paraId="6A51562B" w14:textId="77777777" w:rsidR="009C55C9" w:rsidRPr="00907E6A" w:rsidRDefault="009C55C9" w:rsidP="009C55C9">
      <w:pPr>
        <w:spacing w:before="15"/>
        <w:ind w:left="851" w:right="2880"/>
        <w:jc w:val="both"/>
        <w:rPr>
          <w:b/>
          <w:color w:val="5B518E"/>
        </w:rPr>
      </w:pPr>
    </w:p>
    <w:p w14:paraId="4D639825" w14:textId="77777777" w:rsidR="009C55C9" w:rsidRDefault="009C55C9" w:rsidP="009C55C9">
      <w:pPr>
        <w:spacing w:before="15"/>
        <w:ind w:left="851" w:right="2880"/>
        <w:jc w:val="both"/>
        <w:rPr>
          <w:b/>
          <w:color w:val="5B518E"/>
        </w:rPr>
      </w:pPr>
    </w:p>
    <w:p w14:paraId="00D0AC32" w14:textId="77777777" w:rsidR="009C55C9" w:rsidRDefault="009C55C9" w:rsidP="009C55C9">
      <w:pPr>
        <w:spacing w:before="15"/>
        <w:ind w:left="851" w:right="2880"/>
        <w:jc w:val="both"/>
        <w:rPr>
          <w:b/>
          <w:color w:val="5B518E"/>
        </w:rPr>
      </w:pPr>
    </w:p>
    <w:p w14:paraId="606AAB17" w14:textId="77777777" w:rsidR="009C55C9" w:rsidRDefault="009C55C9" w:rsidP="009C55C9">
      <w:pPr>
        <w:spacing w:before="15"/>
        <w:ind w:left="851" w:right="2880"/>
        <w:jc w:val="both"/>
        <w:rPr>
          <w:b/>
          <w:color w:val="5B518E"/>
        </w:rPr>
      </w:pPr>
    </w:p>
    <w:p w14:paraId="773282A5" w14:textId="77777777" w:rsidR="009C55C9" w:rsidRDefault="009C55C9" w:rsidP="009C55C9">
      <w:pPr>
        <w:spacing w:before="15"/>
        <w:ind w:left="851" w:right="2880"/>
        <w:jc w:val="both"/>
        <w:rPr>
          <w:b/>
          <w:color w:val="5B518E"/>
        </w:rPr>
      </w:pPr>
    </w:p>
    <w:p w14:paraId="67CAF1D2" w14:textId="77777777" w:rsidR="009C55C9" w:rsidRDefault="009C55C9" w:rsidP="009C55C9">
      <w:pPr>
        <w:spacing w:before="15"/>
        <w:ind w:left="851" w:right="2880"/>
        <w:jc w:val="both"/>
        <w:rPr>
          <w:b/>
          <w:color w:val="5B518E"/>
        </w:rPr>
      </w:pPr>
    </w:p>
    <w:p w14:paraId="6FABE51F" w14:textId="77777777" w:rsidR="009C55C9" w:rsidRDefault="009C55C9" w:rsidP="009C55C9">
      <w:pPr>
        <w:spacing w:before="15"/>
        <w:ind w:left="851" w:right="2880"/>
        <w:jc w:val="both"/>
        <w:rPr>
          <w:b/>
          <w:color w:val="5B518E"/>
        </w:rPr>
      </w:pPr>
    </w:p>
    <w:p w14:paraId="3081BC51" w14:textId="77777777" w:rsidR="009C55C9" w:rsidRDefault="009C55C9" w:rsidP="009C55C9">
      <w:pPr>
        <w:spacing w:before="15"/>
        <w:ind w:left="851" w:right="2880"/>
        <w:jc w:val="both"/>
        <w:rPr>
          <w:b/>
          <w:color w:val="5B518E"/>
        </w:rPr>
      </w:pPr>
    </w:p>
    <w:p w14:paraId="7C22322F" w14:textId="77777777" w:rsidR="009C55C9" w:rsidRPr="00907E6A" w:rsidRDefault="009C55C9" w:rsidP="009C55C9">
      <w:pPr>
        <w:spacing w:before="15"/>
        <w:ind w:left="851" w:right="2880"/>
        <w:jc w:val="both"/>
        <w:rPr>
          <w:b/>
          <w:color w:val="5B518E"/>
        </w:rPr>
      </w:pPr>
    </w:p>
    <w:p w14:paraId="46EC2F35" w14:textId="77777777" w:rsidR="009C55C9" w:rsidRDefault="009C55C9" w:rsidP="009C55C9">
      <w:pPr>
        <w:spacing w:before="15"/>
        <w:ind w:left="851" w:right="2880"/>
        <w:jc w:val="both"/>
        <w:rPr>
          <w:b/>
          <w:color w:val="5B518E"/>
        </w:rPr>
      </w:pPr>
    </w:p>
    <w:p w14:paraId="6DDBE116" w14:textId="77777777" w:rsidR="009C55C9" w:rsidRDefault="009C55C9" w:rsidP="009C55C9">
      <w:pPr>
        <w:spacing w:before="15"/>
        <w:ind w:left="851" w:right="2880"/>
        <w:jc w:val="both"/>
        <w:rPr>
          <w:b/>
          <w:color w:val="5B518E"/>
        </w:rPr>
      </w:pPr>
    </w:p>
    <w:p w14:paraId="72B599EB" w14:textId="77777777" w:rsidR="009C55C9" w:rsidRDefault="009C55C9" w:rsidP="009C55C9">
      <w:pPr>
        <w:spacing w:before="15"/>
        <w:ind w:right="-22"/>
        <w:jc w:val="center"/>
        <w:rPr>
          <w:b/>
          <w:bCs/>
          <w:color w:val="5B518E"/>
          <w:sz w:val="28"/>
          <w:szCs w:val="28"/>
        </w:rPr>
      </w:pPr>
      <w:r w:rsidRPr="0D643ABA">
        <w:rPr>
          <w:b/>
          <w:bCs/>
          <w:color w:val="5B518E"/>
          <w:sz w:val="28"/>
          <w:szCs w:val="28"/>
        </w:rPr>
        <w:lastRenderedPageBreak/>
        <w:t>General funding update</w:t>
      </w:r>
    </w:p>
    <w:p w14:paraId="3BDEC2D5" w14:textId="77777777" w:rsidR="009C55C9" w:rsidRDefault="009C55C9" w:rsidP="009C55C9">
      <w:pPr>
        <w:pStyle w:val="BodyText"/>
        <w:ind w:right="937"/>
        <w:jc w:val="both"/>
      </w:pPr>
    </w:p>
    <w:p w14:paraId="6BE545F6" w14:textId="77777777" w:rsidR="009C55C9" w:rsidRDefault="009C55C9" w:rsidP="009C55C9">
      <w:pPr>
        <w:pStyle w:val="NoSpacing"/>
      </w:pPr>
      <w:r>
        <w:t>The following items are included as matters of report:</w:t>
      </w:r>
    </w:p>
    <w:p w14:paraId="55B9CD60" w14:textId="77777777" w:rsidR="009C55C9" w:rsidRDefault="009C55C9" w:rsidP="009C55C9">
      <w:pPr>
        <w:pStyle w:val="NoSpacing"/>
      </w:pPr>
    </w:p>
    <w:p w14:paraId="5408C200" w14:textId="77777777" w:rsidR="009C55C9" w:rsidRPr="00C9790A" w:rsidRDefault="009C55C9" w:rsidP="00AF46FC">
      <w:pPr>
        <w:pStyle w:val="ListParagraph"/>
        <w:widowControl w:val="0"/>
        <w:numPr>
          <w:ilvl w:val="0"/>
          <w:numId w:val="8"/>
        </w:numPr>
        <w:autoSpaceDE w:val="0"/>
        <w:autoSpaceDN w:val="0"/>
        <w:spacing w:after="0" w:line="240" w:lineRule="auto"/>
        <w:contextualSpacing w:val="0"/>
        <w:jc w:val="both"/>
        <w:rPr>
          <w:rFonts w:ascii="Calibri Light" w:eastAsia="Calibri Light" w:hAnsi="Calibri Light" w:cs="Calibri Light"/>
          <w:color w:val="000000" w:themeColor="text1"/>
        </w:rPr>
      </w:pPr>
      <w:r w:rsidRPr="00C9790A">
        <w:t>Changes to discount deduction arrangements</w:t>
      </w:r>
    </w:p>
    <w:p w14:paraId="6F0769F1" w14:textId="77777777" w:rsidR="009C55C9" w:rsidRPr="00C9790A" w:rsidRDefault="009C55C9" w:rsidP="00AF46FC">
      <w:pPr>
        <w:pStyle w:val="ListParagraph"/>
        <w:widowControl w:val="0"/>
        <w:numPr>
          <w:ilvl w:val="0"/>
          <w:numId w:val="8"/>
        </w:numPr>
        <w:autoSpaceDE w:val="0"/>
        <w:autoSpaceDN w:val="0"/>
        <w:spacing w:after="0" w:line="240" w:lineRule="auto"/>
        <w:contextualSpacing w:val="0"/>
      </w:pPr>
      <w:r w:rsidRPr="00C9790A">
        <w:rPr>
          <w:rFonts w:ascii="Calibri Light" w:eastAsia="Calibri Light" w:hAnsi="Calibri Light" w:cs="Calibri Light"/>
          <w:color w:val="000000" w:themeColor="text1"/>
        </w:rPr>
        <w:t>Adjusted price for Promethazine hydrochloride 10mg tablets following price changes in July 2022</w:t>
      </w:r>
    </w:p>
    <w:p w14:paraId="0A782AA1" w14:textId="77777777" w:rsidR="009C55C9" w:rsidRPr="00C9790A" w:rsidRDefault="009C55C9" w:rsidP="00AF46FC">
      <w:pPr>
        <w:pStyle w:val="ListParagraph"/>
        <w:widowControl w:val="0"/>
        <w:numPr>
          <w:ilvl w:val="0"/>
          <w:numId w:val="8"/>
        </w:numPr>
        <w:autoSpaceDE w:val="0"/>
        <w:autoSpaceDN w:val="0"/>
        <w:spacing w:after="0" w:line="240" w:lineRule="auto"/>
        <w:contextualSpacing w:val="0"/>
      </w:pPr>
      <w:r w:rsidRPr="00C9790A">
        <w:t>SSP endorsement errors</w:t>
      </w:r>
    </w:p>
    <w:p w14:paraId="3F082181" w14:textId="77777777" w:rsidR="009C55C9" w:rsidRPr="00C9790A" w:rsidRDefault="009C55C9" w:rsidP="00AF46FC">
      <w:pPr>
        <w:pStyle w:val="ListParagraph"/>
        <w:widowControl w:val="0"/>
        <w:numPr>
          <w:ilvl w:val="0"/>
          <w:numId w:val="8"/>
        </w:numPr>
        <w:autoSpaceDE w:val="0"/>
        <w:autoSpaceDN w:val="0"/>
        <w:spacing w:after="0" w:line="240" w:lineRule="auto"/>
        <w:contextualSpacing w:val="0"/>
        <w:jc w:val="both"/>
      </w:pPr>
      <w:r w:rsidRPr="00C9790A">
        <w:t xml:space="preserve">SSP issued for Combisal®125mcg/25mcg inhalers </w:t>
      </w:r>
    </w:p>
    <w:p w14:paraId="35FA227D" w14:textId="77777777" w:rsidR="009C55C9" w:rsidRPr="00C9790A" w:rsidRDefault="009C55C9" w:rsidP="00AF46FC">
      <w:pPr>
        <w:pStyle w:val="ListParagraph"/>
        <w:widowControl w:val="0"/>
        <w:numPr>
          <w:ilvl w:val="0"/>
          <w:numId w:val="8"/>
        </w:numPr>
        <w:autoSpaceDE w:val="0"/>
        <w:autoSpaceDN w:val="0"/>
        <w:spacing w:after="0" w:line="240" w:lineRule="auto"/>
        <w:contextualSpacing w:val="0"/>
      </w:pPr>
      <w:r w:rsidRPr="00C9790A">
        <w:t>12 SSPs for HRT medicines extended</w:t>
      </w:r>
    </w:p>
    <w:p w14:paraId="5809D9F8" w14:textId="77777777" w:rsidR="009C55C9" w:rsidRPr="00C9790A" w:rsidRDefault="009C55C9" w:rsidP="00AF46FC">
      <w:pPr>
        <w:pStyle w:val="ListParagraph"/>
        <w:widowControl w:val="0"/>
        <w:numPr>
          <w:ilvl w:val="0"/>
          <w:numId w:val="8"/>
        </w:numPr>
        <w:autoSpaceDE w:val="0"/>
        <w:autoSpaceDN w:val="0"/>
        <w:spacing w:after="0" w:line="240" w:lineRule="auto"/>
        <w:contextualSpacing w:val="0"/>
      </w:pPr>
      <w:r w:rsidRPr="00C9790A">
        <w:t xml:space="preserve">Expiry of SSP021 </w:t>
      </w:r>
      <w:proofErr w:type="spellStart"/>
      <w:r w:rsidRPr="00C9790A">
        <w:t>Premique</w:t>
      </w:r>
      <w:proofErr w:type="spellEnd"/>
      <w:r w:rsidRPr="00C9790A">
        <w:t>® low dose 0.3mg/1.5mg modified-release tablets</w:t>
      </w:r>
    </w:p>
    <w:p w14:paraId="0CFBE0A7" w14:textId="77777777" w:rsidR="009C55C9" w:rsidRPr="00C9790A" w:rsidRDefault="009C55C9" w:rsidP="00AF46FC">
      <w:pPr>
        <w:pStyle w:val="ListParagraph"/>
        <w:widowControl w:val="0"/>
        <w:numPr>
          <w:ilvl w:val="0"/>
          <w:numId w:val="8"/>
        </w:numPr>
        <w:autoSpaceDE w:val="0"/>
        <w:autoSpaceDN w:val="0"/>
        <w:spacing w:after="0" w:line="240" w:lineRule="auto"/>
        <w:contextualSpacing w:val="0"/>
      </w:pPr>
      <w:r w:rsidRPr="00C9790A">
        <w:t>Extension to SSPs for Fluoxetine 10mg tablets (SSP005) and Atorvastatin 10mg chewable tablets (SSP032)</w:t>
      </w:r>
    </w:p>
    <w:p w14:paraId="35E62D2D" w14:textId="77777777" w:rsidR="009C55C9" w:rsidRPr="00C9790A" w:rsidRDefault="009C55C9" w:rsidP="00AF46FC">
      <w:pPr>
        <w:pStyle w:val="ListParagraph"/>
        <w:widowControl w:val="0"/>
        <w:numPr>
          <w:ilvl w:val="0"/>
          <w:numId w:val="8"/>
        </w:numPr>
        <w:autoSpaceDE w:val="0"/>
        <w:autoSpaceDN w:val="0"/>
        <w:spacing w:after="0" w:line="240" w:lineRule="auto"/>
        <w:contextualSpacing w:val="0"/>
      </w:pPr>
      <w:r w:rsidRPr="00C9790A">
        <w:t xml:space="preserve">SSP information </w:t>
      </w:r>
    </w:p>
    <w:p w14:paraId="5A5FEE43" w14:textId="77777777" w:rsidR="009C55C9" w:rsidRPr="007C4686" w:rsidRDefault="009C55C9" w:rsidP="00AF46FC">
      <w:pPr>
        <w:pStyle w:val="ListParagraph"/>
        <w:widowControl w:val="0"/>
        <w:numPr>
          <w:ilvl w:val="0"/>
          <w:numId w:val="8"/>
        </w:numPr>
        <w:autoSpaceDE w:val="0"/>
        <w:autoSpaceDN w:val="0"/>
        <w:spacing w:after="0" w:line="240" w:lineRule="auto"/>
        <w:contextualSpacing w:val="0"/>
      </w:pPr>
      <w:r w:rsidRPr="007C4686">
        <w:t xml:space="preserve">Reminder: New Account Identifier Document for submission of paper prescriptions </w:t>
      </w:r>
    </w:p>
    <w:p w14:paraId="2D447528" w14:textId="77777777" w:rsidR="009C55C9" w:rsidRPr="007C4686" w:rsidRDefault="009C55C9" w:rsidP="00AF46FC">
      <w:pPr>
        <w:pStyle w:val="ListParagraph"/>
        <w:widowControl w:val="0"/>
        <w:numPr>
          <w:ilvl w:val="0"/>
          <w:numId w:val="8"/>
        </w:numPr>
        <w:autoSpaceDE w:val="0"/>
        <w:autoSpaceDN w:val="0"/>
        <w:spacing w:after="0" w:line="240" w:lineRule="auto"/>
        <w:contextualSpacing w:val="0"/>
      </w:pPr>
      <w:r w:rsidRPr="007C4686">
        <w:t>Reminder: Referred back and disallowed items are going fully digital via MYS from July 2022</w:t>
      </w:r>
    </w:p>
    <w:p w14:paraId="364F39D4" w14:textId="77777777" w:rsidR="009C55C9" w:rsidRPr="007C4686" w:rsidRDefault="009C55C9" w:rsidP="00AF46FC">
      <w:pPr>
        <w:pStyle w:val="ListParagraph"/>
        <w:widowControl w:val="0"/>
        <w:numPr>
          <w:ilvl w:val="0"/>
          <w:numId w:val="8"/>
        </w:numPr>
        <w:autoSpaceDE w:val="0"/>
        <w:autoSpaceDN w:val="0"/>
        <w:spacing w:after="0" w:line="240" w:lineRule="auto"/>
        <w:contextualSpacing w:val="0"/>
      </w:pPr>
      <w:r w:rsidRPr="007C4686">
        <w:t>RTEC FAQs</w:t>
      </w:r>
    </w:p>
    <w:p w14:paraId="186A39A2" w14:textId="77777777" w:rsidR="009C55C9" w:rsidRPr="007C4686" w:rsidRDefault="009C55C9" w:rsidP="00AF46FC">
      <w:pPr>
        <w:pStyle w:val="ListParagraph"/>
        <w:widowControl w:val="0"/>
        <w:numPr>
          <w:ilvl w:val="0"/>
          <w:numId w:val="8"/>
        </w:numPr>
        <w:autoSpaceDE w:val="0"/>
        <w:autoSpaceDN w:val="0"/>
        <w:spacing w:after="0" w:line="240" w:lineRule="auto"/>
        <w:contextualSpacing w:val="0"/>
      </w:pPr>
      <w:r w:rsidRPr="007C4686">
        <w:t>Three products reclassified as special containers from September 2022</w:t>
      </w:r>
    </w:p>
    <w:p w14:paraId="3E31B77F" w14:textId="77777777" w:rsidR="009C55C9" w:rsidRPr="007C4686" w:rsidRDefault="009C55C9" w:rsidP="00AF46FC">
      <w:pPr>
        <w:pStyle w:val="ListParagraph"/>
        <w:widowControl w:val="0"/>
        <w:numPr>
          <w:ilvl w:val="0"/>
          <w:numId w:val="8"/>
        </w:numPr>
        <w:autoSpaceDE w:val="0"/>
        <w:autoSpaceDN w:val="0"/>
        <w:spacing w:after="0" w:line="240" w:lineRule="auto"/>
        <w:contextualSpacing w:val="0"/>
      </w:pPr>
      <w:r w:rsidRPr="007C4686">
        <w:t>43 products added to the Discount Not Deducted (DND) list in August &amp; September 2022</w:t>
      </w:r>
    </w:p>
    <w:p w14:paraId="14594D18" w14:textId="77777777" w:rsidR="009C55C9" w:rsidRPr="007C4686" w:rsidRDefault="009C55C9" w:rsidP="00AF46FC">
      <w:pPr>
        <w:pStyle w:val="ListParagraph"/>
        <w:widowControl w:val="0"/>
        <w:numPr>
          <w:ilvl w:val="0"/>
          <w:numId w:val="8"/>
        </w:numPr>
        <w:autoSpaceDE w:val="0"/>
        <w:autoSpaceDN w:val="0"/>
        <w:spacing w:after="0" w:line="240" w:lineRule="auto"/>
        <w:contextualSpacing w:val="0"/>
      </w:pPr>
      <w:r w:rsidRPr="007C4686">
        <w:t>NHS Prescription Services ‘Hints &amp; Tips’ – Issue 48</w:t>
      </w:r>
    </w:p>
    <w:p w14:paraId="40EF4FE9" w14:textId="77777777" w:rsidR="009C55C9" w:rsidRPr="007C4686" w:rsidRDefault="009C55C9" w:rsidP="00AF46FC">
      <w:pPr>
        <w:pStyle w:val="ListParagraph"/>
        <w:widowControl w:val="0"/>
        <w:numPr>
          <w:ilvl w:val="0"/>
          <w:numId w:val="8"/>
        </w:numPr>
        <w:autoSpaceDE w:val="0"/>
        <w:autoSpaceDN w:val="0"/>
        <w:spacing w:after="0" w:line="240" w:lineRule="auto"/>
        <w:contextualSpacing w:val="0"/>
      </w:pPr>
      <w:r w:rsidRPr="007C4686">
        <w:t xml:space="preserve">Market movements with implications for supply </w:t>
      </w:r>
    </w:p>
    <w:p w14:paraId="37D96E58" w14:textId="77777777" w:rsidR="009C55C9" w:rsidRPr="007C4686" w:rsidRDefault="009C55C9" w:rsidP="00AF46FC">
      <w:pPr>
        <w:pStyle w:val="ListParagraph"/>
        <w:widowControl w:val="0"/>
        <w:numPr>
          <w:ilvl w:val="0"/>
          <w:numId w:val="8"/>
        </w:numPr>
        <w:autoSpaceDE w:val="0"/>
        <w:autoSpaceDN w:val="0"/>
        <w:spacing w:after="0" w:line="240" w:lineRule="auto"/>
        <w:contextualSpacing w:val="0"/>
      </w:pPr>
      <w:r w:rsidRPr="007C4686">
        <w:t>DST webpage views</w:t>
      </w:r>
    </w:p>
    <w:p w14:paraId="2B6AF180" w14:textId="77777777" w:rsidR="009C55C9" w:rsidRPr="00404B9B" w:rsidRDefault="009C55C9" w:rsidP="009C55C9">
      <w:pPr>
        <w:pStyle w:val="NoSpacing"/>
        <w:jc w:val="both"/>
        <w:rPr>
          <w:rFonts w:ascii="Calibri Light" w:eastAsia="Calibri" w:hAnsi="Calibri Light" w:cs="Calibri Light"/>
          <w:color w:val="2F5496" w:themeColor="accent1" w:themeShade="BF"/>
          <w:lang w:bidi="en-US"/>
        </w:rPr>
      </w:pPr>
    </w:p>
    <w:p w14:paraId="40BF7293" w14:textId="77777777" w:rsidR="009C55C9" w:rsidRDefault="009C55C9" w:rsidP="009C55C9">
      <w:pPr>
        <w:pStyle w:val="NormalWeb"/>
        <w:jc w:val="both"/>
        <w:rPr>
          <w:rFonts w:asciiTheme="minorHAnsi" w:hAnsiTheme="minorHAnsi" w:cstheme="minorHAnsi"/>
          <w:color w:val="444444"/>
          <w:sz w:val="22"/>
          <w:szCs w:val="22"/>
        </w:rPr>
      </w:pPr>
    </w:p>
    <w:p w14:paraId="0B9B384A" w14:textId="77777777" w:rsidR="009C55C9" w:rsidRDefault="009C55C9" w:rsidP="009C55C9">
      <w:pPr>
        <w:pStyle w:val="NormalWeb"/>
        <w:jc w:val="both"/>
        <w:rPr>
          <w:rFonts w:ascii="Calibri Light" w:eastAsia="Calibri Light" w:hAnsi="Calibri Light" w:cs="Calibri Light"/>
          <w:color w:val="2F5496" w:themeColor="accent1" w:themeShade="BF"/>
          <w:sz w:val="32"/>
          <w:szCs w:val="32"/>
          <w:lang w:bidi="ar-SA"/>
        </w:rPr>
      </w:pPr>
      <w:r w:rsidRPr="000A5C5F">
        <w:rPr>
          <w:rFonts w:ascii="Calibri Light" w:eastAsia="Calibri Light" w:hAnsi="Calibri Light" w:cs="Calibri Light"/>
          <w:color w:val="2F5496" w:themeColor="accent1" w:themeShade="BF"/>
          <w:sz w:val="32"/>
          <w:szCs w:val="32"/>
          <w:lang w:bidi="ar-SA"/>
        </w:rPr>
        <w:t>Changes to discount deduction arrangements</w:t>
      </w:r>
    </w:p>
    <w:p w14:paraId="5CCB1BEA" w14:textId="77777777" w:rsidR="009C55C9" w:rsidRDefault="009C55C9" w:rsidP="009C55C9">
      <w:pPr>
        <w:pStyle w:val="NormalWeb"/>
        <w:jc w:val="both"/>
        <w:rPr>
          <w:rFonts w:ascii="Calibri Light" w:eastAsia="Calibri Light" w:hAnsi="Calibri Light" w:cs="Calibri Light"/>
          <w:color w:val="2F5496" w:themeColor="accent1" w:themeShade="BF"/>
          <w:sz w:val="22"/>
          <w:szCs w:val="22"/>
          <w:lang w:bidi="ar-SA"/>
        </w:rPr>
      </w:pPr>
    </w:p>
    <w:p w14:paraId="76FAC036" w14:textId="77777777" w:rsidR="009C55C9" w:rsidRDefault="009C55C9" w:rsidP="009C55C9">
      <w:pPr>
        <w:pStyle w:val="NormalWeb"/>
        <w:jc w:val="both"/>
      </w:pPr>
      <w:r w:rsidRPr="772CD7E5">
        <w:rPr>
          <w:rFonts w:asciiTheme="minorHAnsi" w:hAnsiTheme="minorHAnsi" w:cstheme="minorBidi"/>
          <w:sz w:val="22"/>
          <w:szCs w:val="22"/>
        </w:rPr>
        <w:t>New arrangements for the application of discount deduction to community pharmacy payments have been agreed by PSNC and the Department of Health and Social Care (DHSC). The changes to discount deduction arrangements form part of a series drug reimbursement reforms proposed by DHSC following a </w:t>
      </w:r>
      <w:hyperlink r:id="rId13">
        <w:r w:rsidRPr="772CD7E5">
          <w:rPr>
            <w:rStyle w:val="Hyperlink"/>
            <w:rFonts w:asciiTheme="minorHAnsi" w:hAnsiTheme="minorHAnsi" w:cstheme="minorBidi"/>
            <w:b/>
            <w:bCs/>
            <w:color w:val="auto"/>
            <w:sz w:val="22"/>
            <w:szCs w:val="22"/>
          </w:rPr>
          <w:t>public consultation</w:t>
        </w:r>
      </w:hyperlink>
      <w:r w:rsidRPr="772CD7E5">
        <w:rPr>
          <w:rFonts w:asciiTheme="minorHAnsi" w:hAnsiTheme="minorHAnsi" w:cstheme="minorBidi"/>
          <w:sz w:val="22"/>
          <w:szCs w:val="22"/>
        </w:rPr>
        <w:t> in 2019.</w:t>
      </w:r>
    </w:p>
    <w:p w14:paraId="0CACE084" w14:textId="77777777" w:rsidR="009C55C9" w:rsidRDefault="009C55C9" w:rsidP="009C55C9">
      <w:pPr>
        <w:pStyle w:val="NormalWeb"/>
        <w:jc w:val="both"/>
        <w:rPr>
          <w:rFonts w:asciiTheme="minorHAnsi" w:eastAsia="Times New Roman" w:hAnsiTheme="minorHAnsi" w:cstheme="minorBidi"/>
          <w:sz w:val="22"/>
          <w:szCs w:val="22"/>
          <w:lang w:bidi="ar-SA"/>
        </w:rPr>
      </w:pPr>
    </w:p>
    <w:p w14:paraId="5F2DD608" w14:textId="77777777" w:rsidR="009C55C9" w:rsidRDefault="009C55C9" w:rsidP="009C55C9">
      <w:pPr>
        <w:pStyle w:val="NormalWeb"/>
        <w:jc w:val="both"/>
        <w:rPr>
          <w:rFonts w:asciiTheme="minorHAnsi" w:eastAsiaTheme="minorEastAsia" w:hAnsiTheme="minorHAnsi" w:cstheme="minorBidi"/>
          <w:sz w:val="22"/>
          <w:szCs w:val="22"/>
        </w:rPr>
      </w:pPr>
      <w:r w:rsidRPr="772CD7E5">
        <w:rPr>
          <w:rFonts w:asciiTheme="minorHAnsi" w:eastAsiaTheme="minorEastAsia" w:hAnsiTheme="minorHAnsi" w:cstheme="minorBidi"/>
          <w:sz w:val="22"/>
          <w:szCs w:val="22"/>
        </w:rPr>
        <w:t>The new discount deduction system will see the current single scale split into three groups: one each for generic medicines, branded medicines, and appliances. Separate fixed rates have been determined for each group as follows:</w:t>
      </w:r>
    </w:p>
    <w:p w14:paraId="7C78E5F1" w14:textId="77777777" w:rsidR="009C55C9" w:rsidRPr="00055AA2" w:rsidRDefault="009C55C9" w:rsidP="00AF46FC">
      <w:pPr>
        <w:pStyle w:val="ListParagraph"/>
        <w:widowControl w:val="0"/>
        <w:numPr>
          <w:ilvl w:val="0"/>
          <w:numId w:val="7"/>
        </w:numPr>
        <w:autoSpaceDE w:val="0"/>
        <w:autoSpaceDN w:val="0"/>
        <w:spacing w:after="0" w:line="240" w:lineRule="auto"/>
        <w:contextualSpacing w:val="0"/>
        <w:jc w:val="both"/>
        <w:rPr>
          <w:rFonts w:eastAsiaTheme="minorEastAsia"/>
          <w:b/>
          <w:bCs/>
          <w:color w:val="000000" w:themeColor="text1"/>
        </w:rPr>
      </w:pPr>
      <w:r w:rsidRPr="772CD7E5">
        <w:rPr>
          <w:b/>
          <w:bCs/>
        </w:rPr>
        <w:t xml:space="preserve">Appliances: </w:t>
      </w:r>
      <w:r w:rsidRPr="772CD7E5">
        <w:t xml:space="preserve">Products listed in </w:t>
      </w:r>
      <w:r w:rsidRPr="772CD7E5">
        <w:rPr>
          <w:b/>
          <w:bCs/>
        </w:rPr>
        <w:t xml:space="preserve">Part IX </w:t>
      </w:r>
      <w:r w:rsidRPr="772CD7E5">
        <w:t xml:space="preserve">of the Drug Tariff will be deducted at </w:t>
      </w:r>
      <w:r w:rsidRPr="772CD7E5">
        <w:rPr>
          <w:b/>
          <w:bCs/>
        </w:rPr>
        <w:t>9.85%</w:t>
      </w:r>
      <w:r w:rsidRPr="772CD7E5">
        <w:t>.</w:t>
      </w:r>
    </w:p>
    <w:p w14:paraId="451A441D" w14:textId="77777777" w:rsidR="009C55C9" w:rsidRDefault="009C55C9" w:rsidP="009C55C9">
      <w:pPr>
        <w:pStyle w:val="ListParagraph"/>
        <w:jc w:val="both"/>
        <w:rPr>
          <w:rFonts w:eastAsiaTheme="minorEastAsia"/>
          <w:b/>
          <w:bCs/>
          <w:color w:val="000000" w:themeColor="text1"/>
        </w:rPr>
      </w:pPr>
    </w:p>
    <w:p w14:paraId="1BB3E63A" w14:textId="77777777" w:rsidR="009C55C9" w:rsidRPr="00055AA2" w:rsidRDefault="009C55C9" w:rsidP="00AF46FC">
      <w:pPr>
        <w:pStyle w:val="ListParagraph"/>
        <w:widowControl w:val="0"/>
        <w:numPr>
          <w:ilvl w:val="0"/>
          <w:numId w:val="7"/>
        </w:numPr>
        <w:autoSpaceDE w:val="0"/>
        <w:autoSpaceDN w:val="0"/>
        <w:spacing w:after="0" w:line="240" w:lineRule="auto"/>
        <w:contextualSpacing w:val="0"/>
        <w:jc w:val="both"/>
        <w:rPr>
          <w:rFonts w:eastAsiaTheme="minorEastAsia"/>
          <w:b/>
          <w:bCs/>
          <w:color w:val="000000" w:themeColor="text1"/>
        </w:rPr>
      </w:pPr>
      <w:r w:rsidRPr="772CD7E5">
        <w:rPr>
          <w:b/>
          <w:bCs/>
        </w:rPr>
        <w:t>Generic medicines:</w:t>
      </w:r>
      <w:r w:rsidRPr="772CD7E5">
        <w:t xml:space="preserve"> Products listed in Part VIIIA of the Drug Tariff and categorised in accordance with that Part as being in </w:t>
      </w:r>
      <w:r w:rsidRPr="772CD7E5">
        <w:rPr>
          <w:b/>
          <w:bCs/>
        </w:rPr>
        <w:t xml:space="preserve">Categories A and M </w:t>
      </w:r>
      <w:r w:rsidRPr="772CD7E5">
        <w:t xml:space="preserve">will be deducted at </w:t>
      </w:r>
      <w:r w:rsidRPr="772CD7E5">
        <w:rPr>
          <w:b/>
          <w:bCs/>
        </w:rPr>
        <w:t>17.52%</w:t>
      </w:r>
      <w:r w:rsidRPr="772CD7E5">
        <w:t>.</w:t>
      </w:r>
    </w:p>
    <w:p w14:paraId="5F9402CE" w14:textId="77777777" w:rsidR="009C55C9" w:rsidRDefault="009C55C9" w:rsidP="009C55C9">
      <w:pPr>
        <w:pStyle w:val="ListParagraph"/>
        <w:jc w:val="both"/>
        <w:rPr>
          <w:rFonts w:eastAsiaTheme="minorEastAsia"/>
          <w:b/>
          <w:bCs/>
          <w:color w:val="000000" w:themeColor="text1"/>
        </w:rPr>
      </w:pPr>
    </w:p>
    <w:p w14:paraId="4C3C7A78" w14:textId="77777777" w:rsidR="009C55C9" w:rsidRDefault="009C55C9" w:rsidP="00AF46FC">
      <w:pPr>
        <w:pStyle w:val="ListParagraph"/>
        <w:widowControl w:val="0"/>
        <w:numPr>
          <w:ilvl w:val="0"/>
          <w:numId w:val="7"/>
        </w:numPr>
        <w:autoSpaceDE w:val="0"/>
        <w:autoSpaceDN w:val="0"/>
        <w:spacing w:after="0" w:line="240" w:lineRule="auto"/>
        <w:contextualSpacing w:val="0"/>
        <w:jc w:val="both"/>
        <w:rPr>
          <w:rFonts w:eastAsiaTheme="minorEastAsia"/>
          <w:b/>
          <w:bCs/>
          <w:color w:val="000000" w:themeColor="text1"/>
        </w:rPr>
      </w:pPr>
      <w:r w:rsidRPr="772CD7E5">
        <w:rPr>
          <w:b/>
          <w:bCs/>
        </w:rPr>
        <w:t>Branded medicines: Any other product</w:t>
      </w:r>
      <w:r w:rsidRPr="772CD7E5">
        <w:t xml:space="preserve">, i.e. those which are neither listed appliances in Part IX, nor generic medicines that are in Categories A or M of the Drug Tariff, will be deducted at </w:t>
      </w:r>
      <w:r w:rsidRPr="772CD7E5">
        <w:rPr>
          <w:b/>
          <w:bCs/>
        </w:rPr>
        <w:t>5%</w:t>
      </w:r>
      <w:r w:rsidRPr="772CD7E5">
        <w:t>.</w:t>
      </w:r>
    </w:p>
    <w:p w14:paraId="47331B12" w14:textId="77777777" w:rsidR="009C55C9" w:rsidRDefault="009C55C9" w:rsidP="009C55C9">
      <w:pPr>
        <w:jc w:val="both"/>
      </w:pPr>
      <w:r>
        <w:br/>
      </w:r>
      <w:r w:rsidRPr="772CD7E5">
        <w:t>Note: In a month where a</w:t>
      </w:r>
      <w:r w:rsidRPr="772CD7E5">
        <w:rPr>
          <w:b/>
          <w:bCs/>
        </w:rPr>
        <w:t xml:space="preserve"> concessionary price</w:t>
      </w:r>
      <w:r w:rsidRPr="772CD7E5">
        <w:t xml:space="preserve"> is granted for a generic medicine listed in Category A or M of the Drug Tariff, the</w:t>
      </w:r>
      <w:r w:rsidRPr="772CD7E5">
        <w:rPr>
          <w:b/>
          <w:bCs/>
        </w:rPr>
        <w:t xml:space="preserve"> Branded medicines </w:t>
      </w:r>
      <w:r w:rsidRPr="772CD7E5">
        <w:t>rate of</w:t>
      </w:r>
      <w:r w:rsidRPr="772CD7E5">
        <w:rPr>
          <w:b/>
          <w:bCs/>
        </w:rPr>
        <w:t xml:space="preserve"> 5%</w:t>
      </w:r>
      <w:r w:rsidRPr="772CD7E5">
        <w:t xml:space="preserve"> will apply to that medicine.</w:t>
      </w:r>
    </w:p>
    <w:p w14:paraId="0EA25457" w14:textId="77777777" w:rsidR="009C55C9" w:rsidRDefault="009C55C9" w:rsidP="009C55C9">
      <w:pPr>
        <w:pStyle w:val="NormalWeb"/>
        <w:jc w:val="both"/>
      </w:pPr>
    </w:p>
    <w:p w14:paraId="048A3612" w14:textId="77777777" w:rsidR="009C55C9" w:rsidRPr="00E5397E" w:rsidRDefault="009C55C9" w:rsidP="009C55C9">
      <w:pPr>
        <w:pStyle w:val="NormalWeb"/>
        <w:jc w:val="both"/>
        <w:rPr>
          <w:rFonts w:asciiTheme="minorHAnsi" w:hAnsiTheme="minorHAnsi" w:cstheme="minorBidi"/>
          <w:sz w:val="22"/>
          <w:szCs w:val="22"/>
        </w:rPr>
      </w:pPr>
      <w:r w:rsidRPr="772CD7E5">
        <w:rPr>
          <w:rFonts w:asciiTheme="minorHAnsi" w:hAnsiTheme="minorHAnsi" w:cstheme="minorBidi"/>
          <w:sz w:val="22"/>
          <w:szCs w:val="22"/>
        </w:rPr>
        <w:t xml:space="preserve">From October 2022, discount deductions will begin transitioning to these new arrangements. The transition will take place over six financial quarters, concluding in January 2024 when contractors’ discount deduction will be calculated solely using the new fixed rates for each group. </w:t>
      </w:r>
      <w:r w:rsidRPr="772CD7E5">
        <w:rPr>
          <w:rFonts w:asciiTheme="minorHAnsi" w:eastAsiaTheme="minorEastAsia" w:hAnsiTheme="minorHAnsi" w:cstheme="minorBidi"/>
          <w:color w:val="444444"/>
          <w:sz w:val="22"/>
          <w:szCs w:val="22"/>
        </w:rPr>
        <w:t>E</w:t>
      </w:r>
      <w:r w:rsidRPr="772CD7E5">
        <w:rPr>
          <w:rFonts w:asciiTheme="minorHAnsi" w:eastAsiaTheme="minorEastAsia" w:hAnsiTheme="minorHAnsi" w:cstheme="minorBidi"/>
          <w:sz w:val="22"/>
          <w:szCs w:val="22"/>
        </w:rPr>
        <w:t xml:space="preserve">very quarter the deduction will move more towards the new rates, with a variable weighting of the old rates and the new rates being applied as set out </w:t>
      </w:r>
      <w:r w:rsidRPr="772CD7E5">
        <w:rPr>
          <w:rFonts w:asciiTheme="minorHAnsi" w:eastAsiaTheme="minorEastAsia" w:hAnsiTheme="minorHAnsi" w:cstheme="minorBidi"/>
          <w:sz w:val="22"/>
          <w:szCs w:val="22"/>
        </w:rPr>
        <w:lastRenderedPageBreak/>
        <w:t>in the table below:</w:t>
      </w:r>
      <w:r>
        <w:br/>
      </w:r>
    </w:p>
    <w:tbl>
      <w:tblPr>
        <w:tblStyle w:val="TableGrid1"/>
        <w:tblW w:w="0" w:type="auto"/>
        <w:tblInd w:w="0" w:type="dxa"/>
        <w:tblLayout w:type="fixed"/>
        <w:tblLook w:val="06A0" w:firstRow="1" w:lastRow="0" w:firstColumn="1" w:lastColumn="0" w:noHBand="1" w:noVBand="1"/>
      </w:tblPr>
      <w:tblGrid>
        <w:gridCol w:w="3585"/>
        <w:gridCol w:w="1500"/>
        <w:gridCol w:w="1680"/>
      </w:tblGrid>
      <w:tr w:rsidR="009C55C9" w14:paraId="4C273899" w14:textId="77777777" w:rsidTr="00BF374D">
        <w:trPr>
          <w:trHeight w:val="150"/>
          <w:tblHeader/>
        </w:trPr>
        <w:tc>
          <w:tcPr>
            <w:tcW w:w="3585" w:type="dxa"/>
          </w:tcPr>
          <w:p w14:paraId="45490750" w14:textId="77777777" w:rsidR="009C55C9" w:rsidRDefault="009C55C9" w:rsidP="00BF374D">
            <w:r w:rsidRPr="772CD7E5">
              <w:rPr>
                <w:b/>
                <w:bCs/>
                <w:color w:val="55318C"/>
                <w:sz w:val="24"/>
                <w:szCs w:val="24"/>
              </w:rPr>
              <w:t>Time period</w:t>
            </w:r>
          </w:p>
        </w:tc>
        <w:tc>
          <w:tcPr>
            <w:tcW w:w="1500" w:type="dxa"/>
          </w:tcPr>
          <w:p w14:paraId="1DAA5970" w14:textId="77777777" w:rsidR="009C55C9" w:rsidRDefault="009C55C9" w:rsidP="00BF374D">
            <w:r w:rsidRPr="772CD7E5">
              <w:rPr>
                <w:b/>
                <w:bCs/>
                <w:color w:val="55318C"/>
                <w:sz w:val="24"/>
                <w:szCs w:val="24"/>
              </w:rPr>
              <w:t>Old rate weighting</w:t>
            </w:r>
          </w:p>
        </w:tc>
        <w:tc>
          <w:tcPr>
            <w:tcW w:w="1680" w:type="dxa"/>
          </w:tcPr>
          <w:p w14:paraId="2B35DB35" w14:textId="77777777" w:rsidR="009C55C9" w:rsidRDefault="009C55C9" w:rsidP="00BF374D">
            <w:r w:rsidRPr="772CD7E5">
              <w:rPr>
                <w:b/>
                <w:bCs/>
                <w:color w:val="55318C"/>
                <w:sz w:val="24"/>
                <w:szCs w:val="24"/>
              </w:rPr>
              <w:t>New rate weighting</w:t>
            </w:r>
          </w:p>
        </w:tc>
      </w:tr>
      <w:tr w:rsidR="009C55C9" w14:paraId="1DDC765A" w14:textId="77777777" w:rsidTr="00BF374D">
        <w:trPr>
          <w:trHeight w:val="150"/>
        </w:trPr>
        <w:tc>
          <w:tcPr>
            <w:tcW w:w="3585" w:type="dxa"/>
          </w:tcPr>
          <w:p w14:paraId="17B33634" w14:textId="77777777" w:rsidR="009C55C9" w:rsidRDefault="009C55C9" w:rsidP="00BF374D">
            <w:r w:rsidRPr="772CD7E5">
              <w:t>October 2022 – December 2022</w:t>
            </w:r>
          </w:p>
        </w:tc>
        <w:tc>
          <w:tcPr>
            <w:tcW w:w="1500" w:type="dxa"/>
          </w:tcPr>
          <w:p w14:paraId="51331C97" w14:textId="77777777" w:rsidR="009C55C9" w:rsidRDefault="009C55C9" w:rsidP="00BF374D">
            <w:r w:rsidRPr="772CD7E5">
              <w:t>85%</w:t>
            </w:r>
          </w:p>
        </w:tc>
        <w:tc>
          <w:tcPr>
            <w:tcW w:w="1680" w:type="dxa"/>
          </w:tcPr>
          <w:p w14:paraId="30DCB36F" w14:textId="77777777" w:rsidR="009C55C9" w:rsidRDefault="009C55C9" w:rsidP="00BF374D">
            <w:r w:rsidRPr="772CD7E5">
              <w:t>15%</w:t>
            </w:r>
          </w:p>
        </w:tc>
      </w:tr>
      <w:tr w:rsidR="009C55C9" w14:paraId="36F16DE4" w14:textId="77777777" w:rsidTr="00BF374D">
        <w:trPr>
          <w:trHeight w:val="150"/>
        </w:trPr>
        <w:tc>
          <w:tcPr>
            <w:tcW w:w="3585" w:type="dxa"/>
          </w:tcPr>
          <w:p w14:paraId="2DB52A0C" w14:textId="77777777" w:rsidR="009C55C9" w:rsidRDefault="009C55C9" w:rsidP="00BF374D">
            <w:r w:rsidRPr="772CD7E5">
              <w:t>January 2023 – March 2023</w:t>
            </w:r>
          </w:p>
        </w:tc>
        <w:tc>
          <w:tcPr>
            <w:tcW w:w="1500" w:type="dxa"/>
          </w:tcPr>
          <w:p w14:paraId="1A1ACF8D" w14:textId="77777777" w:rsidR="009C55C9" w:rsidRDefault="009C55C9" w:rsidP="00BF374D">
            <w:r w:rsidRPr="772CD7E5">
              <w:t>70%</w:t>
            </w:r>
          </w:p>
        </w:tc>
        <w:tc>
          <w:tcPr>
            <w:tcW w:w="1680" w:type="dxa"/>
          </w:tcPr>
          <w:p w14:paraId="119908C0" w14:textId="77777777" w:rsidR="009C55C9" w:rsidRDefault="009C55C9" w:rsidP="00BF374D">
            <w:r w:rsidRPr="772CD7E5">
              <w:t>30%</w:t>
            </w:r>
          </w:p>
        </w:tc>
      </w:tr>
      <w:tr w:rsidR="009C55C9" w14:paraId="2DF13269" w14:textId="77777777" w:rsidTr="00BF374D">
        <w:trPr>
          <w:trHeight w:val="150"/>
        </w:trPr>
        <w:tc>
          <w:tcPr>
            <w:tcW w:w="3585" w:type="dxa"/>
          </w:tcPr>
          <w:p w14:paraId="671189E2" w14:textId="77777777" w:rsidR="009C55C9" w:rsidRDefault="009C55C9" w:rsidP="00BF374D">
            <w:r w:rsidRPr="772CD7E5">
              <w:t>April 2023 – June 2023</w:t>
            </w:r>
          </w:p>
        </w:tc>
        <w:tc>
          <w:tcPr>
            <w:tcW w:w="1500" w:type="dxa"/>
          </w:tcPr>
          <w:p w14:paraId="26E39CF0" w14:textId="77777777" w:rsidR="009C55C9" w:rsidRDefault="009C55C9" w:rsidP="00BF374D">
            <w:r w:rsidRPr="772CD7E5">
              <w:t>50%</w:t>
            </w:r>
          </w:p>
        </w:tc>
        <w:tc>
          <w:tcPr>
            <w:tcW w:w="1680" w:type="dxa"/>
          </w:tcPr>
          <w:p w14:paraId="05086401" w14:textId="77777777" w:rsidR="009C55C9" w:rsidRDefault="009C55C9" w:rsidP="00BF374D">
            <w:r w:rsidRPr="772CD7E5">
              <w:t>50%</w:t>
            </w:r>
          </w:p>
        </w:tc>
      </w:tr>
      <w:tr w:rsidR="009C55C9" w14:paraId="0E5F8DBD" w14:textId="77777777" w:rsidTr="00BF374D">
        <w:trPr>
          <w:trHeight w:val="150"/>
        </w:trPr>
        <w:tc>
          <w:tcPr>
            <w:tcW w:w="3585" w:type="dxa"/>
          </w:tcPr>
          <w:p w14:paraId="1927BAE4" w14:textId="77777777" w:rsidR="009C55C9" w:rsidRDefault="009C55C9" w:rsidP="00BF374D">
            <w:r w:rsidRPr="772CD7E5">
              <w:t>July 2023 – September 2023</w:t>
            </w:r>
          </w:p>
        </w:tc>
        <w:tc>
          <w:tcPr>
            <w:tcW w:w="1500" w:type="dxa"/>
          </w:tcPr>
          <w:p w14:paraId="24398104" w14:textId="77777777" w:rsidR="009C55C9" w:rsidRDefault="009C55C9" w:rsidP="00BF374D">
            <w:r w:rsidRPr="772CD7E5">
              <w:t>30%</w:t>
            </w:r>
          </w:p>
        </w:tc>
        <w:tc>
          <w:tcPr>
            <w:tcW w:w="1680" w:type="dxa"/>
          </w:tcPr>
          <w:p w14:paraId="4D17352B" w14:textId="77777777" w:rsidR="009C55C9" w:rsidRDefault="009C55C9" w:rsidP="00BF374D">
            <w:r w:rsidRPr="772CD7E5">
              <w:t>70%</w:t>
            </w:r>
          </w:p>
        </w:tc>
      </w:tr>
      <w:tr w:rsidR="009C55C9" w14:paraId="1847D950" w14:textId="77777777" w:rsidTr="00BF374D">
        <w:trPr>
          <w:trHeight w:val="150"/>
        </w:trPr>
        <w:tc>
          <w:tcPr>
            <w:tcW w:w="3585" w:type="dxa"/>
          </w:tcPr>
          <w:p w14:paraId="02CD3A58" w14:textId="77777777" w:rsidR="009C55C9" w:rsidRDefault="009C55C9" w:rsidP="00BF374D">
            <w:r w:rsidRPr="772CD7E5">
              <w:t>October 2023 – December 2023</w:t>
            </w:r>
          </w:p>
        </w:tc>
        <w:tc>
          <w:tcPr>
            <w:tcW w:w="1500" w:type="dxa"/>
          </w:tcPr>
          <w:p w14:paraId="1643FBAB" w14:textId="77777777" w:rsidR="009C55C9" w:rsidRDefault="009C55C9" w:rsidP="00BF374D">
            <w:r w:rsidRPr="772CD7E5">
              <w:t>15%</w:t>
            </w:r>
          </w:p>
        </w:tc>
        <w:tc>
          <w:tcPr>
            <w:tcW w:w="1680" w:type="dxa"/>
          </w:tcPr>
          <w:p w14:paraId="491A7D5B" w14:textId="77777777" w:rsidR="009C55C9" w:rsidRDefault="009C55C9" w:rsidP="00BF374D">
            <w:r w:rsidRPr="772CD7E5">
              <w:t>85%</w:t>
            </w:r>
          </w:p>
        </w:tc>
      </w:tr>
      <w:tr w:rsidR="009C55C9" w14:paraId="46B9337B" w14:textId="77777777" w:rsidTr="00BF374D">
        <w:trPr>
          <w:trHeight w:val="150"/>
        </w:trPr>
        <w:tc>
          <w:tcPr>
            <w:tcW w:w="3585" w:type="dxa"/>
          </w:tcPr>
          <w:p w14:paraId="17688FF5" w14:textId="77777777" w:rsidR="009C55C9" w:rsidRDefault="009C55C9" w:rsidP="00BF374D">
            <w:r w:rsidRPr="772CD7E5">
              <w:t>January 2024 onwards</w:t>
            </w:r>
          </w:p>
        </w:tc>
        <w:tc>
          <w:tcPr>
            <w:tcW w:w="1500" w:type="dxa"/>
          </w:tcPr>
          <w:p w14:paraId="21675ED5" w14:textId="77777777" w:rsidR="009C55C9" w:rsidRDefault="009C55C9" w:rsidP="00BF374D">
            <w:r w:rsidRPr="772CD7E5">
              <w:t>0%</w:t>
            </w:r>
          </w:p>
        </w:tc>
        <w:tc>
          <w:tcPr>
            <w:tcW w:w="1680" w:type="dxa"/>
          </w:tcPr>
          <w:p w14:paraId="15ADC708" w14:textId="77777777" w:rsidR="009C55C9" w:rsidRDefault="009C55C9" w:rsidP="00BF374D">
            <w:r w:rsidRPr="772CD7E5">
              <w:t>100%</w:t>
            </w:r>
          </w:p>
        </w:tc>
      </w:tr>
    </w:tbl>
    <w:p w14:paraId="49F8CAA7" w14:textId="77777777" w:rsidR="009C55C9" w:rsidRPr="00E5397E" w:rsidRDefault="009C55C9" w:rsidP="009C55C9">
      <w:pPr>
        <w:pStyle w:val="NormalWeb"/>
        <w:jc w:val="both"/>
      </w:pPr>
    </w:p>
    <w:p w14:paraId="688341C1" w14:textId="77777777" w:rsidR="009C55C9" w:rsidRDefault="009C55C9" w:rsidP="009C55C9">
      <w:pPr>
        <w:pStyle w:val="NormalWeb"/>
        <w:jc w:val="both"/>
      </w:pPr>
      <w:r w:rsidRPr="772CD7E5">
        <w:rPr>
          <w:rFonts w:asciiTheme="minorHAnsi" w:eastAsiaTheme="minorEastAsia" w:hAnsiTheme="minorHAnsi" w:cstheme="minorBidi"/>
          <w:sz w:val="22"/>
          <w:szCs w:val="22"/>
        </w:rPr>
        <w:t>Accordingly, two calculations will be made, one in reliance on the old rates and one in reliance on the new rates, and the total discount will be the weighted total of those two discount calculations added together.</w:t>
      </w:r>
    </w:p>
    <w:p w14:paraId="0E7E8832" w14:textId="77777777" w:rsidR="009C55C9" w:rsidRPr="00E5397E" w:rsidRDefault="009C55C9" w:rsidP="009C55C9">
      <w:pPr>
        <w:pStyle w:val="NormalWeb"/>
        <w:jc w:val="both"/>
        <w:rPr>
          <w:rFonts w:asciiTheme="minorHAnsi" w:eastAsiaTheme="minorEastAsia" w:hAnsiTheme="minorHAnsi" w:cstheme="minorBidi"/>
          <w:sz w:val="22"/>
          <w:szCs w:val="22"/>
        </w:rPr>
      </w:pPr>
    </w:p>
    <w:p w14:paraId="273B9C0A" w14:textId="77777777" w:rsidR="009C55C9" w:rsidRPr="00E5397E" w:rsidRDefault="009C55C9" w:rsidP="009C55C9">
      <w:pPr>
        <w:pStyle w:val="NormalWeb"/>
        <w:jc w:val="both"/>
        <w:rPr>
          <w:rFonts w:asciiTheme="minorHAnsi" w:eastAsia="Times New Roman" w:hAnsiTheme="minorHAnsi" w:cstheme="minorBidi"/>
          <w:sz w:val="22"/>
          <w:szCs w:val="22"/>
          <w:lang w:bidi="ar-SA"/>
        </w:rPr>
      </w:pPr>
      <w:r w:rsidRPr="772CD7E5">
        <w:rPr>
          <w:rFonts w:asciiTheme="minorHAnsi" w:eastAsiaTheme="minorEastAsia" w:hAnsiTheme="minorHAnsi" w:cstheme="minorBidi"/>
          <w:sz w:val="22"/>
          <w:szCs w:val="22"/>
        </w:rPr>
        <w:t xml:space="preserve">Advance notice of these changes are outlined in the Preface section of the September 2022 Drug Tariff. </w:t>
      </w:r>
    </w:p>
    <w:p w14:paraId="34DDF61D" w14:textId="77777777" w:rsidR="009C55C9" w:rsidRPr="00E5397E" w:rsidRDefault="009C55C9" w:rsidP="009C55C9">
      <w:pPr>
        <w:pStyle w:val="NormalWeb"/>
        <w:jc w:val="both"/>
        <w:rPr>
          <w:rFonts w:asciiTheme="minorHAnsi" w:hAnsiTheme="minorHAnsi" w:cstheme="minorBidi"/>
          <w:sz w:val="22"/>
          <w:szCs w:val="22"/>
        </w:rPr>
      </w:pPr>
    </w:p>
    <w:p w14:paraId="42377F24" w14:textId="77777777" w:rsidR="009C55C9" w:rsidRPr="00E5397E" w:rsidRDefault="009C55C9" w:rsidP="009C55C9">
      <w:pPr>
        <w:pStyle w:val="NormalWeb"/>
        <w:jc w:val="both"/>
        <w:rPr>
          <w:rFonts w:asciiTheme="minorHAnsi" w:eastAsia="Times New Roman" w:hAnsiTheme="minorHAnsi" w:cstheme="minorBidi"/>
          <w:b/>
          <w:bCs/>
          <w:sz w:val="22"/>
          <w:szCs w:val="22"/>
          <w:lang w:bidi="ar-SA"/>
        </w:rPr>
      </w:pPr>
      <w:r w:rsidRPr="772CD7E5">
        <w:rPr>
          <w:rFonts w:asciiTheme="minorHAnsi" w:hAnsiTheme="minorHAnsi" w:cstheme="minorBidi"/>
          <w:b/>
          <w:bCs/>
          <w:sz w:val="22"/>
          <w:szCs w:val="22"/>
        </w:rPr>
        <w:t>Resources</w:t>
      </w:r>
    </w:p>
    <w:p w14:paraId="6615624A" w14:textId="77777777" w:rsidR="009C55C9" w:rsidRPr="00E5397E" w:rsidRDefault="009C55C9" w:rsidP="009C55C9">
      <w:pPr>
        <w:pStyle w:val="NormalWeb"/>
        <w:jc w:val="both"/>
        <w:rPr>
          <w:rFonts w:asciiTheme="minorHAnsi" w:hAnsiTheme="minorHAnsi" w:cstheme="minorBidi"/>
          <w:sz w:val="22"/>
          <w:szCs w:val="22"/>
        </w:rPr>
      </w:pPr>
      <w:r w:rsidRPr="772CD7E5">
        <w:rPr>
          <w:rFonts w:asciiTheme="minorHAnsi" w:hAnsiTheme="minorHAnsi" w:cstheme="minorBidi"/>
          <w:sz w:val="22"/>
          <w:szCs w:val="22"/>
        </w:rPr>
        <w:t>For a more detailed explanation on the background to these changes, how the new arrangements and transition period will work, worked examples, and FAQs, please refer to the following resources produced by PSNC.</w:t>
      </w:r>
    </w:p>
    <w:p w14:paraId="5D68A565" w14:textId="77777777" w:rsidR="009C55C9" w:rsidRPr="00E5397E" w:rsidRDefault="009C55C9" w:rsidP="009C55C9">
      <w:pPr>
        <w:pStyle w:val="NormalWeb"/>
        <w:jc w:val="both"/>
        <w:rPr>
          <w:rFonts w:asciiTheme="minorHAnsi" w:hAnsiTheme="minorHAnsi" w:cstheme="minorHAnsi"/>
          <w:color w:val="444444"/>
          <w:sz w:val="22"/>
          <w:szCs w:val="22"/>
        </w:rPr>
      </w:pPr>
    </w:p>
    <w:p w14:paraId="129DFED8" w14:textId="77777777" w:rsidR="009C55C9" w:rsidRPr="00E5397E" w:rsidRDefault="00000000" w:rsidP="009C55C9">
      <w:pPr>
        <w:pStyle w:val="NormalWeb"/>
        <w:jc w:val="both"/>
        <w:rPr>
          <w:rStyle w:val="Strong"/>
          <w:rFonts w:asciiTheme="minorHAnsi" w:hAnsiTheme="minorHAnsi" w:cstheme="minorBidi"/>
          <w:color w:val="444444"/>
          <w:sz w:val="22"/>
          <w:szCs w:val="22"/>
        </w:rPr>
      </w:pPr>
      <w:hyperlink r:id="rId14">
        <w:r w:rsidR="009C55C9" w:rsidRPr="3C133F8E">
          <w:rPr>
            <w:rStyle w:val="Hyperlink"/>
            <w:rFonts w:asciiTheme="minorHAnsi" w:hAnsiTheme="minorHAnsi" w:cstheme="minorBidi"/>
            <w:b/>
            <w:bCs/>
            <w:color w:val="55318C"/>
            <w:sz w:val="22"/>
            <w:szCs w:val="22"/>
          </w:rPr>
          <w:t>PSNC Briefing 027/22: Discount Deduction Scale changes explained</w:t>
        </w:r>
      </w:hyperlink>
    </w:p>
    <w:p w14:paraId="52464E34" w14:textId="77777777" w:rsidR="009C55C9" w:rsidRPr="00E5397E" w:rsidRDefault="00000000" w:rsidP="009C55C9">
      <w:pPr>
        <w:pStyle w:val="NormalWeb"/>
        <w:jc w:val="both"/>
        <w:rPr>
          <w:rFonts w:asciiTheme="minorHAnsi" w:hAnsiTheme="minorHAnsi" w:cstheme="minorHAnsi"/>
          <w:color w:val="444444"/>
          <w:sz w:val="22"/>
          <w:szCs w:val="22"/>
        </w:rPr>
      </w:pPr>
      <w:hyperlink r:id="rId15" w:tgtFrame="_blank" w:tooltip=" PSNC Briefing 028/22: FAQs on the Changes to the Discount Deduction Scale " w:history="1">
        <w:r w:rsidR="009C55C9" w:rsidRPr="00E5397E">
          <w:rPr>
            <w:rStyle w:val="Hyperlink"/>
            <w:rFonts w:asciiTheme="minorHAnsi" w:hAnsiTheme="minorHAnsi" w:cstheme="minorHAnsi"/>
            <w:b/>
            <w:bCs/>
            <w:color w:val="55318C"/>
            <w:sz w:val="22"/>
            <w:szCs w:val="22"/>
          </w:rPr>
          <w:t>PSNC Briefing 028/22: FAQs on the Changes to the Discount Deduction Scale</w:t>
        </w:r>
      </w:hyperlink>
    </w:p>
    <w:p w14:paraId="6E330165" w14:textId="77777777" w:rsidR="009C55C9" w:rsidRDefault="009C55C9" w:rsidP="009C55C9">
      <w:pPr>
        <w:pStyle w:val="NormalWeb"/>
        <w:jc w:val="both"/>
        <w:rPr>
          <w:rFonts w:ascii="Calibri Light" w:eastAsia="Calibri Light" w:hAnsi="Calibri Light" w:cs="Calibri Light"/>
          <w:color w:val="2F5496" w:themeColor="accent1" w:themeShade="BF"/>
          <w:sz w:val="22"/>
          <w:szCs w:val="22"/>
          <w:lang w:bidi="ar-SA"/>
        </w:rPr>
      </w:pPr>
    </w:p>
    <w:p w14:paraId="35C97E19" w14:textId="77777777" w:rsidR="009C55C9" w:rsidRPr="000A5C5F" w:rsidRDefault="009C55C9" w:rsidP="009C55C9">
      <w:pPr>
        <w:pStyle w:val="NormalWeb"/>
        <w:jc w:val="both"/>
        <w:rPr>
          <w:rFonts w:ascii="Calibri Light" w:eastAsia="Calibri Light" w:hAnsi="Calibri Light" w:cs="Calibri Light"/>
          <w:color w:val="2F5496" w:themeColor="accent1" w:themeShade="BF"/>
          <w:sz w:val="22"/>
          <w:szCs w:val="22"/>
          <w:lang w:bidi="ar-SA"/>
        </w:rPr>
      </w:pPr>
    </w:p>
    <w:p w14:paraId="0DF7490C" w14:textId="77777777" w:rsidR="009C55C9" w:rsidRPr="006B6ABE" w:rsidRDefault="009C55C9" w:rsidP="009C55C9">
      <w:pPr>
        <w:pStyle w:val="NormalWeb"/>
        <w:jc w:val="both"/>
        <w:rPr>
          <w:rStyle w:val="Strong"/>
          <w:rFonts w:asciiTheme="minorHAnsi" w:hAnsiTheme="minorHAnsi" w:cstheme="minorBidi"/>
          <w:color w:val="000000" w:themeColor="text1"/>
          <w:sz w:val="22"/>
          <w:szCs w:val="22"/>
        </w:rPr>
      </w:pPr>
      <w:r w:rsidRPr="00373985">
        <w:rPr>
          <w:rFonts w:ascii="Calibri Light" w:eastAsia="Calibri Light" w:hAnsi="Calibri Light" w:cs="Calibri Light"/>
          <w:color w:val="2F5496" w:themeColor="accent1" w:themeShade="BF"/>
          <w:sz w:val="32"/>
          <w:szCs w:val="32"/>
          <w:lang w:bidi="ar-SA"/>
        </w:rPr>
        <w:t>Adjusted price for Promethazine hydrochloride 10mg tablets following price changes in July 2022</w:t>
      </w:r>
    </w:p>
    <w:p w14:paraId="62B9FB2B" w14:textId="77777777" w:rsidR="009C55C9" w:rsidRDefault="009C55C9" w:rsidP="009C55C9">
      <w:pPr>
        <w:jc w:val="both"/>
        <w:rPr>
          <w:rFonts w:ascii="Calibri Light" w:eastAsia="Calibri Light" w:hAnsi="Calibri Light" w:cs="Calibri Light"/>
          <w:color w:val="2F5496" w:themeColor="accent1" w:themeShade="BF"/>
        </w:rPr>
      </w:pPr>
    </w:p>
    <w:p w14:paraId="13E5881A" w14:textId="77777777" w:rsidR="009C55C9" w:rsidRPr="00696968" w:rsidRDefault="009C55C9" w:rsidP="009C55C9">
      <w:pPr>
        <w:pStyle w:val="NormalWeb"/>
        <w:jc w:val="both"/>
        <w:rPr>
          <w:rFonts w:asciiTheme="minorHAnsi" w:eastAsia="Times New Roman" w:hAnsiTheme="minorHAnsi" w:cstheme="minorHAnsi"/>
          <w:color w:val="000000" w:themeColor="text1"/>
          <w:sz w:val="22"/>
          <w:szCs w:val="22"/>
          <w:lang w:bidi="ar-SA"/>
        </w:rPr>
      </w:pPr>
      <w:r w:rsidRPr="00696968">
        <w:rPr>
          <w:rFonts w:asciiTheme="minorHAnsi" w:hAnsiTheme="minorHAnsi" w:cstheme="minorHAnsi"/>
          <w:color w:val="000000" w:themeColor="text1"/>
          <w:sz w:val="22"/>
          <w:szCs w:val="22"/>
        </w:rPr>
        <w:t>During the month of July 2022, PSNC received several reports from contractors unable to obtain Promethazine hydrochloride 10mg tablets (56) at the published </w:t>
      </w:r>
      <w:hyperlink r:id="rId16" w:history="1">
        <w:r w:rsidRPr="00696968">
          <w:rPr>
            <w:rStyle w:val="Hyperlink"/>
            <w:rFonts w:asciiTheme="minorHAnsi" w:hAnsiTheme="minorHAnsi" w:cstheme="minorHAnsi"/>
            <w:color w:val="000000" w:themeColor="text1"/>
            <w:sz w:val="22"/>
            <w:szCs w:val="22"/>
          </w:rPr>
          <w:t>Drug Tariff</w:t>
        </w:r>
      </w:hyperlink>
      <w:r w:rsidRPr="00696968">
        <w:rPr>
          <w:rFonts w:asciiTheme="minorHAnsi" w:hAnsiTheme="minorHAnsi" w:cstheme="minorHAnsi"/>
          <w:color w:val="000000" w:themeColor="text1"/>
          <w:sz w:val="22"/>
          <w:szCs w:val="22"/>
        </w:rPr>
        <w:t> price of £4.24. PSNC submitted a request for a price concession, which was granted and subsequently published but this was later withdrawn after confirmation from the Department of Health and Social Care (DHSC) that due to the price change mechanism, the reimbursement price for Promethazine hydrochloride 10mg tablets has increased from £4.24 to £17.77 for the month of July 2022. </w:t>
      </w:r>
      <w:r w:rsidRPr="00696968">
        <w:rPr>
          <w:rFonts w:asciiTheme="minorHAnsi" w:hAnsiTheme="minorHAnsi" w:cstheme="minorHAnsi"/>
          <w:b/>
          <w:bCs/>
          <w:color w:val="000000" w:themeColor="text1"/>
          <w:sz w:val="22"/>
          <w:szCs w:val="22"/>
        </w:rPr>
        <w:t>Any prescription for Promethazine hydrochloride 10mg tablets x 56 submitted for payment to the NHSBSA for the month of July 2022 will be reimbursed at the new price of £17.77 (not as per the price concession of £13.45 announced in the </w:t>
      </w:r>
      <w:hyperlink r:id="rId17" w:history="1">
        <w:r w:rsidRPr="00696968">
          <w:rPr>
            <w:rStyle w:val="Hyperlink"/>
            <w:rFonts w:asciiTheme="minorHAnsi" w:hAnsiTheme="minorHAnsi" w:cstheme="minorHAnsi"/>
            <w:b/>
            <w:bCs/>
            <w:color w:val="000000" w:themeColor="text1"/>
            <w:sz w:val="22"/>
            <w:szCs w:val="22"/>
          </w:rPr>
          <w:t>4th concessions update</w:t>
        </w:r>
      </w:hyperlink>
      <w:r w:rsidRPr="00696968">
        <w:rPr>
          <w:rFonts w:asciiTheme="minorHAnsi" w:hAnsiTheme="minorHAnsi" w:cstheme="minorHAnsi"/>
          <w:b/>
          <w:bCs/>
          <w:color w:val="000000" w:themeColor="text1"/>
          <w:sz w:val="22"/>
          <w:szCs w:val="22"/>
        </w:rPr>
        <w:t> published on 29 July 2022)</w:t>
      </w:r>
    </w:p>
    <w:p w14:paraId="67A2FB00" w14:textId="77777777" w:rsidR="009C55C9" w:rsidRPr="00696968" w:rsidRDefault="009C55C9" w:rsidP="009C55C9">
      <w:pPr>
        <w:pStyle w:val="NormalWeb"/>
        <w:jc w:val="both"/>
        <w:rPr>
          <w:rFonts w:asciiTheme="minorHAnsi" w:hAnsiTheme="minorHAnsi" w:cstheme="minorHAnsi"/>
          <w:color w:val="000000" w:themeColor="text1"/>
          <w:sz w:val="22"/>
          <w:szCs w:val="22"/>
        </w:rPr>
      </w:pPr>
    </w:p>
    <w:p w14:paraId="7284199F" w14:textId="77777777" w:rsidR="009C55C9" w:rsidRPr="00696968" w:rsidRDefault="009C55C9" w:rsidP="009C55C9">
      <w:pPr>
        <w:pStyle w:val="NormalWeb"/>
        <w:jc w:val="both"/>
        <w:rPr>
          <w:rFonts w:asciiTheme="minorHAnsi" w:hAnsiTheme="minorHAnsi" w:cstheme="minorBidi"/>
          <w:color w:val="000000" w:themeColor="text1"/>
          <w:sz w:val="22"/>
          <w:szCs w:val="22"/>
        </w:rPr>
      </w:pPr>
      <w:r w:rsidRPr="772CD7E5">
        <w:rPr>
          <w:rFonts w:asciiTheme="minorHAnsi" w:hAnsiTheme="minorHAnsi" w:cstheme="minorBidi"/>
          <w:color w:val="000000" w:themeColor="text1"/>
          <w:sz w:val="22"/>
          <w:szCs w:val="22"/>
        </w:rPr>
        <w:t>Following the price change mechanism rules, for generic drugs (excluding drugs in Category M), a price change up to and including the 8th of the month takes effect for prescriptions dispensed in that same month. Any price change after the 8th takes place in the following month. For example, if a supplier’s list price changed on the 6th of July, the new reimbursement price would apply to prescriptions dispensed in July. If a supplier’s list price for a generic drug changed on the 15th July, the new reimbursement price would apply to prescriptions dispensed in August.</w:t>
      </w:r>
    </w:p>
    <w:p w14:paraId="50D7D4CF" w14:textId="77777777" w:rsidR="009C55C9" w:rsidRPr="00696968" w:rsidRDefault="009C55C9" w:rsidP="009C55C9">
      <w:pPr>
        <w:pStyle w:val="NormalWeb"/>
        <w:jc w:val="both"/>
        <w:rPr>
          <w:rFonts w:asciiTheme="minorHAnsi" w:hAnsiTheme="minorHAnsi" w:cstheme="minorHAnsi"/>
          <w:color w:val="000000" w:themeColor="text1"/>
          <w:sz w:val="22"/>
          <w:szCs w:val="22"/>
        </w:rPr>
      </w:pPr>
    </w:p>
    <w:p w14:paraId="030BE058" w14:textId="77777777" w:rsidR="009C55C9" w:rsidRPr="00696968" w:rsidRDefault="009C55C9" w:rsidP="009C55C9">
      <w:pPr>
        <w:pStyle w:val="NormalWeb"/>
        <w:jc w:val="both"/>
        <w:rPr>
          <w:rFonts w:asciiTheme="minorHAnsi" w:hAnsiTheme="minorHAnsi" w:cstheme="minorHAnsi"/>
          <w:color w:val="000000" w:themeColor="text1"/>
          <w:sz w:val="22"/>
          <w:szCs w:val="22"/>
        </w:rPr>
      </w:pPr>
      <w:r w:rsidRPr="00696968">
        <w:rPr>
          <w:rFonts w:asciiTheme="minorHAnsi" w:hAnsiTheme="minorHAnsi" w:cstheme="minorHAnsi"/>
          <w:color w:val="000000" w:themeColor="text1"/>
          <w:sz w:val="22"/>
          <w:szCs w:val="22"/>
        </w:rPr>
        <w:t>Promethazine hydrochloride 10mg tablets are listed in Category A of the Drug Tariff. Prices of drugs listed in Category A are based on a weighted average of the list prices from 2 mainline wholesalers and 2 generic manufacturers. An increase in mainline wholesaler prices early in July led to an adjustment to the reimbursement price for Promethazine hydrochloride 10mg tablets for July 2022. Contractors should note that the published </w:t>
      </w:r>
      <w:hyperlink r:id="rId18" w:history="1">
        <w:r w:rsidRPr="00696968">
          <w:rPr>
            <w:rStyle w:val="Hyperlink"/>
            <w:rFonts w:asciiTheme="minorHAnsi" w:hAnsiTheme="minorHAnsi" w:cstheme="minorHAnsi"/>
            <w:color w:val="000000" w:themeColor="text1"/>
            <w:sz w:val="22"/>
            <w:szCs w:val="22"/>
          </w:rPr>
          <w:t>Drug Tariff</w:t>
        </w:r>
      </w:hyperlink>
      <w:r w:rsidRPr="00696968">
        <w:rPr>
          <w:rFonts w:asciiTheme="minorHAnsi" w:hAnsiTheme="minorHAnsi" w:cstheme="minorHAnsi"/>
          <w:color w:val="000000" w:themeColor="text1"/>
          <w:sz w:val="22"/>
          <w:szCs w:val="22"/>
        </w:rPr>
        <w:t xml:space="preserve"> for August 2022 reflects the updated price of Promethazine hydrochloride 10mg </w:t>
      </w:r>
      <w:r w:rsidRPr="00696968">
        <w:rPr>
          <w:rFonts w:asciiTheme="minorHAnsi" w:hAnsiTheme="minorHAnsi" w:cstheme="minorHAnsi"/>
          <w:color w:val="000000" w:themeColor="text1"/>
          <w:sz w:val="22"/>
          <w:szCs w:val="22"/>
        </w:rPr>
        <w:lastRenderedPageBreak/>
        <w:t>tablets which is £17.77.</w:t>
      </w:r>
    </w:p>
    <w:p w14:paraId="79AA4CF5" w14:textId="77777777" w:rsidR="009C55C9" w:rsidRPr="00696968" w:rsidRDefault="009C55C9" w:rsidP="009C55C9">
      <w:pPr>
        <w:pStyle w:val="NormalWeb"/>
        <w:jc w:val="both"/>
        <w:rPr>
          <w:rFonts w:asciiTheme="minorHAnsi" w:hAnsiTheme="minorHAnsi" w:cstheme="minorHAnsi"/>
          <w:color w:val="000000" w:themeColor="text1"/>
          <w:sz w:val="22"/>
          <w:szCs w:val="22"/>
        </w:rPr>
      </w:pPr>
      <w:r w:rsidRPr="00696968">
        <w:rPr>
          <w:rFonts w:asciiTheme="minorHAnsi" w:hAnsiTheme="minorHAnsi" w:cstheme="minorHAnsi"/>
          <w:color w:val="000000" w:themeColor="text1"/>
          <w:sz w:val="22"/>
          <w:szCs w:val="22"/>
        </w:rPr>
        <w:t>Click here for more information on the </w:t>
      </w:r>
      <w:hyperlink r:id="rId19" w:history="1">
        <w:r w:rsidRPr="00696968">
          <w:rPr>
            <w:rStyle w:val="Hyperlink"/>
            <w:rFonts w:asciiTheme="minorHAnsi" w:hAnsiTheme="minorHAnsi" w:cstheme="minorHAnsi"/>
            <w:color w:val="000000" w:themeColor="text1"/>
            <w:sz w:val="22"/>
            <w:szCs w:val="22"/>
          </w:rPr>
          <w:t>price change mechanism</w:t>
        </w:r>
      </w:hyperlink>
      <w:r w:rsidRPr="00696968">
        <w:rPr>
          <w:rFonts w:asciiTheme="minorHAnsi" w:hAnsiTheme="minorHAnsi" w:cstheme="minorHAnsi"/>
          <w:color w:val="000000" w:themeColor="text1"/>
          <w:sz w:val="22"/>
          <w:szCs w:val="22"/>
        </w:rPr>
        <w:t>.</w:t>
      </w:r>
    </w:p>
    <w:p w14:paraId="15574DAB" w14:textId="77777777" w:rsidR="009C55C9" w:rsidRDefault="009C55C9" w:rsidP="009C55C9">
      <w:pPr>
        <w:pStyle w:val="NoSpacing"/>
        <w:rPr>
          <w:rFonts w:ascii="Calibri Light" w:eastAsia="Calibri" w:hAnsi="Calibri Light" w:cs="Calibri Light"/>
          <w:color w:val="2F5496" w:themeColor="accent1" w:themeShade="BF"/>
          <w:sz w:val="32"/>
          <w:szCs w:val="32"/>
          <w:lang w:bidi="en-US"/>
        </w:rPr>
      </w:pPr>
      <w:r>
        <w:br/>
      </w:r>
      <w:r w:rsidRPr="772CD7E5">
        <w:rPr>
          <w:rFonts w:ascii="Calibri Light" w:eastAsia="Calibri" w:hAnsi="Calibri Light" w:cs="Calibri Light"/>
          <w:color w:val="2F5496" w:themeColor="accent1" w:themeShade="BF"/>
          <w:sz w:val="32"/>
          <w:szCs w:val="32"/>
          <w:lang w:bidi="en-US"/>
        </w:rPr>
        <w:t>SSP endorsement errors</w:t>
      </w:r>
    </w:p>
    <w:p w14:paraId="514B4A80" w14:textId="77777777" w:rsidR="009C55C9" w:rsidRDefault="009C55C9" w:rsidP="009C55C9">
      <w:pPr>
        <w:jc w:val="both"/>
        <w:rPr>
          <w:color w:val="444444"/>
        </w:rPr>
      </w:pPr>
    </w:p>
    <w:p w14:paraId="5075DEE0" w14:textId="77777777" w:rsidR="009C55C9" w:rsidRPr="00696968" w:rsidRDefault="009C55C9" w:rsidP="009C55C9">
      <w:pPr>
        <w:jc w:val="both"/>
        <w:rPr>
          <w:color w:val="000000" w:themeColor="text1"/>
        </w:rPr>
      </w:pPr>
      <w:r w:rsidRPr="772CD7E5">
        <w:rPr>
          <w:color w:val="000000" w:themeColor="text1"/>
        </w:rPr>
        <w:t>PSNC has been working with NHS Business Services Authority (NHSBSA) to understand whether claims for SSPs are being submitted correctly and in accordance with the specific </w:t>
      </w:r>
      <w:hyperlink r:id="rId20">
        <w:r w:rsidRPr="772CD7E5">
          <w:rPr>
            <w:rStyle w:val="Strong"/>
            <w:color w:val="000000" w:themeColor="text1"/>
            <w:u w:val="single"/>
          </w:rPr>
          <w:t>supporting guidance</w:t>
        </w:r>
      </w:hyperlink>
      <w:r w:rsidRPr="772CD7E5">
        <w:rPr>
          <w:color w:val="000000" w:themeColor="text1"/>
        </w:rPr>
        <w:t> for each SSP. Between 1 April 2022 and 31 May 2022, NHSBSA received several electronic EPS SSP claims which did not meet the requirements for a valid SSP. The reasons for these incorrect/invalid SSP claims were due to:</w:t>
      </w:r>
    </w:p>
    <w:p w14:paraId="54F41110" w14:textId="77777777" w:rsidR="009C55C9" w:rsidRPr="00696968" w:rsidRDefault="009C55C9" w:rsidP="009C55C9">
      <w:pPr>
        <w:jc w:val="both"/>
        <w:rPr>
          <w:rStyle w:val="Strong"/>
          <w:rFonts w:cstheme="minorHAnsi"/>
          <w:color w:val="000000" w:themeColor="text1"/>
        </w:rPr>
      </w:pPr>
    </w:p>
    <w:p w14:paraId="323F7CEA" w14:textId="77777777" w:rsidR="009C55C9" w:rsidRPr="00696968" w:rsidRDefault="009C55C9" w:rsidP="00AF46FC">
      <w:pPr>
        <w:pStyle w:val="ListParagraph"/>
        <w:widowControl w:val="0"/>
        <w:numPr>
          <w:ilvl w:val="0"/>
          <w:numId w:val="19"/>
        </w:numPr>
        <w:autoSpaceDE w:val="0"/>
        <w:autoSpaceDN w:val="0"/>
        <w:spacing w:after="0" w:line="240" w:lineRule="auto"/>
        <w:contextualSpacing w:val="0"/>
        <w:jc w:val="both"/>
        <w:rPr>
          <w:color w:val="000000" w:themeColor="text1"/>
        </w:rPr>
      </w:pPr>
      <w:r w:rsidRPr="00696968">
        <w:rPr>
          <w:rStyle w:val="Strong"/>
          <w:rFonts w:cstheme="minorHAnsi"/>
          <w:color w:val="000000" w:themeColor="text1"/>
        </w:rPr>
        <w:t>Reduced quantity not endorsed</w:t>
      </w:r>
      <w:r w:rsidRPr="00696968">
        <w:rPr>
          <w:color w:val="000000" w:themeColor="text1"/>
        </w:rPr>
        <w:t> – for SSPs that require a reduced quantity to be endorsed, often the endorsed quantity matched the prescribed quantity. Majority of invalid SSP claims were due to this reason.</w:t>
      </w:r>
    </w:p>
    <w:p w14:paraId="48A7D847" w14:textId="77777777" w:rsidR="009C55C9" w:rsidRPr="00696968" w:rsidRDefault="009C55C9" w:rsidP="00AF46FC">
      <w:pPr>
        <w:pStyle w:val="ListParagraph"/>
        <w:widowControl w:val="0"/>
        <w:numPr>
          <w:ilvl w:val="0"/>
          <w:numId w:val="19"/>
        </w:numPr>
        <w:autoSpaceDE w:val="0"/>
        <w:autoSpaceDN w:val="0"/>
        <w:spacing w:after="0" w:line="240" w:lineRule="auto"/>
        <w:contextualSpacing w:val="0"/>
        <w:jc w:val="both"/>
        <w:rPr>
          <w:color w:val="000000" w:themeColor="text1"/>
        </w:rPr>
      </w:pPr>
      <w:r w:rsidRPr="00696968">
        <w:rPr>
          <w:rStyle w:val="Strong"/>
          <w:rFonts w:cstheme="minorHAnsi"/>
          <w:color w:val="000000" w:themeColor="text1"/>
        </w:rPr>
        <w:t>Incorrect item endorsed </w:t>
      </w:r>
      <w:r w:rsidRPr="00696968">
        <w:rPr>
          <w:color w:val="000000" w:themeColor="text1"/>
        </w:rPr>
        <w:t>– for SSPs that require substitution to an alternative product, the endorsed item was almost always the same as original prescribed item.</w:t>
      </w:r>
    </w:p>
    <w:p w14:paraId="6A20E944" w14:textId="77777777" w:rsidR="009C55C9" w:rsidRPr="00696968" w:rsidRDefault="009C55C9" w:rsidP="00AF46FC">
      <w:pPr>
        <w:pStyle w:val="ListParagraph"/>
        <w:widowControl w:val="0"/>
        <w:numPr>
          <w:ilvl w:val="0"/>
          <w:numId w:val="19"/>
        </w:numPr>
        <w:autoSpaceDE w:val="0"/>
        <w:autoSpaceDN w:val="0"/>
        <w:spacing w:after="0" w:line="240" w:lineRule="auto"/>
        <w:contextualSpacing w:val="0"/>
        <w:jc w:val="both"/>
        <w:rPr>
          <w:color w:val="000000" w:themeColor="text1"/>
        </w:rPr>
      </w:pPr>
      <w:r w:rsidRPr="00696968">
        <w:rPr>
          <w:rStyle w:val="Strong"/>
          <w:rFonts w:cstheme="minorHAnsi"/>
          <w:color w:val="000000" w:themeColor="text1"/>
        </w:rPr>
        <w:t>Claims made against items without an active SSP </w:t>
      </w:r>
      <w:r w:rsidRPr="00696968">
        <w:rPr>
          <w:color w:val="000000" w:themeColor="text1"/>
        </w:rPr>
        <w:t>– SSP endorsed against items for which a valid SSP did not exist.</w:t>
      </w:r>
    </w:p>
    <w:p w14:paraId="0BA1CEDE" w14:textId="77777777" w:rsidR="009C55C9" w:rsidRPr="00696968" w:rsidRDefault="009C55C9" w:rsidP="00AF46FC">
      <w:pPr>
        <w:pStyle w:val="ListParagraph"/>
        <w:widowControl w:val="0"/>
        <w:numPr>
          <w:ilvl w:val="0"/>
          <w:numId w:val="19"/>
        </w:numPr>
        <w:autoSpaceDE w:val="0"/>
        <w:autoSpaceDN w:val="0"/>
        <w:spacing w:after="0" w:line="240" w:lineRule="auto"/>
        <w:contextualSpacing w:val="0"/>
        <w:jc w:val="both"/>
        <w:rPr>
          <w:color w:val="000000" w:themeColor="text1"/>
        </w:rPr>
      </w:pPr>
      <w:r w:rsidRPr="00696968">
        <w:rPr>
          <w:rStyle w:val="Strong"/>
          <w:rFonts w:cstheme="minorHAnsi"/>
          <w:color w:val="000000" w:themeColor="text1"/>
        </w:rPr>
        <w:t>Claims for supplies made in accordance with an expired SSP:</w:t>
      </w:r>
    </w:p>
    <w:p w14:paraId="5989C31C" w14:textId="77777777" w:rsidR="009C55C9" w:rsidRPr="00696968" w:rsidRDefault="009C55C9" w:rsidP="00AF46FC">
      <w:pPr>
        <w:pStyle w:val="ListParagraph"/>
        <w:widowControl w:val="0"/>
        <w:numPr>
          <w:ilvl w:val="0"/>
          <w:numId w:val="19"/>
        </w:numPr>
        <w:autoSpaceDE w:val="0"/>
        <w:autoSpaceDN w:val="0"/>
        <w:spacing w:after="0" w:line="240" w:lineRule="auto"/>
        <w:contextualSpacing w:val="0"/>
        <w:jc w:val="both"/>
        <w:rPr>
          <w:color w:val="000000" w:themeColor="text1"/>
        </w:rPr>
      </w:pPr>
      <w:r w:rsidRPr="68F90AE5">
        <w:rPr>
          <w:b/>
          <w:bCs/>
          <w:color w:val="000000" w:themeColor="text1"/>
        </w:rPr>
        <w:t xml:space="preserve">No active SSP in place at the time of supply </w:t>
      </w:r>
      <w:r w:rsidRPr="68F90AE5">
        <w:rPr>
          <w:color w:val="000000" w:themeColor="text1"/>
        </w:rPr>
        <w:t>– i.e. SSP claimed for items on prescriptions issued after SSP expired.</w:t>
      </w:r>
    </w:p>
    <w:p w14:paraId="150EE650" w14:textId="77777777" w:rsidR="009C55C9" w:rsidRPr="00696968" w:rsidRDefault="009C55C9" w:rsidP="00AF46FC">
      <w:pPr>
        <w:pStyle w:val="ListParagraph"/>
        <w:widowControl w:val="0"/>
        <w:numPr>
          <w:ilvl w:val="0"/>
          <w:numId w:val="19"/>
        </w:numPr>
        <w:autoSpaceDE w:val="0"/>
        <w:autoSpaceDN w:val="0"/>
        <w:spacing w:after="0" w:line="240" w:lineRule="auto"/>
        <w:contextualSpacing w:val="0"/>
        <w:jc w:val="both"/>
        <w:rPr>
          <w:rFonts w:eastAsiaTheme="minorEastAsia"/>
          <w:b/>
          <w:bCs/>
          <w:color w:val="000000" w:themeColor="text1"/>
        </w:rPr>
      </w:pPr>
      <w:r w:rsidRPr="68F90AE5">
        <w:rPr>
          <w:rStyle w:val="Strong"/>
          <w:color w:val="000000" w:themeColor="text1"/>
        </w:rPr>
        <w:t>Invalid or incorrect SSP reference number endorsed </w:t>
      </w:r>
      <w:r w:rsidRPr="68F90AE5">
        <w:rPr>
          <w:color w:val="000000" w:themeColor="text1"/>
        </w:rPr>
        <w:t xml:space="preserve">– For example SSP 000, SSP (missing reference number), SSP 028 (incorrect number), SSP 28 (two instead of three digits). </w:t>
      </w:r>
    </w:p>
    <w:p w14:paraId="77A63611" w14:textId="77777777" w:rsidR="009C55C9" w:rsidRPr="00696968" w:rsidRDefault="009C55C9" w:rsidP="00AF46FC">
      <w:pPr>
        <w:pStyle w:val="ListParagraph"/>
        <w:widowControl w:val="0"/>
        <w:numPr>
          <w:ilvl w:val="0"/>
          <w:numId w:val="19"/>
        </w:numPr>
        <w:autoSpaceDE w:val="0"/>
        <w:autoSpaceDN w:val="0"/>
        <w:spacing w:after="0" w:line="240" w:lineRule="auto"/>
        <w:contextualSpacing w:val="0"/>
        <w:jc w:val="both"/>
        <w:rPr>
          <w:color w:val="000000" w:themeColor="text1"/>
        </w:rPr>
      </w:pPr>
      <w:r w:rsidRPr="68F90AE5">
        <w:rPr>
          <w:color w:val="000000" w:themeColor="text1"/>
        </w:rPr>
        <w:t>Alternative item correctly supplied within the valid period but the Dispense Notification message submitted after expiry of the SSP.</w:t>
      </w:r>
    </w:p>
    <w:p w14:paraId="3E75346B" w14:textId="77777777" w:rsidR="009C55C9" w:rsidRPr="00696968" w:rsidRDefault="009C55C9" w:rsidP="009C55C9">
      <w:pPr>
        <w:jc w:val="both"/>
        <w:rPr>
          <w:color w:val="000000" w:themeColor="text1"/>
        </w:rPr>
      </w:pPr>
      <w:r w:rsidRPr="68F90AE5">
        <w:rPr>
          <w:rFonts w:ascii="Arial" w:eastAsia="Arial" w:hAnsi="Arial" w:cs="Arial"/>
          <w:color w:val="FFFFFF" w:themeColor="background1"/>
          <w:sz w:val="24"/>
          <w:szCs w:val="24"/>
        </w:rPr>
        <w:t>Share this page</w:t>
      </w:r>
    </w:p>
    <w:p w14:paraId="3168CBA8" w14:textId="77777777" w:rsidR="009C55C9" w:rsidRPr="00696968" w:rsidRDefault="009C55C9" w:rsidP="009C55C9">
      <w:pPr>
        <w:jc w:val="both"/>
        <w:rPr>
          <w:color w:val="000000" w:themeColor="text1"/>
        </w:rPr>
      </w:pPr>
      <w:r w:rsidRPr="68F90AE5">
        <w:rPr>
          <w:color w:val="000000" w:themeColor="text1"/>
        </w:rPr>
        <w:t>For any invalid SSP claims, contractors will continue to receive the usual dispensing fee but will not receive any SSP fee (£5.35). Reimbursement for invalid SSP claims will also be in accordance with the prescribed product rather than the alternative product or quantity supplied in accordance with an SSP.</w:t>
      </w:r>
    </w:p>
    <w:p w14:paraId="1C59BD42" w14:textId="77777777" w:rsidR="009C55C9" w:rsidRPr="00696968" w:rsidRDefault="009C55C9" w:rsidP="009C55C9">
      <w:pPr>
        <w:jc w:val="both"/>
        <w:rPr>
          <w:color w:val="000000" w:themeColor="text1"/>
        </w:rPr>
      </w:pPr>
    </w:p>
    <w:p w14:paraId="39BE3C8F" w14:textId="77777777" w:rsidR="009C55C9" w:rsidRDefault="009C55C9" w:rsidP="009C55C9">
      <w:pPr>
        <w:jc w:val="both"/>
      </w:pPr>
      <w:r w:rsidRPr="00696968">
        <w:rPr>
          <w:color w:val="000000" w:themeColor="text1"/>
        </w:rPr>
        <w:t>To ensure correct payments for SSP claims are received, contractors should follow the endorsement requirements outlined in the specific </w:t>
      </w:r>
      <w:hyperlink r:id="rId21">
        <w:r w:rsidRPr="0763FBD8">
          <w:rPr>
            <w:rStyle w:val="Hyperlink"/>
            <w:b/>
            <w:bCs/>
            <w:color w:val="000000" w:themeColor="text1"/>
          </w:rPr>
          <w:t>supporting guidance</w:t>
        </w:r>
      </w:hyperlink>
      <w:r w:rsidRPr="0763FBD8">
        <w:rPr>
          <w:rStyle w:val="Strong"/>
          <w:color w:val="000000" w:themeColor="text1"/>
        </w:rPr>
        <w:t> </w:t>
      </w:r>
      <w:r w:rsidRPr="0763FBD8">
        <w:rPr>
          <w:color w:val="000000" w:themeColor="text1"/>
        </w:rPr>
        <w:t>for each SSP.</w:t>
      </w:r>
      <w:r w:rsidRPr="00696968">
        <w:rPr>
          <w:color w:val="000000" w:themeColor="text1"/>
        </w:rPr>
        <w:t xml:space="preserve"> Contractors are strongly advised to check that their PMR systems supports correct and complete SSP endorsements. If there is any doubt on the correct use of the PMR system SSP functionality, contractors should contact their system supplier for further guidance.  Any suggestions about how system usability and functionality could be improved should also be </w:t>
      </w:r>
      <w:hyperlink r:id="rId22">
        <w:r w:rsidRPr="0763FBD8">
          <w:rPr>
            <w:rStyle w:val="Strong"/>
            <w:color w:val="000000" w:themeColor="text1"/>
            <w:u w:val="single"/>
          </w:rPr>
          <w:t>fed back to the system supplier</w:t>
        </w:r>
      </w:hyperlink>
      <w:r w:rsidRPr="0763FBD8">
        <w:rPr>
          <w:color w:val="000000" w:themeColor="text1"/>
        </w:rPr>
        <w:t>.</w:t>
      </w:r>
    </w:p>
    <w:p w14:paraId="5225FA89" w14:textId="77777777" w:rsidR="009C55C9" w:rsidRPr="00696968" w:rsidRDefault="009C55C9" w:rsidP="009C55C9">
      <w:pPr>
        <w:jc w:val="both"/>
        <w:rPr>
          <w:color w:val="000000" w:themeColor="text1"/>
        </w:rPr>
      </w:pPr>
    </w:p>
    <w:p w14:paraId="160949A4" w14:textId="77777777" w:rsidR="009C55C9" w:rsidRPr="00696968" w:rsidRDefault="009C55C9" w:rsidP="009C55C9">
      <w:pPr>
        <w:jc w:val="both"/>
        <w:rPr>
          <w:b/>
          <w:color w:val="000000" w:themeColor="text1"/>
        </w:rPr>
      </w:pPr>
      <w:r w:rsidRPr="0763FBD8">
        <w:rPr>
          <w:rStyle w:val="Strong"/>
          <w:color w:val="000000" w:themeColor="text1"/>
        </w:rPr>
        <w:t>Top tip: As part of reconciling, check the SSPs declared align with the SSP fees reimbursed as per your Schedule of Payment.</w:t>
      </w:r>
    </w:p>
    <w:p w14:paraId="7D5AD352" w14:textId="77777777" w:rsidR="009C55C9" w:rsidRDefault="009C55C9" w:rsidP="009C55C9">
      <w:pPr>
        <w:pStyle w:val="NoSpacing"/>
        <w:jc w:val="both"/>
        <w:rPr>
          <w:color w:val="000000" w:themeColor="text1"/>
        </w:rPr>
      </w:pPr>
    </w:p>
    <w:p w14:paraId="2069DA37" w14:textId="77777777" w:rsidR="009C55C9" w:rsidRPr="00696968" w:rsidRDefault="009C55C9" w:rsidP="009C55C9">
      <w:pPr>
        <w:pStyle w:val="NoSpacing"/>
        <w:jc w:val="both"/>
        <w:rPr>
          <w:color w:val="000000" w:themeColor="text1"/>
        </w:rPr>
      </w:pPr>
    </w:p>
    <w:p w14:paraId="17E53957" w14:textId="77777777" w:rsidR="009C55C9" w:rsidRPr="0056413F" w:rsidRDefault="009C55C9" w:rsidP="009C55C9">
      <w:pPr>
        <w:pStyle w:val="NormalWeb"/>
        <w:jc w:val="both"/>
        <w:rPr>
          <w:rFonts w:ascii="Calibri Light" w:eastAsia="Calibri Light" w:hAnsi="Calibri Light" w:cs="Calibri Light"/>
          <w:color w:val="2F5496" w:themeColor="accent1" w:themeShade="BF"/>
          <w:sz w:val="32"/>
          <w:szCs w:val="32"/>
          <w:lang w:bidi="ar-SA"/>
        </w:rPr>
      </w:pPr>
      <w:r w:rsidRPr="0056413F">
        <w:rPr>
          <w:rFonts w:ascii="Calibri Light" w:eastAsia="Calibri Light" w:hAnsi="Calibri Light" w:cs="Calibri Light"/>
          <w:color w:val="2F5496" w:themeColor="accent1" w:themeShade="BF"/>
          <w:sz w:val="32"/>
          <w:szCs w:val="32"/>
          <w:lang w:bidi="ar-SA"/>
        </w:rPr>
        <w:t>SSP issued for Combisal®125mcg/25mcg inhalers</w:t>
      </w:r>
      <w:r>
        <w:rPr>
          <w:rFonts w:ascii="Calibri Light" w:eastAsia="Calibri Light" w:hAnsi="Calibri Light" w:cs="Calibri Light"/>
          <w:color w:val="2F5496" w:themeColor="accent1" w:themeShade="BF"/>
          <w:sz w:val="32"/>
          <w:szCs w:val="32"/>
          <w:lang w:bidi="ar-SA"/>
        </w:rPr>
        <w:t xml:space="preserve"> </w:t>
      </w:r>
    </w:p>
    <w:p w14:paraId="4FD56B69" w14:textId="77777777" w:rsidR="009C55C9" w:rsidRPr="00696968" w:rsidRDefault="009C55C9" w:rsidP="009C55C9">
      <w:pPr>
        <w:pStyle w:val="NormalWeb"/>
        <w:jc w:val="both"/>
        <w:rPr>
          <w:rFonts w:asciiTheme="minorHAnsi" w:hAnsiTheme="minorHAnsi" w:cstheme="minorHAnsi"/>
          <w:color w:val="000000" w:themeColor="text1"/>
          <w:sz w:val="22"/>
          <w:szCs w:val="22"/>
        </w:rPr>
      </w:pPr>
    </w:p>
    <w:p w14:paraId="49868CCF" w14:textId="77777777" w:rsidR="009C55C9" w:rsidRPr="00696968" w:rsidRDefault="009C55C9" w:rsidP="009C55C9">
      <w:pPr>
        <w:pStyle w:val="NormalWeb"/>
        <w:jc w:val="both"/>
        <w:rPr>
          <w:rFonts w:asciiTheme="minorHAnsi" w:hAnsiTheme="minorHAnsi" w:cstheme="minorBidi"/>
          <w:color w:val="000000" w:themeColor="text1"/>
          <w:sz w:val="22"/>
          <w:szCs w:val="22"/>
        </w:rPr>
      </w:pPr>
      <w:r w:rsidRPr="772CD7E5">
        <w:rPr>
          <w:rFonts w:asciiTheme="minorHAnsi" w:hAnsiTheme="minorHAnsi" w:cstheme="minorBidi"/>
          <w:color w:val="000000" w:themeColor="text1"/>
          <w:sz w:val="22"/>
          <w:szCs w:val="22"/>
        </w:rPr>
        <w:t>Serious Shortage Protocol (SSP) for Combisal</w:t>
      </w:r>
      <w:r w:rsidRPr="772CD7E5">
        <w:rPr>
          <w:rFonts w:asciiTheme="minorHAnsi" w:hAnsiTheme="minorHAnsi" w:cstheme="minorBidi"/>
          <w:color w:val="000000" w:themeColor="text1"/>
          <w:sz w:val="22"/>
          <w:szCs w:val="22"/>
          <w:vertAlign w:val="superscript"/>
        </w:rPr>
        <w:t>®</w:t>
      </w:r>
      <w:r w:rsidRPr="772CD7E5">
        <w:rPr>
          <w:rFonts w:asciiTheme="minorHAnsi" w:hAnsiTheme="minorHAnsi" w:cstheme="minorBidi"/>
          <w:color w:val="000000" w:themeColor="text1"/>
          <w:sz w:val="22"/>
          <w:szCs w:val="22"/>
        </w:rPr>
        <w:t xml:space="preserve">125mcg/25mcg inhalers (SSP034) has been further extended to </w:t>
      </w:r>
      <w:r w:rsidRPr="772CD7E5">
        <w:rPr>
          <w:rStyle w:val="Strong"/>
          <w:rFonts w:asciiTheme="minorHAnsi" w:hAnsiTheme="minorHAnsi" w:cstheme="minorBidi"/>
          <w:color w:val="000000" w:themeColor="text1"/>
          <w:sz w:val="22"/>
          <w:szCs w:val="22"/>
        </w:rPr>
        <w:lastRenderedPageBreak/>
        <w:t>28 September 2022</w:t>
      </w:r>
      <w:r w:rsidRPr="772CD7E5">
        <w:rPr>
          <w:rFonts w:asciiTheme="minorHAnsi" w:hAnsiTheme="minorHAnsi" w:cstheme="minorBidi"/>
          <w:color w:val="000000" w:themeColor="text1"/>
          <w:sz w:val="22"/>
          <w:szCs w:val="22"/>
        </w:rPr>
        <w:t xml:space="preserve"> due to ongoing supply disruptions affecting this drug (this SSP was previously set to expire on 19 August 2022). </w:t>
      </w:r>
    </w:p>
    <w:p w14:paraId="49D4D018" w14:textId="77777777" w:rsidR="009C55C9" w:rsidRPr="00696968" w:rsidRDefault="009C55C9" w:rsidP="009C55C9">
      <w:pPr>
        <w:pStyle w:val="NormalWeb"/>
        <w:jc w:val="both"/>
        <w:rPr>
          <w:color w:val="000000" w:themeColor="text1"/>
        </w:rPr>
      </w:pPr>
    </w:p>
    <w:p w14:paraId="043FFBF8" w14:textId="77777777" w:rsidR="009C55C9" w:rsidRPr="00EF16B4" w:rsidRDefault="009C55C9" w:rsidP="009C55C9">
      <w:pPr>
        <w:pStyle w:val="NormalWeb"/>
        <w:jc w:val="both"/>
        <w:rPr>
          <w:rFonts w:asciiTheme="minorHAnsi" w:eastAsiaTheme="minorEastAsia" w:hAnsiTheme="minorHAnsi" w:cstheme="minorBidi"/>
          <w:color w:val="000000" w:themeColor="text1"/>
          <w:sz w:val="22"/>
          <w:szCs w:val="22"/>
        </w:rPr>
      </w:pPr>
      <w:r w:rsidRPr="32C63DEE">
        <w:rPr>
          <w:rFonts w:asciiTheme="minorHAnsi" w:eastAsiaTheme="minorEastAsia" w:hAnsiTheme="minorHAnsi" w:cstheme="minorBidi"/>
          <w:color w:val="000000" w:themeColor="text1"/>
          <w:sz w:val="22"/>
          <w:szCs w:val="22"/>
        </w:rPr>
        <w:t>SSP034 provides t</w:t>
      </w:r>
      <w:r w:rsidRPr="32C63DEE">
        <w:rPr>
          <w:rStyle w:val="normaltextrun"/>
          <w:rFonts w:asciiTheme="minorHAnsi" w:eastAsiaTheme="minorEastAsia" w:hAnsiTheme="minorHAnsi" w:cstheme="minorBidi"/>
          <w:color w:val="000000" w:themeColor="text1"/>
          <w:sz w:val="22"/>
          <w:szCs w:val="22"/>
        </w:rPr>
        <w:t>hat for every </w:t>
      </w:r>
      <w:proofErr w:type="spellStart"/>
      <w:r w:rsidRPr="32C63DEE">
        <w:rPr>
          <w:rStyle w:val="Strong"/>
          <w:rFonts w:asciiTheme="minorHAnsi" w:eastAsiaTheme="minorEastAsia" w:hAnsiTheme="minorHAnsi" w:cstheme="minorBidi"/>
          <w:color w:val="000000" w:themeColor="text1"/>
          <w:sz w:val="22"/>
          <w:szCs w:val="22"/>
        </w:rPr>
        <w:t>Combisal</w:t>
      </w:r>
      <w:proofErr w:type="spellEnd"/>
      <w:r w:rsidRPr="32C63DEE">
        <w:rPr>
          <w:rStyle w:val="Strong"/>
          <w:rFonts w:asciiTheme="minorHAnsi" w:eastAsiaTheme="minorEastAsia" w:hAnsiTheme="minorHAnsi" w:cstheme="minorBidi"/>
          <w:color w:val="000000" w:themeColor="text1"/>
          <w:sz w:val="22"/>
          <w:szCs w:val="22"/>
        </w:rPr>
        <w:t>® (Fluticasone 125micrograms / Salmeterol 25micrograms) pressurised metered dose inhaler (</w:t>
      </w:r>
      <w:proofErr w:type="spellStart"/>
      <w:r w:rsidRPr="32C63DEE">
        <w:rPr>
          <w:rStyle w:val="Strong"/>
          <w:rFonts w:asciiTheme="minorHAnsi" w:eastAsiaTheme="minorEastAsia" w:hAnsiTheme="minorHAnsi" w:cstheme="minorBidi"/>
          <w:color w:val="000000" w:themeColor="text1"/>
          <w:sz w:val="22"/>
          <w:szCs w:val="22"/>
        </w:rPr>
        <w:t>pMDI</w:t>
      </w:r>
      <w:proofErr w:type="spellEnd"/>
      <w:r w:rsidRPr="32C63DEE">
        <w:rPr>
          <w:rStyle w:val="Strong"/>
          <w:rFonts w:asciiTheme="minorHAnsi" w:eastAsiaTheme="minorEastAsia" w:hAnsiTheme="minorHAnsi" w:cstheme="minorBidi"/>
          <w:color w:val="000000" w:themeColor="text1"/>
          <w:sz w:val="22"/>
          <w:szCs w:val="22"/>
        </w:rPr>
        <w:t>)</w:t>
      </w:r>
      <w:r w:rsidRPr="32C63DEE">
        <w:rPr>
          <w:rStyle w:val="normaltextrun"/>
          <w:rFonts w:asciiTheme="minorHAnsi" w:eastAsiaTheme="minorEastAsia" w:hAnsiTheme="minorHAnsi" w:cstheme="minorBidi"/>
          <w:color w:val="000000" w:themeColor="text1"/>
          <w:sz w:val="22"/>
          <w:szCs w:val="22"/>
        </w:rPr>
        <w:t> originally prescribed, </w:t>
      </w:r>
      <w:r w:rsidRPr="32C63DEE">
        <w:rPr>
          <w:rStyle w:val="Strong"/>
          <w:rFonts w:asciiTheme="minorHAnsi" w:eastAsiaTheme="minorEastAsia" w:hAnsiTheme="minorHAnsi" w:cstheme="minorBidi"/>
          <w:color w:val="000000" w:themeColor="text1"/>
          <w:sz w:val="22"/>
          <w:szCs w:val="22"/>
        </w:rPr>
        <w:t xml:space="preserve">one Fluticasone 125micrograms / Salmeterol 25micrograms </w:t>
      </w:r>
      <w:proofErr w:type="spellStart"/>
      <w:r w:rsidRPr="32C63DEE">
        <w:rPr>
          <w:rStyle w:val="Strong"/>
          <w:rFonts w:asciiTheme="minorHAnsi" w:eastAsiaTheme="minorEastAsia" w:hAnsiTheme="minorHAnsi" w:cstheme="minorBidi"/>
          <w:color w:val="000000" w:themeColor="text1"/>
          <w:sz w:val="22"/>
          <w:szCs w:val="22"/>
        </w:rPr>
        <w:t>pMDI</w:t>
      </w:r>
      <w:proofErr w:type="spellEnd"/>
      <w:r w:rsidRPr="32C63DEE">
        <w:rPr>
          <w:rStyle w:val="Strong"/>
          <w:rFonts w:asciiTheme="minorHAnsi" w:eastAsiaTheme="minorEastAsia" w:hAnsiTheme="minorHAnsi" w:cstheme="minorBidi"/>
          <w:color w:val="000000" w:themeColor="text1"/>
          <w:sz w:val="22"/>
          <w:szCs w:val="22"/>
        </w:rPr>
        <w:t> </w:t>
      </w:r>
      <w:r w:rsidRPr="32C63DEE">
        <w:rPr>
          <w:rStyle w:val="normaltextrun"/>
          <w:rFonts w:asciiTheme="minorHAnsi" w:eastAsiaTheme="minorEastAsia" w:hAnsiTheme="minorHAnsi" w:cstheme="minorBidi"/>
          <w:color w:val="000000" w:themeColor="text1"/>
          <w:sz w:val="22"/>
          <w:szCs w:val="22"/>
        </w:rPr>
        <w:t> must be supplied (specified brands only). Additionally, f</w:t>
      </w:r>
      <w:r w:rsidRPr="32C63DEE">
        <w:rPr>
          <w:rFonts w:asciiTheme="minorHAnsi" w:eastAsiaTheme="minorEastAsia" w:hAnsiTheme="minorHAnsi" w:cstheme="minorBidi"/>
          <w:color w:val="000000" w:themeColor="text1"/>
          <w:sz w:val="22"/>
          <w:szCs w:val="22"/>
        </w:rPr>
        <w:t xml:space="preserve">or patients that use a spacer device with their </w:t>
      </w:r>
      <w:proofErr w:type="spellStart"/>
      <w:r w:rsidRPr="32C63DEE">
        <w:rPr>
          <w:rFonts w:asciiTheme="minorHAnsi" w:eastAsiaTheme="minorEastAsia" w:hAnsiTheme="minorHAnsi" w:cstheme="minorBidi"/>
          <w:color w:val="000000" w:themeColor="text1"/>
          <w:sz w:val="22"/>
          <w:szCs w:val="22"/>
        </w:rPr>
        <w:t>Combisal</w:t>
      </w:r>
      <w:proofErr w:type="spellEnd"/>
      <w:r w:rsidRPr="32C63DEE">
        <w:rPr>
          <w:rFonts w:asciiTheme="minorHAnsi" w:eastAsiaTheme="minorEastAsia" w:hAnsiTheme="minorHAnsi" w:cstheme="minorBidi"/>
          <w:color w:val="000000" w:themeColor="text1"/>
          <w:sz w:val="22"/>
          <w:szCs w:val="22"/>
        </w:rPr>
        <w:t>® inhaler, SSP034 also provides an option for pharmacists to supply a compatible spacer device if the original spacer that the patient has is not compatible/licensed with the substituted inhaler.</w:t>
      </w:r>
    </w:p>
    <w:p w14:paraId="25B20501" w14:textId="77777777" w:rsidR="009C55C9" w:rsidRPr="00E13698" w:rsidRDefault="009C55C9" w:rsidP="009C55C9">
      <w:pPr>
        <w:pStyle w:val="NormalWeb"/>
        <w:jc w:val="both"/>
        <w:rPr>
          <w:rFonts w:asciiTheme="minorHAnsi" w:hAnsiTheme="minorHAnsi" w:cstheme="minorHAnsi"/>
          <w:color w:val="444444"/>
          <w:sz w:val="22"/>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6100"/>
      </w:tblGrid>
      <w:tr w:rsidR="009C55C9" w:rsidRPr="000B0269" w14:paraId="13B3E5FA" w14:textId="77777777" w:rsidTr="00BF374D">
        <w:tc>
          <w:tcPr>
            <w:tcW w:w="4390" w:type="dxa"/>
            <w:shd w:val="clear" w:color="auto" w:fill="65922E"/>
            <w:tcMar>
              <w:top w:w="150" w:type="dxa"/>
              <w:left w:w="150" w:type="dxa"/>
              <w:bottom w:w="150" w:type="dxa"/>
              <w:right w:w="150" w:type="dxa"/>
            </w:tcMar>
            <w:vAlign w:val="center"/>
            <w:hideMark/>
          </w:tcPr>
          <w:p w14:paraId="3976BBC6" w14:textId="77777777" w:rsidR="009C55C9" w:rsidRPr="000B0269" w:rsidRDefault="009C55C9" w:rsidP="00BF374D">
            <w:pPr>
              <w:jc w:val="both"/>
              <w:rPr>
                <w:rFonts w:cstheme="minorHAnsi"/>
                <w:color w:val="FFFFFF" w:themeColor="background1"/>
              </w:rPr>
            </w:pPr>
            <w:r w:rsidRPr="000B0269">
              <w:rPr>
                <w:rStyle w:val="Strong"/>
                <w:rFonts w:cstheme="minorHAnsi"/>
                <w:color w:val="FFFFFF" w:themeColor="background1"/>
              </w:rPr>
              <w:t>For prescriptions (NHS or private) requesting:</w:t>
            </w:r>
          </w:p>
        </w:tc>
        <w:tc>
          <w:tcPr>
            <w:tcW w:w="6100" w:type="dxa"/>
            <w:shd w:val="clear" w:color="auto" w:fill="65922E"/>
            <w:tcMar>
              <w:top w:w="150" w:type="dxa"/>
              <w:left w:w="150" w:type="dxa"/>
              <w:bottom w:w="150" w:type="dxa"/>
              <w:right w:w="150" w:type="dxa"/>
            </w:tcMar>
            <w:vAlign w:val="center"/>
            <w:hideMark/>
          </w:tcPr>
          <w:p w14:paraId="1B0E6E8D" w14:textId="77777777" w:rsidR="009C55C9" w:rsidRPr="000B0269" w:rsidRDefault="009C55C9" w:rsidP="00BF374D">
            <w:pPr>
              <w:jc w:val="both"/>
              <w:rPr>
                <w:rFonts w:cstheme="minorHAnsi"/>
                <w:color w:val="FFFFFF" w:themeColor="background1"/>
              </w:rPr>
            </w:pPr>
            <w:r w:rsidRPr="000B0269">
              <w:rPr>
                <w:rStyle w:val="Strong"/>
                <w:rFonts w:cstheme="minorHAnsi"/>
                <w:color w:val="FFFFFF" w:themeColor="background1"/>
              </w:rPr>
              <w:t>Supply permitted under SSP034:</w:t>
            </w:r>
          </w:p>
        </w:tc>
      </w:tr>
      <w:tr w:rsidR="009C55C9" w:rsidRPr="00696968" w14:paraId="24DFCC3A" w14:textId="77777777" w:rsidTr="00BF374D">
        <w:trPr>
          <w:trHeight w:val="1138"/>
        </w:trPr>
        <w:tc>
          <w:tcPr>
            <w:tcW w:w="4390" w:type="dxa"/>
            <w:tcMar>
              <w:top w:w="150" w:type="dxa"/>
              <w:left w:w="150" w:type="dxa"/>
              <w:bottom w:w="150" w:type="dxa"/>
              <w:right w:w="150" w:type="dxa"/>
            </w:tcMar>
            <w:vAlign w:val="center"/>
            <w:hideMark/>
          </w:tcPr>
          <w:p w14:paraId="778A579F" w14:textId="77777777" w:rsidR="009C55C9" w:rsidRPr="00696968" w:rsidRDefault="009C55C9" w:rsidP="00BF374D">
            <w:pPr>
              <w:jc w:val="both"/>
              <w:rPr>
                <w:rFonts w:cstheme="minorHAnsi"/>
                <w:color w:val="000000" w:themeColor="text1"/>
              </w:rPr>
            </w:pPr>
            <w:proofErr w:type="spellStart"/>
            <w:r w:rsidRPr="00696968">
              <w:rPr>
                <w:rStyle w:val="Strong"/>
                <w:rFonts w:cstheme="minorHAnsi"/>
                <w:color w:val="000000" w:themeColor="text1"/>
              </w:rPr>
              <w:t>Combisal</w:t>
            </w:r>
            <w:proofErr w:type="spellEnd"/>
            <w:r w:rsidRPr="00696968">
              <w:rPr>
                <w:rStyle w:val="Strong"/>
                <w:rFonts w:cstheme="minorHAnsi"/>
                <w:color w:val="000000" w:themeColor="text1"/>
              </w:rPr>
              <w:t>®</w:t>
            </w:r>
            <w:r w:rsidRPr="00696968">
              <w:rPr>
                <w:rFonts w:cstheme="minorHAnsi"/>
                <w:color w:val="000000" w:themeColor="text1"/>
              </w:rPr>
              <w:t> (Fluticasone 125microgram / Salmeterol 25microgram) pressurised metered dose inhaler (</w:t>
            </w:r>
            <w:proofErr w:type="spellStart"/>
            <w:r w:rsidRPr="00696968">
              <w:rPr>
                <w:rFonts w:cstheme="minorHAnsi"/>
                <w:color w:val="000000" w:themeColor="text1"/>
              </w:rPr>
              <w:t>pMDI</w:t>
            </w:r>
            <w:proofErr w:type="spellEnd"/>
            <w:r w:rsidRPr="00696968">
              <w:rPr>
                <w:rFonts w:cstheme="minorHAnsi"/>
                <w:color w:val="000000" w:themeColor="text1"/>
              </w:rPr>
              <w:t>)</w:t>
            </w:r>
          </w:p>
        </w:tc>
        <w:tc>
          <w:tcPr>
            <w:tcW w:w="6100" w:type="dxa"/>
            <w:tcMar>
              <w:top w:w="150" w:type="dxa"/>
              <w:left w:w="150" w:type="dxa"/>
              <w:bottom w:w="150" w:type="dxa"/>
              <w:right w:w="150" w:type="dxa"/>
            </w:tcMar>
            <w:vAlign w:val="center"/>
            <w:hideMark/>
          </w:tcPr>
          <w:p w14:paraId="11506A9F" w14:textId="77777777" w:rsidR="009C55C9" w:rsidRPr="00696968" w:rsidRDefault="009C55C9" w:rsidP="00BF374D">
            <w:pPr>
              <w:pStyle w:val="NormalWeb"/>
              <w:jc w:val="both"/>
              <w:rPr>
                <w:rFonts w:asciiTheme="minorHAnsi" w:hAnsiTheme="minorHAnsi" w:cstheme="minorHAnsi"/>
                <w:color w:val="000000" w:themeColor="text1"/>
                <w:sz w:val="22"/>
                <w:szCs w:val="22"/>
              </w:rPr>
            </w:pPr>
            <w:r w:rsidRPr="00696968">
              <w:rPr>
                <w:rStyle w:val="normaltextrun"/>
                <w:rFonts w:asciiTheme="minorHAnsi" w:hAnsiTheme="minorHAnsi" w:cstheme="minorHAnsi"/>
                <w:color w:val="000000" w:themeColor="text1"/>
                <w:sz w:val="22"/>
                <w:szCs w:val="22"/>
              </w:rPr>
              <w:t xml:space="preserve">An alternative brand of Fluticasone 125micrograms / Salmeterol 25micrograms </w:t>
            </w:r>
            <w:proofErr w:type="spellStart"/>
            <w:r w:rsidRPr="00696968">
              <w:rPr>
                <w:rStyle w:val="normaltextrun"/>
                <w:rFonts w:asciiTheme="minorHAnsi" w:hAnsiTheme="minorHAnsi" w:cstheme="minorHAnsi"/>
                <w:color w:val="000000" w:themeColor="text1"/>
                <w:sz w:val="22"/>
                <w:szCs w:val="22"/>
              </w:rPr>
              <w:t>pMDI</w:t>
            </w:r>
            <w:proofErr w:type="spellEnd"/>
            <w:r w:rsidRPr="00696968">
              <w:rPr>
                <w:rStyle w:val="normaltextrun"/>
                <w:rFonts w:asciiTheme="minorHAnsi" w:hAnsiTheme="minorHAnsi" w:cstheme="minorHAnsi"/>
                <w:color w:val="000000" w:themeColor="text1"/>
                <w:sz w:val="22"/>
                <w:szCs w:val="22"/>
              </w:rPr>
              <w:t>: </w:t>
            </w:r>
          </w:p>
          <w:p w14:paraId="551712FA" w14:textId="77777777" w:rsidR="009C55C9" w:rsidRPr="00696968" w:rsidRDefault="009C55C9" w:rsidP="00BF374D">
            <w:pPr>
              <w:pStyle w:val="NormalWeb"/>
              <w:jc w:val="both"/>
              <w:rPr>
                <w:rFonts w:asciiTheme="minorHAnsi" w:hAnsiTheme="minorHAnsi" w:cstheme="minorHAnsi"/>
                <w:color w:val="000000" w:themeColor="text1"/>
                <w:sz w:val="22"/>
                <w:szCs w:val="22"/>
              </w:rPr>
            </w:pPr>
            <w:proofErr w:type="spellStart"/>
            <w:r w:rsidRPr="00696968">
              <w:rPr>
                <w:rStyle w:val="Strong"/>
                <w:rFonts w:asciiTheme="minorHAnsi" w:hAnsiTheme="minorHAnsi" w:cstheme="minorHAnsi"/>
                <w:color w:val="000000" w:themeColor="text1"/>
                <w:sz w:val="22"/>
                <w:szCs w:val="22"/>
              </w:rPr>
              <w:t>Alofute</w:t>
            </w:r>
            <w:proofErr w:type="spellEnd"/>
            <w:r w:rsidRPr="00696968">
              <w:rPr>
                <w:rStyle w:val="Strong"/>
                <w:rFonts w:asciiTheme="minorHAnsi" w:hAnsiTheme="minorHAnsi" w:cstheme="minorHAnsi"/>
                <w:color w:val="000000" w:themeColor="text1"/>
                <w:sz w:val="22"/>
                <w:szCs w:val="22"/>
                <w:vertAlign w:val="superscript"/>
              </w:rPr>
              <w:t>® </w:t>
            </w:r>
            <w:r w:rsidRPr="00696968">
              <w:rPr>
                <w:rStyle w:val="Strong"/>
                <w:rFonts w:asciiTheme="minorHAnsi" w:hAnsiTheme="minorHAnsi" w:cstheme="minorHAnsi"/>
                <w:color w:val="000000" w:themeColor="text1"/>
                <w:sz w:val="22"/>
                <w:szCs w:val="22"/>
              </w:rPr>
              <w:t xml:space="preserve">, </w:t>
            </w:r>
            <w:proofErr w:type="spellStart"/>
            <w:r w:rsidRPr="00696968">
              <w:rPr>
                <w:rStyle w:val="Strong"/>
                <w:rFonts w:asciiTheme="minorHAnsi" w:hAnsiTheme="minorHAnsi" w:cstheme="minorHAnsi"/>
                <w:color w:val="000000" w:themeColor="text1"/>
                <w:sz w:val="22"/>
                <w:szCs w:val="22"/>
              </w:rPr>
              <w:t>Sereflo</w:t>
            </w:r>
            <w:proofErr w:type="spellEnd"/>
            <w:r w:rsidRPr="00696968">
              <w:rPr>
                <w:rStyle w:val="Strong"/>
                <w:rFonts w:asciiTheme="minorHAnsi" w:hAnsiTheme="minorHAnsi" w:cstheme="minorHAnsi"/>
                <w:color w:val="000000" w:themeColor="text1"/>
                <w:sz w:val="22"/>
                <w:szCs w:val="22"/>
                <w:vertAlign w:val="superscript"/>
              </w:rPr>
              <w:t>® </w:t>
            </w:r>
            <w:r w:rsidRPr="00696968">
              <w:rPr>
                <w:rStyle w:val="Strong"/>
                <w:rFonts w:asciiTheme="minorHAnsi" w:hAnsiTheme="minorHAnsi" w:cstheme="minorHAnsi"/>
                <w:color w:val="000000" w:themeColor="text1"/>
                <w:sz w:val="22"/>
                <w:szCs w:val="22"/>
              </w:rPr>
              <w:t xml:space="preserve">, Seretide 125 </w:t>
            </w:r>
            <w:proofErr w:type="spellStart"/>
            <w:r w:rsidRPr="00696968">
              <w:rPr>
                <w:rStyle w:val="Strong"/>
                <w:rFonts w:asciiTheme="minorHAnsi" w:hAnsiTheme="minorHAnsi" w:cstheme="minorHAnsi"/>
                <w:color w:val="000000" w:themeColor="text1"/>
                <w:sz w:val="22"/>
                <w:szCs w:val="22"/>
              </w:rPr>
              <w:t>Evohaler</w:t>
            </w:r>
            <w:proofErr w:type="spellEnd"/>
            <w:r w:rsidRPr="00696968">
              <w:rPr>
                <w:rStyle w:val="Strong"/>
                <w:rFonts w:asciiTheme="minorHAnsi" w:hAnsiTheme="minorHAnsi" w:cstheme="minorHAnsi"/>
                <w:color w:val="000000" w:themeColor="text1"/>
                <w:sz w:val="22"/>
                <w:szCs w:val="22"/>
                <w:vertAlign w:val="superscript"/>
              </w:rPr>
              <w:t>® </w:t>
            </w:r>
            <w:r w:rsidRPr="00696968">
              <w:rPr>
                <w:rStyle w:val="Strong"/>
                <w:rFonts w:asciiTheme="minorHAnsi" w:hAnsiTheme="minorHAnsi" w:cstheme="minorHAnsi"/>
                <w:color w:val="000000" w:themeColor="text1"/>
                <w:sz w:val="22"/>
                <w:szCs w:val="22"/>
              </w:rPr>
              <w:t xml:space="preserve"> or </w:t>
            </w:r>
            <w:proofErr w:type="spellStart"/>
            <w:r w:rsidRPr="00696968">
              <w:rPr>
                <w:rStyle w:val="Strong"/>
                <w:rFonts w:asciiTheme="minorHAnsi" w:hAnsiTheme="minorHAnsi" w:cstheme="minorHAnsi"/>
                <w:color w:val="000000" w:themeColor="text1"/>
                <w:sz w:val="22"/>
                <w:szCs w:val="22"/>
              </w:rPr>
              <w:t>Sirdupla</w:t>
            </w:r>
            <w:proofErr w:type="spellEnd"/>
            <w:r w:rsidRPr="00696968">
              <w:rPr>
                <w:rStyle w:val="Strong"/>
                <w:rFonts w:asciiTheme="minorHAnsi" w:hAnsiTheme="minorHAnsi" w:cstheme="minorHAnsi"/>
                <w:color w:val="000000" w:themeColor="text1"/>
                <w:sz w:val="22"/>
                <w:szCs w:val="22"/>
                <w:vertAlign w:val="superscript"/>
              </w:rPr>
              <w:t>®</w:t>
            </w:r>
            <w:r w:rsidRPr="00696968">
              <w:rPr>
                <w:rFonts w:asciiTheme="minorHAnsi" w:hAnsiTheme="minorHAnsi" w:cstheme="minorHAnsi"/>
                <w:color w:val="000000" w:themeColor="text1"/>
                <w:sz w:val="22"/>
                <w:szCs w:val="22"/>
                <w:vertAlign w:val="superscript"/>
              </w:rPr>
              <w:t> </w:t>
            </w:r>
          </w:p>
          <w:p w14:paraId="713FEA04" w14:textId="77777777" w:rsidR="009C55C9" w:rsidRPr="00696968" w:rsidRDefault="009C55C9" w:rsidP="00BF374D">
            <w:pPr>
              <w:pStyle w:val="NormalWeb"/>
              <w:jc w:val="both"/>
              <w:rPr>
                <w:rFonts w:asciiTheme="minorHAnsi" w:hAnsiTheme="minorHAnsi" w:cstheme="minorHAnsi"/>
                <w:color w:val="000000" w:themeColor="text1"/>
                <w:sz w:val="22"/>
                <w:szCs w:val="22"/>
              </w:rPr>
            </w:pPr>
            <w:r w:rsidRPr="00696968">
              <w:rPr>
                <w:rFonts w:asciiTheme="minorHAnsi" w:hAnsiTheme="minorHAnsi" w:cstheme="minorHAnsi"/>
                <w:color w:val="000000" w:themeColor="text1"/>
                <w:sz w:val="22"/>
                <w:szCs w:val="22"/>
              </w:rPr>
              <w:t>AND if required, a compatible spacer device:</w:t>
            </w:r>
          </w:p>
          <w:p w14:paraId="3C019C8E" w14:textId="77777777" w:rsidR="009C55C9" w:rsidRPr="00696968" w:rsidRDefault="009C55C9" w:rsidP="00BF374D">
            <w:pPr>
              <w:pStyle w:val="NormalWeb"/>
              <w:jc w:val="both"/>
              <w:rPr>
                <w:rFonts w:asciiTheme="minorHAnsi" w:hAnsiTheme="minorHAnsi" w:cstheme="minorHAnsi"/>
                <w:color w:val="000000" w:themeColor="text1"/>
                <w:sz w:val="22"/>
                <w:szCs w:val="22"/>
              </w:rPr>
            </w:pPr>
            <w:proofErr w:type="spellStart"/>
            <w:r w:rsidRPr="00696968">
              <w:rPr>
                <w:rStyle w:val="Strong"/>
                <w:rFonts w:asciiTheme="minorHAnsi" w:hAnsiTheme="minorHAnsi" w:cstheme="minorHAnsi"/>
                <w:color w:val="000000" w:themeColor="text1"/>
                <w:sz w:val="22"/>
                <w:szCs w:val="22"/>
              </w:rPr>
              <w:t>AeroChamber</w:t>
            </w:r>
            <w:proofErr w:type="spellEnd"/>
            <w:r w:rsidRPr="00696968">
              <w:rPr>
                <w:rStyle w:val="Strong"/>
                <w:rFonts w:asciiTheme="minorHAnsi" w:hAnsiTheme="minorHAnsi" w:cstheme="minorHAnsi"/>
                <w:color w:val="000000" w:themeColor="text1"/>
                <w:sz w:val="22"/>
                <w:szCs w:val="22"/>
              </w:rPr>
              <w:t xml:space="preserve"> Plus</w:t>
            </w:r>
            <w:r w:rsidRPr="00696968">
              <w:rPr>
                <w:rStyle w:val="normaltextrun"/>
                <w:rFonts w:asciiTheme="minorHAnsi" w:hAnsiTheme="minorHAnsi" w:cstheme="minorHAnsi"/>
                <w:b/>
                <w:bCs/>
                <w:color w:val="000000" w:themeColor="text1"/>
                <w:sz w:val="22"/>
                <w:szCs w:val="22"/>
                <w:vertAlign w:val="superscript"/>
              </w:rPr>
              <w:t>®</w:t>
            </w:r>
            <w:r w:rsidRPr="00696968">
              <w:rPr>
                <w:rStyle w:val="Strong"/>
                <w:rFonts w:asciiTheme="minorHAnsi" w:hAnsiTheme="minorHAnsi" w:cstheme="minorHAnsi"/>
                <w:color w:val="000000" w:themeColor="text1"/>
                <w:sz w:val="22"/>
                <w:szCs w:val="22"/>
                <w:vertAlign w:val="superscript"/>
              </w:rPr>
              <w:t> </w:t>
            </w:r>
            <w:r w:rsidRPr="00696968">
              <w:rPr>
                <w:rStyle w:val="Strong"/>
                <w:rFonts w:asciiTheme="minorHAnsi" w:hAnsiTheme="minorHAnsi" w:cstheme="minorHAnsi"/>
                <w:color w:val="000000" w:themeColor="text1"/>
                <w:sz w:val="22"/>
                <w:szCs w:val="22"/>
              </w:rPr>
              <w:t>or </w:t>
            </w:r>
            <w:r w:rsidRPr="00696968">
              <w:rPr>
                <w:rStyle w:val="normaltextrun"/>
                <w:rFonts w:asciiTheme="minorHAnsi" w:hAnsiTheme="minorHAnsi" w:cstheme="minorHAnsi"/>
                <w:b/>
                <w:bCs/>
                <w:color w:val="000000" w:themeColor="text1"/>
                <w:sz w:val="22"/>
                <w:szCs w:val="22"/>
              </w:rPr>
              <w:t>Volumatic</w:t>
            </w:r>
            <w:r w:rsidRPr="00696968">
              <w:rPr>
                <w:rStyle w:val="normaltextrun"/>
                <w:rFonts w:asciiTheme="minorHAnsi" w:hAnsiTheme="minorHAnsi" w:cstheme="minorHAnsi"/>
                <w:b/>
                <w:bCs/>
                <w:color w:val="000000" w:themeColor="text1"/>
                <w:sz w:val="22"/>
                <w:szCs w:val="22"/>
                <w:vertAlign w:val="superscript"/>
              </w:rPr>
              <w:t>® </w:t>
            </w:r>
            <w:r w:rsidRPr="00696968">
              <w:rPr>
                <w:rStyle w:val="Strong"/>
                <w:rFonts w:asciiTheme="minorHAnsi" w:hAnsiTheme="minorHAnsi" w:cstheme="minorHAnsi"/>
                <w:color w:val="000000" w:themeColor="text1"/>
                <w:sz w:val="22"/>
                <w:szCs w:val="22"/>
              </w:rPr>
              <w:t> (all types listed in Part IXA)</w:t>
            </w:r>
          </w:p>
        </w:tc>
      </w:tr>
    </w:tbl>
    <w:p w14:paraId="38AAA257" w14:textId="77777777" w:rsidR="009C55C9" w:rsidRPr="00696968" w:rsidRDefault="009C55C9" w:rsidP="009C55C9">
      <w:pPr>
        <w:pStyle w:val="NormalWeb"/>
        <w:jc w:val="both"/>
        <w:rPr>
          <w:rFonts w:asciiTheme="minorHAnsi" w:hAnsiTheme="minorHAnsi" w:cstheme="minorHAnsi"/>
          <w:color w:val="000000" w:themeColor="text1"/>
          <w:sz w:val="22"/>
          <w:szCs w:val="22"/>
        </w:rPr>
      </w:pPr>
      <w:r w:rsidRPr="00696968">
        <w:rPr>
          <w:rFonts w:asciiTheme="minorHAnsi" w:hAnsiTheme="minorHAnsi" w:cstheme="minorHAnsi"/>
          <w:color w:val="000000" w:themeColor="text1"/>
          <w:sz w:val="22"/>
          <w:szCs w:val="22"/>
        </w:rPr>
        <w:t> </w:t>
      </w:r>
    </w:p>
    <w:p w14:paraId="0522B236" w14:textId="77777777" w:rsidR="009C55C9" w:rsidRDefault="009C55C9" w:rsidP="009C55C9">
      <w:pPr>
        <w:pStyle w:val="NormalWeb"/>
        <w:jc w:val="both"/>
        <w:rPr>
          <w:rStyle w:val="normaltextrun"/>
          <w:rFonts w:asciiTheme="minorHAnsi" w:eastAsiaTheme="minorEastAsia" w:hAnsiTheme="minorHAnsi" w:cstheme="minorBidi"/>
          <w:color w:val="000000" w:themeColor="text1"/>
          <w:sz w:val="22"/>
          <w:szCs w:val="22"/>
        </w:rPr>
      </w:pPr>
      <w:r w:rsidRPr="1C1E8A30">
        <w:rPr>
          <w:rStyle w:val="normaltextrun"/>
          <w:rFonts w:asciiTheme="minorHAnsi" w:eastAsiaTheme="minorEastAsia" w:hAnsiTheme="minorHAnsi" w:cstheme="minorBidi"/>
          <w:color w:val="000000" w:themeColor="text1"/>
          <w:sz w:val="22"/>
          <w:szCs w:val="22"/>
        </w:rPr>
        <w:t xml:space="preserve">The table below shows the alternative brands of Fluticasone 125micrograms / 25micrograms </w:t>
      </w:r>
      <w:proofErr w:type="spellStart"/>
      <w:r w:rsidRPr="1C1E8A30">
        <w:rPr>
          <w:rStyle w:val="normaltextrun"/>
          <w:rFonts w:asciiTheme="minorHAnsi" w:eastAsiaTheme="minorEastAsia" w:hAnsiTheme="minorHAnsi" w:cstheme="minorBidi"/>
          <w:color w:val="000000" w:themeColor="text1"/>
          <w:sz w:val="22"/>
          <w:szCs w:val="22"/>
        </w:rPr>
        <w:t>pMDI</w:t>
      </w:r>
      <w:proofErr w:type="spellEnd"/>
      <w:r w:rsidRPr="1C1E8A30">
        <w:rPr>
          <w:rStyle w:val="normaltextrun"/>
          <w:rFonts w:asciiTheme="minorHAnsi" w:eastAsiaTheme="minorEastAsia" w:hAnsiTheme="minorHAnsi" w:cstheme="minorBidi"/>
          <w:color w:val="000000" w:themeColor="text1"/>
          <w:sz w:val="22"/>
          <w:szCs w:val="22"/>
        </w:rPr>
        <w:t xml:space="preserve"> inhaler CFC free that can be supplied as an alternative to </w:t>
      </w:r>
      <w:proofErr w:type="spellStart"/>
      <w:r w:rsidRPr="1C1E8A30">
        <w:rPr>
          <w:rStyle w:val="normaltextrun"/>
          <w:rFonts w:asciiTheme="minorHAnsi" w:eastAsiaTheme="minorEastAsia" w:hAnsiTheme="minorHAnsi" w:cstheme="minorBidi"/>
          <w:color w:val="000000" w:themeColor="text1"/>
          <w:sz w:val="22"/>
          <w:szCs w:val="22"/>
        </w:rPr>
        <w:t>Combisal</w:t>
      </w:r>
      <w:proofErr w:type="spellEnd"/>
      <w:r w:rsidRPr="1C1E8A30">
        <w:rPr>
          <w:rStyle w:val="normaltextrun"/>
          <w:rFonts w:asciiTheme="minorHAnsi" w:eastAsiaTheme="minorEastAsia" w:hAnsiTheme="minorHAnsi" w:cstheme="minorBidi"/>
          <w:color w:val="000000" w:themeColor="text1"/>
          <w:sz w:val="22"/>
          <w:szCs w:val="22"/>
          <w:vertAlign w:val="superscript"/>
        </w:rPr>
        <w:t>®</w:t>
      </w:r>
      <w:r w:rsidRPr="1C1E8A30">
        <w:rPr>
          <w:rStyle w:val="normaltextrun"/>
          <w:rFonts w:asciiTheme="minorHAnsi" w:eastAsiaTheme="minorEastAsia" w:hAnsiTheme="minorHAnsi" w:cstheme="minorBidi"/>
          <w:color w:val="000000" w:themeColor="text1"/>
          <w:sz w:val="22"/>
          <w:szCs w:val="22"/>
        </w:rPr>
        <w:t> in accordance with SSP034. The table also includes information on licensed age restrictions, ethanol content and spacer compatibility for inhalers.</w:t>
      </w:r>
    </w:p>
    <w:p w14:paraId="1F1B637D" w14:textId="77777777" w:rsidR="009C55C9" w:rsidRDefault="009C55C9" w:rsidP="009C55C9">
      <w:pPr>
        <w:pStyle w:val="NormalWeb"/>
        <w:jc w:val="both"/>
        <w:rPr>
          <w:rStyle w:val="normaltextrun"/>
          <w:rFonts w:asciiTheme="minorHAnsi" w:eastAsiaTheme="minorEastAsia" w:hAnsiTheme="minorHAnsi" w:cstheme="minorBidi"/>
          <w:sz w:val="22"/>
          <w:szCs w:val="22"/>
        </w:rPr>
      </w:pPr>
    </w:p>
    <w:p w14:paraId="78C469C7" w14:textId="77777777" w:rsidR="009C55C9" w:rsidRPr="00696968" w:rsidRDefault="009C55C9" w:rsidP="009C55C9">
      <w:pPr>
        <w:pStyle w:val="NormalWeb"/>
        <w:jc w:val="both"/>
        <w:rPr>
          <w:rStyle w:val="normaltextrun"/>
          <w:rFonts w:asciiTheme="minorHAnsi" w:eastAsiaTheme="minorEastAsia" w:hAnsiTheme="minorHAnsi" w:cstheme="minorBidi"/>
          <w:color w:val="000000" w:themeColor="text1"/>
          <w:sz w:val="22"/>
          <w:szCs w:val="22"/>
        </w:rPr>
      </w:pPr>
    </w:p>
    <w:p w14:paraId="221B006A" w14:textId="77777777" w:rsidR="009C55C9" w:rsidRPr="00E13698" w:rsidRDefault="009C55C9" w:rsidP="009C55C9">
      <w:pPr>
        <w:pStyle w:val="NormalWeb"/>
        <w:jc w:val="both"/>
        <w:rPr>
          <w:rFonts w:asciiTheme="minorHAnsi" w:hAnsiTheme="minorHAnsi" w:cstheme="minorHAnsi"/>
          <w:color w:val="444444"/>
          <w:sz w:val="22"/>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0"/>
        <w:gridCol w:w="2013"/>
        <w:gridCol w:w="3832"/>
        <w:gridCol w:w="1985"/>
      </w:tblGrid>
      <w:tr w:rsidR="009C55C9" w:rsidRPr="000B0269" w14:paraId="6BEEAE23" w14:textId="77777777" w:rsidTr="00BF374D">
        <w:trPr>
          <w:trHeight w:val="360"/>
          <w:tblHeader/>
        </w:trPr>
        <w:tc>
          <w:tcPr>
            <w:tcW w:w="2660" w:type="dxa"/>
            <w:shd w:val="clear" w:color="auto" w:fill="65922E"/>
            <w:tcMar>
              <w:top w:w="150" w:type="dxa"/>
              <w:left w:w="150" w:type="dxa"/>
              <w:bottom w:w="150" w:type="dxa"/>
              <w:right w:w="150" w:type="dxa"/>
            </w:tcMar>
            <w:vAlign w:val="center"/>
            <w:hideMark/>
          </w:tcPr>
          <w:p w14:paraId="00EBA593" w14:textId="77777777" w:rsidR="009C55C9" w:rsidRPr="000B0269" w:rsidRDefault="009C55C9" w:rsidP="00BF374D">
            <w:pPr>
              <w:rPr>
                <w:rFonts w:cstheme="minorHAnsi"/>
                <w:color w:val="FFFFFF" w:themeColor="background1"/>
              </w:rPr>
            </w:pPr>
            <w:r w:rsidRPr="000B0269">
              <w:rPr>
                <w:rStyle w:val="Strong"/>
                <w:rFonts w:cstheme="minorHAnsi"/>
                <w:color w:val="FFFFFF" w:themeColor="background1"/>
              </w:rPr>
              <w:t xml:space="preserve">Alternatives to </w:t>
            </w:r>
            <w:proofErr w:type="spellStart"/>
            <w:r w:rsidRPr="000B0269">
              <w:rPr>
                <w:rStyle w:val="Strong"/>
                <w:rFonts w:cstheme="minorHAnsi"/>
                <w:color w:val="FFFFFF" w:themeColor="background1"/>
              </w:rPr>
              <w:t>Combisal</w:t>
            </w:r>
            <w:proofErr w:type="spellEnd"/>
            <w:r w:rsidRPr="000B0269">
              <w:rPr>
                <w:rStyle w:val="normaltextrun"/>
                <w:rFonts w:cstheme="minorHAnsi"/>
                <w:b/>
                <w:bCs/>
                <w:color w:val="FFFFFF" w:themeColor="background1"/>
                <w:vertAlign w:val="superscript"/>
              </w:rPr>
              <w:t>®</w:t>
            </w:r>
            <w:r w:rsidRPr="000B0269">
              <w:rPr>
                <w:rStyle w:val="Strong"/>
                <w:rFonts w:cstheme="minorHAnsi"/>
                <w:color w:val="FFFFFF" w:themeColor="background1"/>
              </w:rPr>
              <w:t> 125mcg/25mcg inhaler</w:t>
            </w:r>
          </w:p>
        </w:tc>
        <w:tc>
          <w:tcPr>
            <w:tcW w:w="2013" w:type="dxa"/>
            <w:shd w:val="clear" w:color="auto" w:fill="65922E"/>
            <w:tcMar>
              <w:top w:w="150" w:type="dxa"/>
              <w:left w:w="150" w:type="dxa"/>
              <w:bottom w:w="150" w:type="dxa"/>
              <w:right w:w="150" w:type="dxa"/>
            </w:tcMar>
            <w:vAlign w:val="center"/>
            <w:hideMark/>
          </w:tcPr>
          <w:p w14:paraId="6B3B9B51" w14:textId="77777777" w:rsidR="009C55C9" w:rsidRPr="000B0269" w:rsidRDefault="009C55C9" w:rsidP="00BF374D">
            <w:pPr>
              <w:rPr>
                <w:rFonts w:cstheme="minorHAnsi"/>
                <w:color w:val="FFFFFF" w:themeColor="background1"/>
              </w:rPr>
            </w:pPr>
            <w:r w:rsidRPr="000B0269">
              <w:rPr>
                <w:rStyle w:val="Strong"/>
                <w:rFonts w:cstheme="minorHAnsi"/>
                <w:color w:val="FFFFFF" w:themeColor="background1"/>
              </w:rPr>
              <w:t>Licensed age restriction</w:t>
            </w:r>
          </w:p>
        </w:tc>
        <w:tc>
          <w:tcPr>
            <w:tcW w:w="3832" w:type="dxa"/>
            <w:shd w:val="clear" w:color="auto" w:fill="65922E"/>
            <w:tcMar>
              <w:top w:w="150" w:type="dxa"/>
              <w:left w:w="150" w:type="dxa"/>
              <w:bottom w:w="150" w:type="dxa"/>
              <w:right w:w="150" w:type="dxa"/>
            </w:tcMar>
            <w:vAlign w:val="center"/>
            <w:hideMark/>
          </w:tcPr>
          <w:p w14:paraId="68C264FD" w14:textId="77777777" w:rsidR="009C55C9" w:rsidRPr="000B0269" w:rsidRDefault="009C55C9" w:rsidP="00BF374D">
            <w:pPr>
              <w:rPr>
                <w:rFonts w:cstheme="minorHAnsi"/>
                <w:color w:val="FFFFFF" w:themeColor="background1"/>
              </w:rPr>
            </w:pPr>
            <w:r w:rsidRPr="000B0269">
              <w:rPr>
                <w:rStyle w:val="Strong"/>
                <w:rFonts w:cstheme="minorHAnsi"/>
                <w:color w:val="FFFFFF" w:themeColor="background1"/>
              </w:rPr>
              <w:t>Compatible spacer device</w:t>
            </w:r>
          </w:p>
        </w:tc>
        <w:tc>
          <w:tcPr>
            <w:tcW w:w="1985" w:type="dxa"/>
            <w:shd w:val="clear" w:color="auto" w:fill="65922E"/>
            <w:tcMar>
              <w:top w:w="150" w:type="dxa"/>
              <w:left w:w="150" w:type="dxa"/>
              <w:bottom w:w="150" w:type="dxa"/>
              <w:right w:w="150" w:type="dxa"/>
            </w:tcMar>
            <w:vAlign w:val="center"/>
            <w:hideMark/>
          </w:tcPr>
          <w:p w14:paraId="04A93F51" w14:textId="77777777" w:rsidR="009C55C9" w:rsidRPr="000B0269" w:rsidRDefault="009C55C9" w:rsidP="00BF374D">
            <w:pPr>
              <w:rPr>
                <w:rFonts w:cstheme="minorHAnsi"/>
                <w:color w:val="FFFFFF" w:themeColor="background1"/>
              </w:rPr>
            </w:pPr>
            <w:r w:rsidRPr="000B0269">
              <w:rPr>
                <w:rStyle w:val="Strong"/>
                <w:rFonts w:cstheme="minorHAnsi"/>
                <w:color w:val="FFFFFF" w:themeColor="background1"/>
              </w:rPr>
              <w:t>Contains ethanol</w:t>
            </w:r>
          </w:p>
        </w:tc>
      </w:tr>
      <w:tr w:rsidR="009C55C9" w:rsidRPr="00696968" w14:paraId="387AFBD4" w14:textId="77777777" w:rsidTr="00BF374D">
        <w:trPr>
          <w:trHeight w:val="420"/>
        </w:trPr>
        <w:tc>
          <w:tcPr>
            <w:tcW w:w="2660" w:type="dxa"/>
            <w:tcMar>
              <w:top w:w="150" w:type="dxa"/>
              <w:left w:w="150" w:type="dxa"/>
              <w:bottom w:w="150" w:type="dxa"/>
              <w:right w:w="150" w:type="dxa"/>
            </w:tcMar>
            <w:vAlign w:val="center"/>
            <w:hideMark/>
          </w:tcPr>
          <w:p w14:paraId="3E9B58E5" w14:textId="77777777" w:rsidR="009C55C9" w:rsidRPr="00696968" w:rsidRDefault="009C55C9" w:rsidP="00BF374D">
            <w:pPr>
              <w:jc w:val="both"/>
              <w:rPr>
                <w:rFonts w:eastAsiaTheme="minorEastAsia"/>
                <w:color w:val="000000" w:themeColor="text1"/>
              </w:rPr>
            </w:pPr>
            <w:proofErr w:type="spellStart"/>
            <w:r w:rsidRPr="469BFCBA">
              <w:rPr>
                <w:rStyle w:val="Strong"/>
                <w:rFonts w:eastAsiaTheme="minorEastAsia"/>
              </w:rPr>
              <w:t>Aloflute</w:t>
            </w:r>
            <w:proofErr w:type="spellEnd"/>
            <w:r w:rsidRPr="469BFCBA">
              <w:rPr>
                <w:rStyle w:val="Strong"/>
                <w:rFonts w:eastAsiaTheme="minorEastAsia"/>
                <w:vertAlign w:val="superscript"/>
              </w:rPr>
              <w:t>® </w:t>
            </w:r>
          </w:p>
        </w:tc>
        <w:tc>
          <w:tcPr>
            <w:tcW w:w="2013" w:type="dxa"/>
            <w:tcMar>
              <w:top w:w="150" w:type="dxa"/>
              <w:left w:w="150" w:type="dxa"/>
              <w:bottom w:w="150" w:type="dxa"/>
              <w:right w:w="150" w:type="dxa"/>
            </w:tcMar>
            <w:vAlign w:val="center"/>
            <w:hideMark/>
          </w:tcPr>
          <w:p w14:paraId="68AE1D7C" w14:textId="77777777" w:rsidR="009C55C9" w:rsidRPr="00696968" w:rsidRDefault="009C55C9" w:rsidP="00BF374D">
            <w:pPr>
              <w:jc w:val="both"/>
              <w:rPr>
                <w:rFonts w:eastAsiaTheme="minorEastAsia"/>
                <w:color w:val="000000" w:themeColor="text1"/>
              </w:rPr>
            </w:pPr>
            <w:r w:rsidRPr="469BFCBA">
              <w:rPr>
                <w:rFonts w:eastAsiaTheme="minorEastAsia"/>
              </w:rPr>
              <w:t>18 years and over</w:t>
            </w:r>
          </w:p>
        </w:tc>
        <w:tc>
          <w:tcPr>
            <w:tcW w:w="3832" w:type="dxa"/>
            <w:tcMar>
              <w:top w:w="150" w:type="dxa"/>
              <w:left w:w="150" w:type="dxa"/>
              <w:bottom w:w="150" w:type="dxa"/>
              <w:right w:w="150" w:type="dxa"/>
            </w:tcMar>
            <w:vAlign w:val="center"/>
            <w:hideMark/>
          </w:tcPr>
          <w:p w14:paraId="7AAE0525" w14:textId="77777777" w:rsidR="009C55C9" w:rsidRPr="00696968" w:rsidRDefault="009C55C9" w:rsidP="00BF374D">
            <w:pPr>
              <w:jc w:val="both"/>
              <w:rPr>
                <w:rFonts w:eastAsiaTheme="minorEastAsia"/>
                <w:color w:val="000000" w:themeColor="text1"/>
              </w:rPr>
            </w:pPr>
            <w:proofErr w:type="spellStart"/>
            <w:r w:rsidRPr="469BFCBA">
              <w:rPr>
                <w:rFonts w:eastAsiaTheme="minorEastAsia"/>
              </w:rPr>
              <w:t>AeroChamber</w:t>
            </w:r>
            <w:proofErr w:type="spellEnd"/>
            <w:r w:rsidRPr="469BFCBA">
              <w:rPr>
                <w:rFonts w:eastAsiaTheme="minorEastAsia"/>
              </w:rPr>
              <w:t xml:space="preserve"> Plus</w:t>
            </w:r>
            <w:r w:rsidRPr="469BFCBA">
              <w:rPr>
                <w:rStyle w:val="normaltextrun"/>
                <w:rFonts w:eastAsiaTheme="minorEastAsia"/>
                <w:vertAlign w:val="superscript"/>
              </w:rPr>
              <w:t>®*</w:t>
            </w:r>
            <w:r w:rsidRPr="469BFCBA">
              <w:rPr>
                <w:rFonts w:eastAsiaTheme="minorEastAsia"/>
                <w:vertAlign w:val="superscript"/>
              </w:rPr>
              <w:t> </w:t>
            </w:r>
          </w:p>
        </w:tc>
        <w:tc>
          <w:tcPr>
            <w:tcW w:w="1985" w:type="dxa"/>
            <w:tcMar>
              <w:top w:w="150" w:type="dxa"/>
              <w:left w:w="150" w:type="dxa"/>
              <w:bottom w:w="150" w:type="dxa"/>
              <w:right w:w="150" w:type="dxa"/>
            </w:tcMar>
            <w:vAlign w:val="center"/>
            <w:hideMark/>
          </w:tcPr>
          <w:p w14:paraId="01085A40" w14:textId="77777777" w:rsidR="009C55C9" w:rsidRPr="00696968" w:rsidRDefault="009C55C9" w:rsidP="00BF374D">
            <w:pPr>
              <w:jc w:val="both"/>
              <w:rPr>
                <w:rFonts w:eastAsiaTheme="minorEastAsia"/>
                <w:color w:val="000000" w:themeColor="text1"/>
              </w:rPr>
            </w:pPr>
            <w:r w:rsidRPr="469BFCBA">
              <w:rPr>
                <w:rFonts w:eastAsiaTheme="minorEastAsia"/>
              </w:rPr>
              <w:t>Yes</w:t>
            </w:r>
          </w:p>
        </w:tc>
      </w:tr>
      <w:tr w:rsidR="009C55C9" w:rsidRPr="00696968" w14:paraId="0D0D5CD0" w14:textId="77777777" w:rsidTr="00BF374D">
        <w:trPr>
          <w:trHeight w:val="1607"/>
        </w:trPr>
        <w:tc>
          <w:tcPr>
            <w:tcW w:w="2660" w:type="dxa"/>
            <w:tcMar>
              <w:top w:w="150" w:type="dxa"/>
              <w:left w:w="150" w:type="dxa"/>
              <w:bottom w:w="150" w:type="dxa"/>
              <w:right w:w="150" w:type="dxa"/>
            </w:tcMar>
            <w:vAlign w:val="center"/>
            <w:hideMark/>
          </w:tcPr>
          <w:p w14:paraId="611BBECB" w14:textId="77777777" w:rsidR="009C55C9" w:rsidRPr="00696968" w:rsidRDefault="009C55C9" w:rsidP="00BF374D">
            <w:pPr>
              <w:jc w:val="both"/>
              <w:rPr>
                <w:rFonts w:eastAsiaTheme="minorEastAsia"/>
                <w:color w:val="000000" w:themeColor="text1"/>
              </w:rPr>
            </w:pPr>
            <w:proofErr w:type="spellStart"/>
            <w:r w:rsidRPr="469BFCBA">
              <w:rPr>
                <w:rStyle w:val="Strong"/>
                <w:rFonts w:eastAsiaTheme="minorEastAsia"/>
              </w:rPr>
              <w:t>Sereflo</w:t>
            </w:r>
            <w:proofErr w:type="spellEnd"/>
            <w:r w:rsidRPr="469BFCBA">
              <w:rPr>
                <w:rStyle w:val="normaltextrun"/>
                <w:rFonts w:eastAsiaTheme="minorEastAsia"/>
                <w:b/>
                <w:bCs/>
                <w:vertAlign w:val="superscript"/>
              </w:rPr>
              <w:t>® </w:t>
            </w:r>
          </w:p>
        </w:tc>
        <w:tc>
          <w:tcPr>
            <w:tcW w:w="2013" w:type="dxa"/>
            <w:tcMar>
              <w:top w:w="150" w:type="dxa"/>
              <w:left w:w="150" w:type="dxa"/>
              <w:bottom w:w="150" w:type="dxa"/>
              <w:right w:w="150" w:type="dxa"/>
            </w:tcMar>
            <w:vAlign w:val="center"/>
            <w:hideMark/>
          </w:tcPr>
          <w:p w14:paraId="007361B1" w14:textId="77777777" w:rsidR="009C55C9" w:rsidRPr="00696968" w:rsidRDefault="009C55C9" w:rsidP="00BF374D">
            <w:pPr>
              <w:jc w:val="both"/>
              <w:rPr>
                <w:rFonts w:eastAsiaTheme="minorEastAsia"/>
                <w:color w:val="000000" w:themeColor="text1"/>
              </w:rPr>
            </w:pPr>
            <w:r w:rsidRPr="469BFCBA">
              <w:rPr>
                <w:rFonts w:eastAsiaTheme="minorEastAsia"/>
              </w:rPr>
              <w:t>18 years and over</w:t>
            </w:r>
          </w:p>
        </w:tc>
        <w:tc>
          <w:tcPr>
            <w:tcW w:w="3832" w:type="dxa"/>
            <w:tcMar>
              <w:top w:w="150" w:type="dxa"/>
              <w:left w:w="150" w:type="dxa"/>
              <w:bottom w:w="150" w:type="dxa"/>
              <w:right w:w="150" w:type="dxa"/>
            </w:tcMar>
            <w:vAlign w:val="center"/>
            <w:hideMark/>
          </w:tcPr>
          <w:p w14:paraId="65778503" w14:textId="77777777" w:rsidR="009C55C9" w:rsidRPr="00696968" w:rsidRDefault="009C55C9" w:rsidP="00BF374D">
            <w:pPr>
              <w:rPr>
                <w:rFonts w:eastAsiaTheme="minorEastAsia"/>
                <w:color w:val="000000" w:themeColor="text1"/>
              </w:rPr>
            </w:pPr>
            <w:r w:rsidRPr="469BFCBA">
              <w:rPr>
                <w:rFonts w:eastAsiaTheme="minorEastAsia"/>
              </w:rPr>
              <w:t xml:space="preserve">Manufacturer advises spacer devices are not compatible with </w:t>
            </w:r>
            <w:proofErr w:type="spellStart"/>
            <w:r w:rsidRPr="469BFCBA">
              <w:rPr>
                <w:rFonts w:eastAsiaTheme="minorEastAsia"/>
              </w:rPr>
              <w:t>Sereflo</w:t>
            </w:r>
            <w:proofErr w:type="spellEnd"/>
            <w:r w:rsidRPr="469BFCBA">
              <w:rPr>
                <w:rFonts w:eastAsiaTheme="minorEastAsia"/>
              </w:rPr>
              <w:t xml:space="preserve"> 125mcg/25mcg inhaler – if spacer device required switch to alternative fixed-dose combination preparation which is authorised for use with a spacer device.</w:t>
            </w:r>
          </w:p>
        </w:tc>
        <w:tc>
          <w:tcPr>
            <w:tcW w:w="1985" w:type="dxa"/>
            <w:tcMar>
              <w:top w:w="150" w:type="dxa"/>
              <w:left w:w="150" w:type="dxa"/>
              <w:bottom w:w="150" w:type="dxa"/>
              <w:right w:w="150" w:type="dxa"/>
            </w:tcMar>
            <w:vAlign w:val="center"/>
            <w:hideMark/>
          </w:tcPr>
          <w:p w14:paraId="3536A965" w14:textId="77777777" w:rsidR="009C55C9" w:rsidRPr="00696968" w:rsidRDefault="009C55C9" w:rsidP="00BF374D">
            <w:pPr>
              <w:jc w:val="both"/>
              <w:rPr>
                <w:rFonts w:eastAsiaTheme="minorEastAsia"/>
                <w:color w:val="000000" w:themeColor="text1"/>
              </w:rPr>
            </w:pPr>
            <w:r w:rsidRPr="469BFCBA">
              <w:rPr>
                <w:rFonts w:eastAsiaTheme="minorEastAsia"/>
              </w:rPr>
              <w:t>No</w:t>
            </w:r>
          </w:p>
        </w:tc>
      </w:tr>
      <w:tr w:rsidR="009C55C9" w:rsidRPr="00696968" w14:paraId="47A4A8CE" w14:textId="77777777" w:rsidTr="00BF374D">
        <w:trPr>
          <w:trHeight w:val="420"/>
        </w:trPr>
        <w:tc>
          <w:tcPr>
            <w:tcW w:w="2660" w:type="dxa"/>
            <w:tcMar>
              <w:top w:w="150" w:type="dxa"/>
              <w:left w:w="150" w:type="dxa"/>
              <w:bottom w:w="150" w:type="dxa"/>
              <w:right w:w="150" w:type="dxa"/>
            </w:tcMar>
            <w:vAlign w:val="center"/>
            <w:hideMark/>
          </w:tcPr>
          <w:p w14:paraId="54AE583A" w14:textId="77777777" w:rsidR="009C55C9" w:rsidRPr="00696968" w:rsidRDefault="009C55C9" w:rsidP="00BF374D">
            <w:pPr>
              <w:jc w:val="both"/>
              <w:rPr>
                <w:rFonts w:eastAsiaTheme="minorEastAsia"/>
                <w:color w:val="000000" w:themeColor="text1"/>
              </w:rPr>
            </w:pPr>
            <w:r w:rsidRPr="469BFCBA">
              <w:rPr>
                <w:rStyle w:val="Strong"/>
                <w:rFonts w:eastAsiaTheme="minorEastAsia"/>
              </w:rPr>
              <w:t xml:space="preserve">Seretide 125 </w:t>
            </w:r>
            <w:proofErr w:type="spellStart"/>
            <w:r w:rsidRPr="469BFCBA">
              <w:rPr>
                <w:rStyle w:val="Strong"/>
                <w:rFonts w:eastAsiaTheme="minorEastAsia"/>
              </w:rPr>
              <w:t>Evohaler</w:t>
            </w:r>
            <w:proofErr w:type="spellEnd"/>
            <w:r w:rsidRPr="469BFCBA">
              <w:rPr>
                <w:rStyle w:val="normaltextrun"/>
                <w:rFonts w:eastAsiaTheme="minorEastAsia"/>
                <w:b/>
                <w:bCs/>
                <w:vertAlign w:val="superscript"/>
              </w:rPr>
              <w:t>® </w:t>
            </w:r>
          </w:p>
        </w:tc>
        <w:tc>
          <w:tcPr>
            <w:tcW w:w="2013" w:type="dxa"/>
            <w:tcMar>
              <w:top w:w="150" w:type="dxa"/>
              <w:left w:w="150" w:type="dxa"/>
              <w:bottom w:w="150" w:type="dxa"/>
              <w:right w:w="150" w:type="dxa"/>
            </w:tcMar>
            <w:vAlign w:val="center"/>
            <w:hideMark/>
          </w:tcPr>
          <w:p w14:paraId="3F7B798B" w14:textId="77777777" w:rsidR="009C55C9" w:rsidRPr="00696968" w:rsidRDefault="009C55C9" w:rsidP="00BF374D">
            <w:pPr>
              <w:jc w:val="both"/>
              <w:rPr>
                <w:rFonts w:eastAsiaTheme="minorEastAsia"/>
                <w:color w:val="000000" w:themeColor="text1"/>
              </w:rPr>
            </w:pPr>
            <w:r w:rsidRPr="469BFCBA">
              <w:rPr>
                <w:rFonts w:eastAsiaTheme="minorEastAsia"/>
              </w:rPr>
              <w:t>12 years and over</w:t>
            </w:r>
          </w:p>
        </w:tc>
        <w:tc>
          <w:tcPr>
            <w:tcW w:w="3832" w:type="dxa"/>
            <w:tcMar>
              <w:top w:w="150" w:type="dxa"/>
              <w:left w:w="150" w:type="dxa"/>
              <w:bottom w:w="150" w:type="dxa"/>
              <w:right w:w="150" w:type="dxa"/>
            </w:tcMar>
            <w:vAlign w:val="center"/>
            <w:hideMark/>
          </w:tcPr>
          <w:p w14:paraId="7EF2A67B" w14:textId="77777777" w:rsidR="009C55C9" w:rsidRPr="00696968" w:rsidRDefault="009C55C9" w:rsidP="00BF374D">
            <w:pPr>
              <w:jc w:val="both"/>
              <w:rPr>
                <w:rFonts w:eastAsiaTheme="minorEastAsia"/>
                <w:color w:val="000000" w:themeColor="text1"/>
              </w:rPr>
            </w:pPr>
            <w:r w:rsidRPr="469BFCBA">
              <w:rPr>
                <w:rStyle w:val="normaltextrun"/>
                <w:rFonts w:eastAsiaTheme="minorEastAsia"/>
              </w:rPr>
              <w:t>Volumatic</w:t>
            </w:r>
            <w:r w:rsidRPr="469BFCBA">
              <w:rPr>
                <w:rStyle w:val="normaltextrun"/>
                <w:rFonts w:eastAsiaTheme="minorEastAsia"/>
                <w:vertAlign w:val="superscript"/>
              </w:rPr>
              <w:t>®*</w:t>
            </w:r>
            <w:r w:rsidRPr="469BFCBA">
              <w:rPr>
                <w:rStyle w:val="normaltextrun"/>
                <w:rFonts w:eastAsiaTheme="minorEastAsia"/>
              </w:rPr>
              <w:t>(all types)</w:t>
            </w:r>
          </w:p>
        </w:tc>
        <w:tc>
          <w:tcPr>
            <w:tcW w:w="1985" w:type="dxa"/>
            <w:tcMar>
              <w:top w:w="150" w:type="dxa"/>
              <w:left w:w="150" w:type="dxa"/>
              <w:bottom w:w="150" w:type="dxa"/>
              <w:right w:w="150" w:type="dxa"/>
            </w:tcMar>
            <w:vAlign w:val="center"/>
            <w:hideMark/>
          </w:tcPr>
          <w:p w14:paraId="3DE9A67C" w14:textId="77777777" w:rsidR="009C55C9" w:rsidRPr="00696968" w:rsidRDefault="009C55C9" w:rsidP="00BF374D">
            <w:pPr>
              <w:jc w:val="both"/>
              <w:rPr>
                <w:rFonts w:eastAsiaTheme="minorEastAsia"/>
                <w:color w:val="000000" w:themeColor="text1"/>
              </w:rPr>
            </w:pPr>
            <w:r w:rsidRPr="469BFCBA">
              <w:rPr>
                <w:rFonts w:eastAsiaTheme="minorEastAsia"/>
              </w:rPr>
              <w:t>No</w:t>
            </w:r>
          </w:p>
        </w:tc>
      </w:tr>
      <w:tr w:rsidR="009C55C9" w:rsidRPr="00696968" w14:paraId="65D17C3B" w14:textId="77777777" w:rsidTr="00BF374D">
        <w:trPr>
          <w:trHeight w:val="420"/>
        </w:trPr>
        <w:tc>
          <w:tcPr>
            <w:tcW w:w="2660" w:type="dxa"/>
            <w:tcMar>
              <w:top w:w="150" w:type="dxa"/>
              <w:left w:w="150" w:type="dxa"/>
              <w:bottom w:w="150" w:type="dxa"/>
              <w:right w:w="150" w:type="dxa"/>
            </w:tcMar>
            <w:vAlign w:val="center"/>
            <w:hideMark/>
          </w:tcPr>
          <w:p w14:paraId="12ECC4CD" w14:textId="77777777" w:rsidR="009C55C9" w:rsidRPr="00696968" w:rsidRDefault="009C55C9" w:rsidP="00BF374D">
            <w:pPr>
              <w:jc w:val="both"/>
              <w:rPr>
                <w:rFonts w:eastAsiaTheme="minorEastAsia"/>
                <w:color w:val="000000" w:themeColor="text1"/>
              </w:rPr>
            </w:pPr>
            <w:proofErr w:type="spellStart"/>
            <w:r w:rsidRPr="469BFCBA">
              <w:rPr>
                <w:rStyle w:val="Strong"/>
                <w:rFonts w:eastAsiaTheme="minorEastAsia"/>
              </w:rPr>
              <w:t>Sirdupla</w:t>
            </w:r>
            <w:proofErr w:type="spellEnd"/>
            <w:r w:rsidRPr="469BFCBA">
              <w:rPr>
                <w:rStyle w:val="normaltextrun"/>
                <w:rFonts w:eastAsiaTheme="minorEastAsia"/>
                <w:b/>
                <w:bCs/>
                <w:vertAlign w:val="superscript"/>
              </w:rPr>
              <w:t>® </w:t>
            </w:r>
          </w:p>
        </w:tc>
        <w:tc>
          <w:tcPr>
            <w:tcW w:w="2013" w:type="dxa"/>
            <w:tcMar>
              <w:top w:w="150" w:type="dxa"/>
              <w:left w:w="150" w:type="dxa"/>
              <w:bottom w:w="150" w:type="dxa"/>
              <w:right w:w="150" w:type="dxa"/>
            </w:tcMar>
            <w:vAlign w:val="center"/>
            <w:hideMark/>
          </w:tcPr>
          <w:p w14:paraId="20469769" w14:textId="77777777" w:rsidR="009C55C9" w:rsidRPr="00696968" w:rsidRDefault="009C55C9" w:rsidP="00BF374D">
            <w:pPr>
              <w:jc w:val="both"/>
              <w:rPr>
                <w:rFonts w:eastAsiaTheme="minorEastAsia"/>
                <w:color w:val="000000" w:themeColor="text1"/>
              </w:rPr>
            </w:pPr>
            <w:r w:rsidRPr="469BFCBA">
              <w:rPr>
                <w:rFonts w:eastAsiaTheme="minorEastAsia"/>
              </w:rPr>
              <w:t>18 years and over</w:t>
            </w:r>
          </w:p>
        </w:tc>
        <w:tc>
          <w:tcPr>
            <w:tcW w:w="3832" w:type="dxa"/>
            <w:tcMar>
              <w:top w:w="150" w:type="dxa"/>
              <w:left w:w="150" w:type="dxa"/>
              <w:bottom w:w="150" w:type="dxa"/>
              <w:right w:w="150" w:type="dxa"/>
            </w:tcMar>
            <w:vAlign w:val="center"/>
            <w:hideMark/>
          </w:tcPr>
          <w:p w14:paraId="4F2B4DB1" w14:textId="77777777" w:rsidR="009C55C9" w:rsidRPr="00696968" w:rsidRDefault="009C55C9" w:rsidP="00BF374D">
            <w:pPr>
              <w:jc w:val="both"/>
              <w:rPr>
                <w:rFonts w:eastAsiaTheme="minorEastAsia"/>
                <w:color w:val="000000" w:themeColor="text1"/>
              </w:rPr>
            </w:pPr>
            <w:proofErr w:type="spellStart"/>
            <w:r w:rsidRPr="469BFCBA">
              <w:rPr>
                <w:rFonts w:eastAsiaTheme="minorEastAsia"/>
              </w:rPr>
              <w:t>AeroChamber</w:t>
            </w:r>
            <w:proofErr w:type="spellEnd"/>
            <w:r w:rsidRPr="469BFCBA">
              <w:rPr>
                <w:rFonts w:eastAsiaTheme="minorEastAsia"/>
              </w:rPr>
              <w:t xml:space="preserve"> Plus</w:t>
            </w:r>
            <w:r w:rsidRPr="469BFCBA">
              <w:rPr>
                <w:rStyle w:val="normaltextrun"/>
                <w:rFonts w:eastAsiaTheme="minorEastAsia"/>
                <w:vertAlign w:val="superscript"/>
              </w:rPr>
              <w:t>®</w:t>
            </w:r>
            <w:r w:rsidRPr="469BFCBA">
              <w:rPr>
                <w:rFonts w:eastAsiaTheme="minorEastAsia"/>
                <w:vertAlign w:val="superscript"/>
              </w:rPr>
              <w:t> *</w:t>
            </w:r>
            <w:r w:rsidRPr="469BFCBA">
              <w:rPr>
                <w:rFonts w:eastAsiaTheme="minorEastAsia"/>
              </w:rPr>
              <w:t> (all types)</w:t>
            </w:r>
          </w:p>
        </w:tc>
        <w:tc>
          <w:tcPr>
            <w:tcW w:w="1985" w:type="dxa"/>
            <w:tcMar>
              <w:top w:w="150" w:type="dxa"/>
              <w:left w:w="150" w:type="dxa"/>
              <w:bottom w:w="150" w:type="dxa"/>
              <w:right w:w="150" w:type="dxa"/>
            </w:tcMar>
            <w:vAlign w:val="center"/>
            <w:hideMark/>
          </w:tcPr>
          <w:p w14:paraId="4B506221" w14:textId="77777777" w:rsidR="009C55C9" w:rsidRPr="00696968" w:rsidRDefault="009C55C9" w:rsidP="00BF374D">
            <w:pPr>
              <w:jc w:val="both"/>
              <w:rPr>
                <w:rFonts w:eastAsiaTheme="minorEastAsia"/>
                <w:color w:val="000000" w:themeColor="text1"/>
              </w:rPr>
            </w:pPr>
            <w:r w:rsidRPr="469BFCBA">
              <w:rPr>
                <w:rFonts w:eastAsiaTheme="minorEastAsia"/>
              </w:rPr>
              <w:t>Yes</w:t>
            </w:r>
          </w:p>
        </w:tc>
      </w:tr>
    </w:tbl>
    <w:p w14:paraId="3097C105" w14:textId="77777777" w:rsidR="009C55C9" w:rsidRPr="00696968" w:rsidRDefault="009C55C9" w:rsidP="009C55C9">
      <w:pPr>
        <w:pStyle w:val="NormalWeb"/>
        <w:jc w:val="both"/>
        <w:rPr>
          <w:rStyle w:val="Strong"/>
          <w:rFonts w:asciiTheme="minorHAnsi" w:eastAsiaTheme="minorEastAsia" w:hAnsiTheme="minorHAnsi" w:cstheme="minorBidi"/>
          <w:color w:val="000000" w:themeColor="text1"/>
          <w:sz w:val="22"/>
          <w:szCs w:val="22"/>
        </w:rPr>
      </w:pPr>
    </w:p>
    <w:p w14:paraId="48D4B1A3" w14:textId="77777777" w:rsidR="009C55C9" w:rsidRPr="00696968" w:rsidRDefault="009C55C9" w:rsidP="009C55C9">
      <w:pPr>
        <w:pStyle w:val="NormalWeb"/>
        <w:jc w:val="both"/>
        <w:rPr>
          <w:rFonts w:asciiTheme="minorHAnsi" w:eastAsiaTheme="minorEastAsia" w:hAnsiTheme="minorHAnsi" w:cstheme="minorBidi"/>
          <w:color w:val="000000" w:themeColor="text1"/>
          <w:sz w:val="22"/>
          <w:szCs w:val="22"/>
        </w:rPr>
      </w:pPr>
      <w:r w:rsidRPr="772CD7E5">
        <w:rPr>
          <w:rStyle w:val="Strong"/>
          <w:rFonts w:asciiTheme="minorHAnsi" w:eastAsiaTheme="minorEastAsia" w:hAnsiTheme="minorHAnsi" w:cstheme="minorBidi"/>
          <w:sz w:val="22"/>
          <w:szCs w:val="22"/>
        </w:rPr>
        <w:t>The SSP may be amended or revoked at any time but currently expires on </w:t>
      </w:r>
      <w:r>
        <w:rPr>
          <w:rStyle w:val="Strong"/>
          <w:rFonts w:asciiTheme="minorHAnsi" w:eastAsiaTheme="minorEastAsia" w:hAnsiTheme="minorHAnsi" w:cstheme="minorBidi"/>
          <w:sz w:val="22"/>
          <w:szCs w:val="22"/>
          <w:u w:val="single"/>
        </w:rPr>
        <w:t>28 September</w:t>
      </w:r>
      <w:r w:rsidRPr="772CD7E5">
        <w:rPr>
          <w:rStyle w:val="Strong"/>
          <w:rFonts w:asciiTheme="minorHAnsi" w:eastAsiaTheme="minorEastAsia" w:hAnsiTheme="minorHAnsi" w:cstheme="minorBidi"/>
          <w:sz w:val="22"/>
          <w:szCs w:val="22"/>
          <w:u w:val="single"/>
        </w:rPr>
        <w:t xml:space="preserve"> 2022</w:t>
      </w:r>
      <w:r w:rsidRPr="772CD7E5">
        <w:rPr>
          <w:rStyle w:val="Strong"/>
          <w:rFonts w:asciiTheme="minorHAnsi" w:eastAsiaTheme="minorEastAsia" w:hAnsiTheme="minorHAnsi" w:cstheme="minorBidi"/>
          <w:sz w:val="22"/>
          <w:szCs w:val="22"/>
        </w:rPr>
        <w:t> – PSNC will update contractors on any changes.</w:t>
      </w:r>
    </w:p>
    <w:p w14:paraId="22AF855F" w14:textId="77777777" w:rsidR="009C55C9" w:rsidRPr="00696968" w:rsidRDefault="009C55C9" w:rsidP="009C55C9">
      <w:pPr>
        <w:pStyle w:val="Heading3"/>
        <w:jc w:val="both"/>
        <w:rPr>
          <w:rFonts w:asciiTheme="minorHAnsi" w:eastAsiaTheme="minorEastAsia" w:hAnsiTheme="minorHAnsi" w:cstheme="minorBidi"/>
          <w:color w:val="000000" w:themeColor="text1"/>
        </w:rPr>
      </w:pPr>
    </w:p>
    <w:p w14:paraId="429C481B" w14:textId="77777777" w:rsidR="009C55C9" w:rsidRPr="00696968" w:rsidRDefault="009C55C9" w:rsidP="009C55C9">
      <w:pPr>
        <w:pStyle w:val="Heading3"/>
        <w:jc w:val="both"/>
        <w:rPr>
          <w:rFonts w:asciiTheme="minorHAnsi" w:eastAsiaTheme="minorEastAsia" w:hAnsiTheme="minorHAnsi" w:cstheme="minorBidi"/>
          <w:color w:val="000000" w:themeColor="text1"/>
        </w:rPr>
      </w:pPr>
      <w:r w:rsidRPr="469BFCBA">
        <w:rPr>
          <w:rFonts w:asciiTheme="minorHAnsi" w:eastAsiaTheme="minorEastAsia" w:hAnsiTheme="minorHAnsi" w:cstheme="minorBidi"/>
        </w:rPr>
        <w:t>Key points relating to SSP034</w:t>
      </w:r>
    </w:p>
    <w:p w14:paraId="00870F4D" w14:textId="77777777" w:rsidR="009C55C9" w:rsidRPr="00696968" w:rsidRDefault="009C55C9" w:rsidP="00AF46FC">
      <w:pPr>
        <w:numPr>
          <w:ilvl w:val="0"/>
          <w:numId w:val="11"/>
        </w:numPr>
        <w:spacing w:before="100" w:beforeAutospacing="1" w:after="100" w:afterAutospacing="1" w:line="240" w:lineRule="auto"/>
        <w:jc w:val="both"/>
        <w:rPr>
          <w:rFonts w:eastAsiaTheme="minorEastAsia"/>
          <w:color w:val="000000" w:themeColor="text1"/>
        </w:rPr>
      </w:pPr>
      <w:r w:rsidRPr="469BFCBA">
        <w:rPr>
          <w:rFonts w:eastAsiaTheme="minorEastAsia"/>
        </w:rPr>
        <w:t>This protocol does </w:t>
      </w:r>
      <w:r w:rsidRPr="469BFCBA">
        <w:rPr>
          <w:rStyle w:val="Strong"/>
          <w:rFonts w:eastAsiaTheme="minorEastAsia"/>
          <w:u w:val="single"/>
        </w:rPr>
        <w:t>not</w:t>
      </w:r>
      <w:r w:rsidRPr="469BFCBA">
        <w:rPr>
          <w:rFonts w:eastAsiaTheme="minorEastAsia"/>
        </w:rPr>
        <w:t> allow for the quantity supplied to be less than the number of days prescribed on original prescription.</w:t>
      </w:r>
    </w:p>
    <w:p w14:paraId="5862A821" w14:textId="77777777" w:rsidR="009C55C9" w:rsidRPr="00696968" w:rsidRDefault="009C55C9" w:rsidP="00AF46FC">
      <w:pPr>
        <w:numPr>
          <w:ilvl w:val="0"/>
          <w:numId w:val="11"/>
        </w:numPr>
        <w:spacing w:before="100" w:beforeAutospacing="1" w:after="100" w:afterAutospacing="1" w:line="240" w:lineRule="auto"/>
        <w:jc w:val="both"/>
        <w:rPr>
          <w:rFonts w:eastAsiaTheme="minorEastAsia"/>
          <w:color w:val="000000" w:themeColor="text1"/>
        </w:rPr>
      </w:pPr>
      <w:r w:rsidRPr="469BFCBA">
        <w:rPr>
          <w:rFonts w:eastAsiaTheme="minorEastAsia"/>
        </w:rPr>
        <w:t>The SSP can only be used to supply an alternative inhaler (along with a compatible spacer device, if required) to patients aged </w:t>
      </w:r>
      <w:r w:rsidRPr="469BFCBA">
        <w:rPr>
          <w:rStyle w:val="Strong"/>
          <w:rFonts w:eastAsiaTheme="minorEastAsia"/>
        </w:rPr>
        <w:t>12 years or over</w:t>
      </w:r>
      <w:r w:rsidRPr="469BFCBA">
        <w:rPr>
          <w:rFonts w:eastAsiaTheme="minorEastAsia"/>
        </w:rPr>
        <w:t>.</w:t>
      </w:r>
    </w:p>
    <w:p w14:paraId="5BD8EBCE" w14:textId="77777777" w:rsidR="009C55C9" w:rsidRPr="00696968" w:rsidRDefault="009C55C9" w:rsidP="00AF46FC">
      <w:pPr>
        <w:numPr>
          <w:ilvl w:val="0"/>
          <w:numId w:val="11"/>
        </w:numPr>
        <w:spacing w:before="100" w:beforeAutospacing="1" w:after="100" w:afterAutospacing="1" w:line="240" w:lineRule="auto"/>
        <w:jc w:val="both"/>
        <w:rPr>
          <w:rFonts w:eastAsiaTheme="minorEastAsia"/>
          <w:color w:val="000000" w:themeColor="text1"/>
        </w:rPr>
      </w:pPr>
      <w:r w:rsidRPr="469BFCBA">
        <w:rPr>
          <w:rFonts w:eastAsiaTheme="minorEastAsia"/>
        </w:rPr>
        <w:t>The patient/carer must consent to receiving the medicine supplied under this SSP. The patient/carer should only be supplied in accordance with this SSP if the pharmacist is satisfied they understand and are able to accommodate the switch.</w:t>
      </w:r>
    </w:p>
    <w:p w14:paraId="2BDB1FC5" w14:textId="77777777" w:rsidR="009C55C9" w:rsidRPr="00696968" w:rsidRDefault="009C55C9" w:rsidP="00AF46FC">
      <w:pPr>
        <w:numPr>
          <w:ilvl w:val="0"/>
          <w:numId w:val="11"/>
        </w:numPr>
        <w:spacing w:before="100" w:beforeAutospacing="1" w:after="100" w:afterAutospacing="1" w:line="240" w:lineRule="auto"/>
        <w:jc w:val="both"/>
        <w:rPr>
          <w:rFonts w:eastAsiaTheme="minorEastAsia"/>
          <w:color w:val="000000" w:themeColor="text1"/>
        </w:rPr>
      </w:pPr>
      <w:r w:rsidRPr="469BFCBA">
        <w:rPr>
          <w:rFonts w:eastAsiaTheme="minorEastAsia"/>
        </w:rPr>
        <w:t xml:space="preserve">For children aged between 12-17, only Seretide 125 </w:t>
      </w:r>
      <w:proofErr w:type="spellStart"/>
      <w:r w:rsidRPr="469BFCBA">
        <w:rPr>
          <w:rFonts w:eastAsiaTheme="minorEastAsia"/>
        </w:rPr>
        <w:t>Evohaler</w:t>
      </w:r>
      <w:proofErr w:type="spellEnd"/>
      <w:r w:rsidRPr="469BFCBA">
        <w:rPr>
          <w:rFonts w:eastAsiaTheme="minorEastAsia"/>
        </w:rPr>
        <w:t>® can be supplied as a licensed alternative.</w:t>
      </w:r>
    </w:p>
    <w:p w14:paraId="105E8B8E" w14:textId="77777777" w:rsidR="009C55C9" w:rsidRPr="00696968" w:rsidRDefault="009C55C9" w:rsidP="00AF46FC">
      <w:pPr>
        <w:numPr>
          <w:ilvl w:val="0"/>
          <w:numId w:val="11"/>
        </w:numPr>
        <w:spacing w:before="100" w:beforeAutospacing="1" w:after="100" w:afterAutospacing="1" w:line="240" w:lineRule="auto"/>
        <w:jc w:val="both"/>
        <w:rPr>
          <w:rFonts w:eastAsiaTheme="minorEastAsia"/>
          <w:color w:val="000000" w:themeColor="text1"/>
        </w:rPr>
      </w:pPr>
      <w:r w:rsidRPr="469BFCBA">
        <w:rPr>
          <w:rFonts w:eastAsiaTheme="minorEastAsia"/>
        </w:rPr>
        <w:t>Ensure that patients who meet the SSP ‘</w:t>
      </w:r>
      <w:hyperlink r:id="rId23">
        <w:r w:rsidRPr="469BFCBA">
          <w:rPr>
            <w:rStyle w:val="Hyperlink"/>
            <w:rFonts w:eastAsiaTheme="minorEastAsia"/>
            <w:color w:val="auto"/>
          </w:rPr>
          <w:t>Criteria for exclusion</w:t>
        </w:r>
      </w:hyperlink>
      <w:r w:rsidRPr="469BFCBA">
        <w:rPr>
          <w:rFonts w:eastAsiaTheme="minorEastAsia"/>
        </w:rPr>
        <w:t>‘ are promptly referred to their prescriber for further advice.</w:t>
      </w:r>
    </w:p>
    <w:p w14:paraId="161C88E6" w14:textId="77777777" w:rsidR="009C55C9" w:rsidRPr="00696968" w:rsidRDefault="009C55C9" w:rsidP="00AF46FC">
      <w:pPr>
        <w:numPr>
          <w:ilvl w:val="0"/>
          <w:numId w:val="11"/>
        </w:numPr>
        <w:spacing w:before="100" w:beforeAutospacing="1" w:after="100" w:afterAutospacing="1" w:line="240" w:lineRule="auto"/>
        <w:jc w:val="both"/>
        <w:rPr>
          <w:rFonts w:eastAsiaTheme="minorEastAsia"/>
          <w:color w:val="000000" w:themeColor="text1"/>
        </w:rPr>
      </w:pPr>
      <w:r w:rsidRPr="469BFCBA">
        <w:rPr>
          <w:rFonts w:eastAsiaTheme="minorEastAsia"/>
        </w:rPr>
        <w:t xml:space="preserve">Both </w:t>
      </w:r>
      <w:proofErr w:type="spellStart"/>
      <w:r w:rsidRPr="469BFCBA">
        <w:rPr>
          <w:rFonts w:eastAsiaTheme="minorEastAsia"/>
        </w:rPr>
        <w:t>Sereflo</w:t>
      </w:r>
      <w:proofErr w:type="spellEnd"/>
      <w:r w:rsidRPr="469BFCBA">
        <w:rPr>
          <w:rFonts w:eastAsiaTheme="minorEastAsia"/>
        </w:rPr>
        <w:t xml:space="preserve">® and Seretide 125 </w:t>
      </w:r>
      <w:proofErr w:type="spellStart"/>
      <w:r w:rsidRPr="469BFCBA">
        <w:rPr>
          <w:rFonts w:eastAsiaTheme="minorEastAsia"/>
        </w:rPr>
        <w:t>Evohaler</w:t>
      </w:r>
      <w:proofErr w:type="spellEnd"/>
      <w:r w:rsidRPr="469BFCBA">
        <w:rPr>
          <w:rFonts w:eastAsiaTheme="minorEastAsia"/>
        </w:rPr>
        <w:t>® are alcohol-free and suitable for patients who are intolerant to alcohol or prefer an alcohol-free alternative.</w:t>
      </w:r>
    </w:p>
    <w:p w14:paraId="5FBCAFE0" w14:textId="77777777" w:rsidR="009C55C9" w:rsidRPr="00696968" w:rsidRDefault="009C55C9" w:rsidP="00AF46FC">
      <w:pPr>
        <w:numPr>
          <w:ilvl w:val="0"/>
          <w:numId w:val="11"/>
        </w:numPr>
        <w:spacing w:before="100" w:beforeAutospacing="1" w:after="100" w:afterAutospacing="1" w:line="240" w:lineRule="auto"/>
        <w:jc w:val="both"/>
        <w:rPr>
          <w:rFonts w:eastAsiaTheme="minorEastAsia"/>
          <w:color w:val="000000" w:themeColor="text1"/>
        </w:rPr>
      </w:pPr>
      <w:proofErr w:type="spellStart"/>
      <w:r w:rsidRPr="469BFCBA">
        <w:rPr>
          <w:rFonts w:eastAsiaTheme="minorEastAsia"/>
        </w:rPr>
        <w:t>Combisal</w:t>
      </w:r>
      <w:proofErr w:type="spellEnd"/>
      <w:r w:rsidRPr="469BFCBA">
        <w:rPr>
          <w:rFonts w:eastAsiaTheme="minorEastAsia"/>
        </w:rPr>
        <w:t xml:space="preserve">® inhaler uses the </w:t>
      </w:r>
      <w:proofErr w:type="spellStart"/>
      <w:r w:rsidRPr="469BFCBA">
        <w:rPr>
          <w:rFonts w:eastAsiaTheme="minorEastAsia"/>
        </w:rPr>
        <w:t>AeroChamber</w:t>
      </w:r>
      <w:proofErr w:type="spellEnd"/>
      <w:r w:rsidRPr="469BFCBA">
        <w:rPr>
          <w:rFonts w:eastAsiaTheme="minorEastAsia"/>
        </w:rPr>
        <w:t xml:space="preserve"> Plus</w:t>
      </w:r>
      <w:r w:rsidRPr="469BFCBA">
        <w:rPr>
          <w:rStyle w:val="normaltextrun"/>
          <w:rFonts w:eastAsiaTheme="minorEastAsia"/>
        </w:rPr>
        <w:t>® spacer device</w:t>
      </w:r>
      <w:r w:rsidRPr="469BFCBA">
        <w:rPr>
          <w:rFonts w:eastAsiaTheme="minorEastAsia"/>
        </w:rPr>
        <w:t xml:space="preserve">. </w:t>
      </w:r>
      <w:proofErr w:type="spellStart"/>
      <w:r w:rsidRPr="469BFCBA">
        <w:rPr>
          <w:rFonts w:eastAsiaTheme="minorEastAsia"/>
        </w:rPr>
        <w:t>Aloflute</w:t>
      </w:r>
      <w:proofErr w:type="spellEnd"/>
      <w:r w:rsidRPr="469BFCBA">
        <w:rPr>
          <w:rStyle w:val="normaltextrun"/>
          <w:rFonts w:eastAsiaTheme="minorEastAsia"/>
        </w:rPr>
        <w:t>®</w:t>
      </w:r>
      <w:r w:rsidRPr="469BFCBA">
        <w:rPr>
          <w:rFonts w:eastAsiaTheme="minorEastAsia"/>
        </w:rPr>
        <w:t xml:space="preserve"> and </w:t>
      </w:r>
      <w:proofErr w:type="spellStart"/>
      <w:r w:rsidRPr="469BFCBA">
        <w:rPr>
          <w:rFonts w:eastAsiaTheme="minorEastAsia"/>
        </w:rPr>
        <w:t>Sirdupla</w:t>
      </w:r>
      <w:proofErr w:type="spellEnd"/>
      <w:r w:rsidRPr="469BFCBA">
        <w:rPr>
          <w:rStyle w:val="normaltextrun"/>
          <w:rFonts w:eastAsiaTheme="minorEastAsia"/>
        </w:rPr>
        <w:t>®</w:t>
      </w:r>
      <w:r w:rsidRPr="469BFCBA">
        <w:rPr>
          <w:rFonts w:eastAsiaTheme="minorEastAsia"/>
        </w:rPr>
        <w:t xml:space="preserve"> inhalers may be suitable alternatives for patients already using the </w:t>
      </w:r>
      <w:proofErr w:type="spellStart"/>
      <w:r w:rsidRPr="469BFCBA">
        <w:rPr>
          <w:rFonts w:eastAsiaTheme="minorEastAsia"/>
        </w:rPr>
        <w:t>AeroChamber</w:t>
      </w:r>
      <w:proofErr w:type="spellEnd"/>
      <w:r w:rsidRPr="469BFCBA">
        <w:rPr>
          <w:rFonts w:eastAsiaTheme="minorEastAsia"/>
        </w:rPr>
        <w:t xml:space="preserve"> Plus</w:t>
      </w:r>
      <w:r w:rsidRPr="469BFCBA">
        <w:rPr>
          <w:rStyle w:val="normaltextrun"/>
          <w:rFonts w:eastAsiaTheme="minorEastAsia"/>
        </w:rPr>
        <w:t>®</w:t>
      </w:r>
      <w:r w:rsidRPr="469BFCBA">
        <w:rPr>
          <w:rFonts w:eastAsiaTheme="minorEastAsia"/>
        </w:rPr>
        <w:t> spacer device.</w:t>
      </w:r>
    </w:p>
    <w:p w14:paraId="64B419C9" w14:textId="77777777" w:rsidR="009C55C9" w:rsidRPr="00696968" w:rsidRDefault="009C55C9" w:rsidP="00AF46FC">
      <w:pPr>
        <w:numPr>
          <w:ilvl w:val="0"/>
          <w:numId w:val="11"/>
        </w:numPr>
        <w:spacing w:before="100" w:beforeAutospacing="1" w:after="100" w:afterAutospacing="1" w:line="240" w:lineRule="auto"/>
        <w:jc w:val="both"/>
        <w:rPr>
          <w:rFonts w:eastAsiaTheme="minorEastAsia"/>
          <w:color w:val="000000" w:themeColor="text1"/>
        </w:rPr>
      </w:pPr>
      <w:r w:rsidRPr="469BFCBA">
        <w:rPr>
          <w:rFonts w:eastAsiaTheme="minorEastAsia"/>
        </w:rPr>
        <w:t xml:space="preserve">For patients substituted to Seretide 125 </w:t>
      </w:r>
      <w:proofErr w:type="spellStart"/>
      <w:r w:rsidRPr="469BFCBA">
        <w:rPr>
          <w:rFonts w:eastAsiaTheme="minorEastAsia"/>
        </w:rPr>
        <w:t>Evohaler</w:t>
      </w:r>
      <w:proofErr w:type="spellEnd"/>
      <w:r w:rsidRPr="469BFCBA">
        <w:rPr>
          <w:rStyle w:val="normaltextrun"/>
          <w:rFonts w:eastAsiaTheme="minorEastAsia"/>
        </w:rPr>
        <w:t>®, a</w:t>
      </w:r>
      <w:r w:rsidRPr="469BFCBA">
        <w:rPr>
          <w:rFonts w:eastAsiaTheme="minorEastAsia"/>
        </w:rPr>
        <w:t> Volumatic</w:t>
      </w:r>
      <w:r w:rsidRPr="469BFCBA">
        <w:rPr>
          <w:rStyle w:val="normaltextrun"/>
          <w:rFonts w:eastAsiaTheme="minorEastAsia"/>
        </w:rPr>
        <w:t>®</w:t>
      </w:r>
      <w:r w:rsidRPr="469BFCBA">
        <w:rPr>
          <w:rFonts w:eastAsiaTheme="minorEastAsia"/>
        </w:rPr>
        <w:t> spacer should be given to patients who require a spacer device.</w:t>
      </w:r>
    </w:p>
    <w:p w14:paraId="6C4E260F" w14:textId="77777777" w:rsidR="009C55C9" w:rsidRPr="00696968" w:rsidRDefault="009C55C9" w:rsidP="00AF46FC">
      <w:pPr>
        <w:numPr>
          <w:ilvl w:val="0"/>
          <w:numId w:val="11"/>
        </w:numPr>
        <w:autoSpaceDE w:val="0"/>
        <w:autoSpaceDN w:val="0"/>
        <w:spacing w:beforeAutospacing="1" w:after="0" w:afterAutospacing="1" w:line="240" w:lineRule="auto"/>
        <w:jc w:val="both"/>
        <w:rPr>
          <w:rFonts w:eastAsiaTheme="minorEastAsia"/>
          <w:color w:val="000000" w:themeColor="text1"/>
        </w:rPr>
      </w:pPr>
      <w:r w:rsidRPr="469BFCBA">
        <w:rPr>
          <w:rFonts w:eastAsiaTheme="minorEastAsia"/>
        </w:rPr>
        <w:t>For patients who pay for their prescriptions, they would continue to pay a single charge for the alternative inhaler supplied in accordance with SSP034. Where it is deemed suitable to supply an alternative spacer to the patient, no prescription charge should be taken for the spacer.</w:t>
      </w:r>
    </w:p>
    <w:p w14:paraId="0D16F8D3" w14:textId="77777777" w:rsidR="009C55C9" w:rsidRPr="00696968" w:rsidRDefault="009C55C9" w:rsidP="00AF46FC">
      <w:pPr>
        <w:numPr>
          <w:ilvl w:val="0"/>
          <w:numId w:val="11"/>
        </w:numPr>
        <w:autoSpaceDE w:val="0"/>
        <w:autoSpaceDN w:val="0"/>
        <w:spacing w:beforeAutospacing="1" w:after="0" w:afterAutospacing="1" w:line="240" w:lineRule="auto"/>
        <w:jc w:val="both"/>
        <w:rPr>
          <w:rFonts w:eastAsiaTheme="minorEastAsia"/>
          <w:color w:val="000000" w:themeColor="text1"/>
        </w:rPr>
      </w:pPr>
      <w:r w:rsidRPr="772CD7E5">
        <w:rPr>
          <w:rFonts w:eastAsiaTheme="minorEastAsia"/>
        </w:rPr>
        <w:t>Pharmacists must exercise their professional judgement to ensure the alternative products are suitable for the patient.</w:t>
      </w:r>
    </w:p>
    <w:p w14:paraId="4554755E" w14:textId="77777777" w:rsidR="009C55C9" w:rsidRPr="00696968" w:rsidRDefault="009C55C9" w:rsidP="009C55C9">
      <w:pPr>
        <w:pStyle w:val="Heading3"/>
        <w:jc w:val="both"/>
        <w:rPr>
          <w:rFonts w:asciiTheme="minorHAnsi" w:eastAsiaTheme="minorEastAsia" w:hAnsiTheme="minorHAnsi" w:cstheme="minorBidi"/>
          <w:color w:val="000000" w:themeColor="text1"/>
        </w:rPr>
      </w:pPr>
      <w:r w:rsidRPr="469BFCBA">
        <w:rPr>
          <w:rStyle w:val="Strong"/>
          <w:rFonts w:asciiTheme="minorHAnsi" w:eastAsiaTheme="minorEastAsia" w:hAnsiTheme="minorHAnsi" w:cstheme="minorBidi"/>
          <w:b w:val="0"/>
          <w:bCs w:val="0"/>
        </w:rPr>
        <w:t>Endorsing requirements</w:t>
      </w:r>
    </w:p>
    <w:p w14:paraId="54277243" w14:textId="77777777" w:rsidR="009C55C9" w:rsidRPr="00696968" w:rsidRDefault="009C55C9" w:rsidP="00AF46FC">
      <w:pPr>
        <w:numPr>
          <w:ilvl w:val="0"/>
          <w:numId w:val="12"/>
        </w:numPr>
        <w:spacing w:before="100" w:beforeAutospacing="1" w:after="100" w:afterAutospacing="1" w:line="240" w:lineRule="auto"/>
        <w:jc w:val="both"/>
        <w:rPr>
          <w:rFonts w:eastAsiaTheme="minorEastAsia"/>
          <w:color w:val="000000" w:themeColor="text1"/>
        </w:rPr>
      </w:pPr>
      <w:r w:rsidRPr="469BFCBA">
        <w:rPr>
          <w:rFonts w:eastAsiaTheme="minorEastAsia"/>
        </w:rPr>
        <w:t>To claim the correct reimbursement and remuneration for supply in accordance with SSP034, follow the endorsing requirements as outlined in </w:t>
      </w:r>
      <w:hyperlink r:id="rId24">
        <w:r w:rsidRPr="469BFCBA">
          <w:rPr>
            <w:rStyle w:val="Hyperlink"/>
            <w:rFonts w:eastAsiaTheme="minorEastAsia"/>
            <w:color w:val="auto"/>
          </w:rPr>
          <w:t>NHSBSA’s supporting guidance</w:t>
        </w:r>
      </w:hyperlink>
      <w:r w:rsidRPr="469BFCBA">
        <w:rPr>
          <w:rFonts w:eastAsiaTheme="minorEastAsia"/>
        </w:rPr>
        <w:t>. See information on </w:t>
      </w:r>
      <w:hyperlink r:id="rId25">
        <w:r w:rsidRPr="469BFCBA">
          <w:rPr>
            <w:rStyle w:val="Hyperlink"/>
            <w:rFonts w:eastAsiaTheme="minorEastAsia"/>
            <w:color w:val="auto"/>
          </w:rPr>
          <w:t>common SSPs endorsing errors</w:t>
        </w:r>
      </w:hyperlink>
      <w:r w:rsidRPr="469BFCBA">
        <w:rPr>
          <w:rFonts w:eastAsiaTheme="minorEastAsia"/>
        </w:rPr>
        <w:t> identified by the NHSBSA.</w:t>
      </w:r>
    </w:p>
    <w:p w14:paraId="08574963" w14:textId="77777777" w:rsidR="009C55C9" w:rsidRPr="00696968" w:rsidRDefault="009C55C9" w:rsidP="00AF46FC">
      <w:pPr>
        <w:numPr>
          <w:ilvl w:val="0"/>
          <w:numId w:val="12"/>
        </w:numPr>
        <w:spacing w:before="100" w:beforeAutospacing="1" w:after="100" w:afterAutospacing="1" w:line="240" w:lineRule="auto"/>
        <w:jc w:val="both"/>
        <w:rPr>
          <w:rFonts w:eastAsiaTheme="minorEastAsia"/>
          <w:color w:val="000000" w:themeColor="text1"/>
        </w:rPr>
      </w:pPr>
      <w:r w:rsidRPr="469BFCBA">
        <w:rPr>
          <w:rFonts w:eastAsiaTheme="minorEastAsia"/>
        </w:rPr>
        <w:t>Contractors should check with their system supplier on the correct method of adding the required SSP endorsements including how to endorse a spacer device, if one is supplied.</w:t>
      </w:r>
    </w:p>
    <w:p w14:paraId="17A714AA" w14:textId="77777777" w:rsidR="009C55C9" w:rsidRPr="00696968" w:rsidRDefault="009C55C9" w:rsidP="00AF46FC">
      <w:pPr>
        <w:numPr>
          <w:ilvl w:val="0"/>
          <w:numId w:val="12"/>
        </w:numPr>
        <w:spacing w:before="100" w:beforeAutospacing="1" w:after="100" w:afterAutospacing="1" w:line="240" w:lineRule="auto"/>
        <w:jc w:val="both"/>
        <w:rPr>
          <w:rFonts w:eastAsiaTheme="minorEastAsia"/>
          <w:color w:val="000000" w:themeColor="text1"/>
        </w:rPr>
      </w:pPr>
      <w:r w:rsidRPr="469BFCBA">
        <w:rPr>
          <w:rFonts w:eastAsiaTheme="minorEastAsia"/>
        </w:rPr>
        <w:t>When a spacer device is supplied in accordance with SSP034, contractors should endorse the brand and type of spacer supplied for example, Volumatic</w:t>
      </w:r>
      <w:r w:rsidRPr="469BFCBA">
        <w:rPr>
          <w:rStyle w:val="normaltextrun"/>
          <w:rFonts w:eastAsiaTheme="minorEastAsia"/>
        </w:rPr>
        <w:t>®</w:t>
      </w:r>
      <w:r w:rsidRPr="469BFCBA">
        <w:rPr>
          <w:rFonts w:eastAsiaTheme="minorEastAsia"/>
        </w:rPr>
        <w:t> or Volumatic paediatric</w:t>
      </w:r>
      <w:r w:rsidRPr="469BFCBA">
        <w:rPr>
          <w:rStyle w:val="normaltextrun"/>
          <w:rFonts w:eastAsiaTheme="minorEastAsia"/>
        </w:rPr>
        <w:t>®</w:t>
      </w:r>
      <w:r w:rsidRPr="469BFCBA">
        <w:rPr>
          <w:rFonts w:eastAsiaTheme="minorEastAsia"/>
        </w:rPr>
        <w:t> with mask, if appropriate.</w:t>
      </w:r>
    </w:p>
    <w:p w14:paraId="7FD06BFC" w14:textId="77777777" w:rsidR="009C55C9" w:rsidRPr="00696968" w:rsidRDefault="009C55C9" w:rsidP="00AF46FC">
      <w:pPr>
        <w:numPr>
          <w:ilvl w:val="0"/>
          <w:numId w:val="12"/>
        </w:numPr>
        <w:spacing w:before="100" w:beforeAutospacing="1" w:after="100" w:afterAutospacing="1" w:line="240" w:lineRule="auto"/>
        <w:jc w:val="both"/>
        <w:rPr>
          <w:rFonts w:eastAsiaTheme="minorEastAsia"/>
          <w:color w:val="000000" w:themeColor="text1"/>
        </w:rPr>
      </w:pPr>
      <w:r w:rsidRPr="469BFCBA">
        <w:rPr>
          <w:rStyle w:val="Strong"/>
          <w:rFonts w:eastAsiaTheme="minorEastAsia"/>
        </w:rPr>
        <w:t>If your PMR system does not allow endorsement of multiple products (inhaler and spacer) against a single prescribed item, contractors should endorse the alternative inhaler supplied along with the correct SSP endorsement. For the spacer device, the contractor would select the ‘NCSO’ endorsement and enter the brand/type of spacer supplied in the text.</w:t>
      </w:r>
    </w:p>
    <w:p w14:paraId="79CBA585" w14:textId="77777777" w:rsidR="009C55C9" w:rsidRPr="00696968" w:rsidRDefault="009C55C9" w:rsidP="00AF46FC">
      <w:pPr>
        <w:numPr>
          <w:ilvl w:val="0"/>
          <w:numId w:val="12"/>
        </w:numPr>
        <w:spacing w:before="100" w:beforeAutospacing="1" w:after="100" w:afterAutospacing="1" w:line="240" w:lineRule="auto"/>
        <w:jc w:val="both"/>
        <w:rPr>
          <w:rStyle w:val="Strong"/>
          <w:rFonts w:eastAsiaTheme="minorEastAsia"/>
          <w:color w:val="000000" w:themeColor="text1"/>
        </w:rPr>
      </w:pPr>
      <w:r w:rsidRPr="469BFCBA">
        <w:rPr>
          <w:rStyle w:val="Strong"/>
          <w:rFonts w:eastAsiaTheme="minorEastAsia"/>
        </w:rPr>
        <w:t>If a spacer cannot be added to endorsement this will not be reimbursed. If your PMR system functionality does not support correct endorsement requirements, the patient should be referred back to their prescriber to obtain a new prescription for an alternative inhaler and a compatible spacer.</w:t>
      </w:r>
    </w:p>
    <w:p w14:paraId="1499CCA4" w14:textId="77777777" w:rsidR="009C55C9" w:rsidRDefault="009C55C9" w:rsidP="009C55C9">
      <w:pPr>
        <w:pStyle w:val="NormalWeb"/>
        <w:jc w:val="both"/>
      </w:pPr>
      <w:r w:rsidRPr="469BFCBA">
        <w:rPr>
          <w:rFonts w:asciiTheme="minorHAnsi" w:eastAsiaTheme="minorEastAsia" w:hAnsiTheme="minorHAnsi" w:cstheme="minorBidi"/>
          <w:sz w:val="22"/>
          <w:szCs w:val="22"/>
        </w:rPr>
        <w:t xml:space="preserve">Contractors should have been sent an email to their shared </w:t>
      </w:r>
      <w:proofErr w:type="spellStart"/>
      <w:r w:rsidRPr="469BFCBA">
        <w:rPr>
          <w:rFonts w:asciiTheme="minorHAnsi" w:eastAsiaTheme="minorEastAsia" w:hAnsiTheme="minorHAnsi" w:cstheme="minorBidi"/>
          <w:sz w:val="22"/>
          <w:szCs w:val="22"/>
        </w:rPr>
        <w:t>NHSmail</w:t>
      </w:r>
      <w:proofErr w:type="spellEnd"/>
      <w:r w:rsidRPr="469BFCBA">
        <w:rPr>
          <w:rFonts w:asciiTheme="minorHAnsi" w:eastAsiaTheme="minorEastAsia" w:hAnsiTheme="minorHAnsi" w:cstheme="minorBidi"/>
          <w:sz w:val="22"/>
          <w:szCs w:val="22"/>
        </w:rPr>
        <w:t xml:space="preserve"> account informing them of this SSP. Pharmacists are required to read and comply with the requirements outlined within the individual SSP and supporting guidance as published on the </w:t>
      </w:r>
      <w:hyperlink r:id="rId26">
        <w:r w:rsidRPr="469BFCBA">
          <w:rPr>
            <w:rStyle w:val="Hyperlink"/>
            <w:rFonts w:asciiTheme="minorHAnsi" w:eastAsiaTheme="minorEastAsia" w:hAnsiTheme="minorHAnsi" w:cstheme="minorBidi"/>
            <w:color w:val="auto"/>
            <w:sz w:val="22"/>
            <w:szCs w:val="22"/>
          </w:rPr>
          <w:t>NHSBSA website</w:t>
        </w:r>
      </w:hyperlink>
      <w:r w:rsidRPr="469BFCBA">
        <w:rPr>
          <w:rFonts w:asciiTheme="minorHAnsi" w:eastAsiaTheme="minorEastAsia" w:hAnsiTheme="minorHAnsi" w:cstheme="minorBidi"/>
          <w:sz w:val="22"/>
          <w:szCs w:val="22"/>
        </w:rPr>
        <w:t xml:space="preserve"> for SSP034 </w:t>
      </w:r>
      <w:proofErr w:type="spellStart"/>
      <w:r w:rsidRPr="469BFCBA">
        <w:rPr>
          <w:rFonts w:asciiTheme="minorHAnsi" w:eastAsiaTheme="minorEastAsia" w:hAnsiTheme="minorHAnsi" w:cstheme="minorBidi"/>
          <w:sz w:val="22"/>
          <w:szCs w:val="22"/>
        </w:rPr>
        <w:t>Combisal</w:t>
      </w:r>
      <w:proofErr w:type="spellEnd"/>
      <w:r w:rsidRPr="469BFCBA">
        <w:rPr>
          <w:rFonts w:asciiTheme="minorHAnsi" w:eastAsiaTheme="minorEastAsia" w:hAnsiTheme="minorHAnsi" w:cstheme="minorBidi"/>
          <w:sz w:val="22"/>
          <w:szCs w:val="22"/>
        </w:rPr>
        <w:t>® 125mcg/25mcg inhalers.</w:t>
      </w:r>
    </w:p>
    <w:p w14:paraId="6B4C63A7" w14:textId="77777777" w:rsidR="009C55C9" w:rsidRPr="00696968" w:rsidRDefault="009C55C9" w:rsidP="009C55C9">
      <w:pPr>
        <w:pStyle w:val="NormalWeb"/>
        <w:jc w:val="both"/>
        <w:rPr>
          <w:rFonts w:asciiTheme="minorHAnsi" w:eastAsiaTheme="minorEastAsia" w:hAnsiTheme="minorHAnsi" w:cstheme="minorBidi"/>
          <w:color w:val="000000" w:themeColor="text1"/>
          <w:sz w:val="22"/>
          <w:szCs w:val="22"/>
        </w:rPr>
      </w:pPr>
    </w:p>
    <w:p w14:paraId="6C97E0B9" w14:textId="77777777" w:rsidR="009C55C9" w:rsidRPr="00696968" w:rsidRDefault="009C55C9" w:rsidP="009C55C9">
      <w:pPr>
        <w:pStyle w:val="Heading3"/>
        <w:jc w:val="both"/>
        <w:rPr>
          <w:rFonts w:asciiTheme="minorHAnsi" w:eastAsiaTheme="minorEastAsia" w:hAnsiTheme="minorHAnsi" w:cstheme="minorBidi"/>
          <w:color w:val="000000" w:themeColor="text1"/>
        </w:rPr>
      </w:pPr>
      <w:r w:rsidRPr="469BFCBA">
        <w:rPr>
          <w:rFonts w:asciiTheme="minorHAnsi" w:eastAsiaTheme="minorEastAsia" w:hAnsiTheme="minorHAnsi" w:cstheme="minorBidi"/>
        </w:rPr>
        <w:lastRenderedPageBreak/>
        <w:t>Remuneration</w:t>
      </w:r>
    </w:p>
    <w:p w14:paraId="1994F825" w14:textId="77777777" w:rsidR="009C55C9" w:rsidRPr="00696968" w:rsidRDefault="009C55C9" w:rsidP="009C55C9">
      <w:pPr>
        <w:pStyle w:val="NormalWeb"/>
        <w:jc w:val="both"/>
        <w:rPr>
          <w:rFonts w:asciiTheme="minorHAnsi" w:eastAsiaTheme="minorEastAsia" w:hAnsiTheme="minorHAnsi" w:cstheme="minorBidi"/>
          <w:color w:val="000000" w:themeColor="text1"/>
          <w:sz w:val="22"/>
          <w:szCs w:val="22"/>
        </w:rPr>
      </w:pPr>
      <w:r w:rsidRPr="469BFCBA">
        <w:rPr>
          <w:rFonts w:asciiTheme="minorHAnsi" w:eastAsiaTheme="minorEastAsia" w:hAnsiTheme="minorHAnsi" w:cstheme="minorBidi"/>
          <w:sz w:val="22"/>
          <w:szCs w:val="22"/>
        </w:rPr>
        <w:t>Supply in accordance with this SSP034 will result in the following fees being paid to the contractor:</w:t>
      </w:r>
    </w:p>
    <w:p w14:paraId="03005C51" w14:textId="77777777" w:rsidR="009C55C9" w:rsidRPr="00696968" w:rsidRDefault="009C55C9" w:rsidP="00AF46FC">
      <w:pPr>
        <w:numPr>
          <w:ilvl w:val="0"/>
          <w:numId w:val="13"/>
        </w:numPr>
        <w:spacing w:before="100" w:beforeAutospacing="1" w:after="100" w:afterAutospacing="1" w:line="240" w:lineRule="auto"/>
        <w:jc w:val="both"/>
        <w:rPr>
          <w:rFonts w:eastAsiaTheme="minorEastAsia"/>
          <w:color w:val="000000" w:themeColor="text1"/>
        </w:rPr>
      </w:pPr>
      <w:r w:rsidRPr="469BFCBA">
        <w:rPr>
          <w:rFonts w:eastAsiaTheme="minorEastAsia"/>
        </w:rPr>
        <w:t>One Single Activity Fee (£1.27) where only one dispensed item or two Single Activity Fees (2 x £1.27) where it is deemed suitable to supply an alternative spacer to the patient.</w:t>
      </w:r>
    </w:p>
    <w:p w14:paraId="3FE23DBB" w14:textId="77777777" w:rsidR="009C55C9" w:rsidRPr="00696968" w:rsidRDefault="009C55C9" w:rsidP="00AF46FC">
      <w:pPr>
        <w:numPr>
          <w:ilvl w:val="0"/>
          <w:numId w:val="13"/>
        </w:numPr>
        <w:spacing w:before="100" w:beforeAutospacing="1" w:after="100" w:afterAutospacing="1" w:line="240" w:lineRule="auto"/>
        <w:jc w:val="both"/>
        <w:rPr>
          <w:rFonts w:eastAsiaTheme="minorEastAsia"/>
          <w:color w:val="000000" w:themeColor="text1"/>
        </w:rPr>
      </w:pPr>
      <w:r w:rsidRPr="772CD7E5">
        <w:rPr>
          <w:rFonts w:eastAsiaTheme="minorEastAsia"/>
        </w:rPr>
        <w:t>One SSP fee (£5.35)</w:t>
      </w:r>
    </w:p>
    <w:p w14:paraId="65671284" w14:textId="77777777" w:rsidR="009C55C9" w:rsidRPr="00696968" w:rsidRDefault="009C55C9" w:rsidP="009C55C9">
      <w:pPr>
        <w:pStyle w:val="Heading3"/>
        <w:jc w:val="both"/>
        <w:rPr>
          <w:rFonts w:asciiTheme="minorHAnsi" w:eastAsiaTheme="minorEastAsia" w:hAnsiTheme="minorHAnsi" w:cstheme="minorBidi"/>
          <w:color w:val="000000" w:themeColor="text1"/>
        </w:rPr>
      </w:pPr>
      <w:r w:rsidRPr="469BFCBA">
        <w:rPr>
          <w:rFonts w:asciiTheme="minorHAnsi" w:eastAsiaTheme="minorEastAsia" w:hAnsiTheme="minorHAnsi" w:cstheme="minorBidi"/>
        </w:rPr>
        <w:t>Reimbursement</w:t>
      </w:r>
    </w:p>
    <w:p w14:paraId="3E3E2BCB" w14:textId="77777777" w:rsidR="009C55C9" w:rsidRPr="00696968" w:rsidRDefault="009C55C9" w:rsidP="009C55C9">
      <w:pPr>
        <w:pStyle w:val="NormalWeb"/>
        <w:jc w:val="both"/>
        <w:rPr>
          <w:rFonts w:asciiTheme="minorHAnsi" w:eastAsiaTheme="minorEastAsia" w:hAnsiTheme="minorHAnsi" w:cstheme="minorBidi"/>
          <w:color w:val="000000" w:themeColor="text1"/>
          <w:sz w:val="22"/>
          <w:szCs w:val="22"/>
        </w:rPr>
      </w:pPr>
      <w:r w:rsidRPr="469BFCBA">
        <w:rPr>
          <w:rFonts w:asciiTheme="minorHAnsi" w:eastAsiaTheme="minorEastAsia" w:hAnsiTheme="minorHAnsi" w:cstheme="minorBidi"/>
          <w:sz w:val="22"/>
          <w:szCs w:val="22"/>
        </w:rPr>
        <w:t>The supplied product in accordance with this SSP034 will be reimbursed as if it was dispensed against a prescription. In this instance, contractors will be reimbursed the NHS list price for the quantity supplied and endorsed for the specified products and strengths listed below:</w:t>
      </w:r>
    </w:p>
    <w:p w14:paraId="7222DC6A" w14:textId="77777777" w:rsidR="009C55C9" w:rsidRDefault="009C55C9" w:rsidP="00AF46FC">
      <w:pPr>
        <w:numPr>
          <w:ilvl w:val="0"/>
          <w:numId w:val="14"/>
        </w:numPr>
        <w:autoSpaceDE w:val="0"/>
        <w:autoSpaceDN w:val="0"/>
        <w:spacing w:beforeAutospacing="1" w:after="0" w:afterAutospacing="1"/>
        <w:jc w:val="both"/>
        <w:rPr>
          <w:rFonts w:eastAsiaTheme="minorEastAsia"/>
          <w:color w:val="000000" w:themeColor="text1"/>
        </w:rPr>
      </w:pPr>
      <w:proofErr w:type="spellStart"/>
      <w:r w:rsidRPr="469BFCBA">
        <w:rPr>
          <w:rFonts w:eastAsiaTheme="minorEastAsia"/>
        </w:rPr>
        <w:t>Aloflute</w:t>
      </w:r>
      <w:proofErr w:type="spellEnd"/>
      <w:r w:rsidRPr="469BFCBA">
        <w:rPr>
          <w:rFonts w:eastAsiaTheme="minorEastAsia"/>
        </w:rPr>
        <w:t xml:space="preserve"> ®</w:t>
      </w:r>
    </w:p>
    <w:p w14:paraId="3E6ECE43" w14:textId="77777777" w:rsidR="009C55C9" w:rsidRPr="00696968" w:rsidRDefault="009C55C9" w:rsidP="00AF46FC">
      <w:pPr>
        <w:numPr>
          <w:ilvl w:val="0"/>
          <w:numId w:val="14"/>
        </w:numPr>
        <w:spacing w:before="100" w:beforeAutospacing="1" w:after="100" w:afterAutospacing="1" w:line="240" w:lineRule="auto"/>
        <w:jc w:val="both"/>
        <w:rPr>
          <w:rFonts w:eastAsiaTheme="minorEastAsia"/>
          <w:color w:val="000000" w:themeColor="text1"/>
        </w:rPr>
      </w:pPr>
      <w:proofErr w:type="spellStart"/>
      <w:r w:rsidRPr="469BFCBA">
        <w:rPr>
          <w:rFonts w:eastAsiaTheme="minorEastAsia"/>
        </w:rPr>
        <w:t>Sereflo</w:t>
      </w:r>
      <w:proofErr w:type="spellEnd"/>
      <w:r w:rsidRPr="469BFCBA">
        <w:rPr>
          <w:rFonts w:eastAsiaTheme="minorEastAsia"/>
        </w:rPr>
        <w:t xml:space="preserve"> ® </w:t>
      </w:r>
    </w:p>
    <w:p w14:paraId="3BEBAEA4" w14:textId="77777777" w:rsidR="009C55C9" w:rsidRPr="00696968" w:rsidRDefault="009C55C9" w:rsidP="00AF46FC">
      <w:pPr>
        <w:numPr>
          <w:ilvl w:val="0"/>
          <w:numId w:val="14"/>
        </w:numPr>
        <w:spacing w:before="100" w:beforeAutospacing="1" w:after="100" w:afterAutospacing="1" w:line="240" w:lineRule="auto"/>
        <w:jc w:val="both"/>
        <w:rPr>
          <w:rFonts w:eastAsiaTheme="minorEastAsia"/>
          <w:color w:val="000000" w:themeColor="text1"/>
        </w:rPr>
      </w:pPr>
      <w:r w:rsidRPr="469BFCBA">
        <w:rPr>
          <w:rFonts w:eastAsiaTheme="minorEastAsia"/>
        </w:rPr>
        <w:t xml:space="preserve">Seretide® 125 </w:t>
      </w:r>
      <w:proofErr w:type="spellStart"/>
      <w:r w:rsidRPr="469BFCBA">
        <w:rPr>
          <w:rFonts w:eastAsiaTheme="minorEastAsia"/>
        </w:rPr>
        <w:t>Evohaler</w:t>
      </w:r>
      <w:proofErr w:type="spellEnd"/>
    </w:p>
    <w:p w14:paraId="5B979C4C" w14:textId="77777777" w:rsidR="009C55C9" w:rsidRPr="00696968" w:rsidRDefault="009C55C9" w:rsidP="00AF46FC">
      <w:pPr>
        <w:numPr>
          <w:ilvl w:val="0"/>
          <w:numId w:val="14"/>
        </w:numPr>
        <w:autoSpaceDE w:val="0"/>
        <w:autoSpaceDN w:val="0"/>
        <w:spacing w:beforeAutospacing="1" w:after="0" w:afterAutospacing="1" w:line="240" w:lineRule="auto"/>
        <w:jc w:val="both"/>
        <w:rPr>
          <w:rFonts w:eastAsiaTheme="minorEastAsia"/>
          <w:color w:val="000000" w:themeColor="text1"/>
        </w:rPr>
      </w:pPr>
      <w:proofErr w:type="spellStart"/>
      <w:r w:rsidRPr="469BFCBA">
        <w:rPr>
          <w:rFonts w:eastAsiaTheme="minorEastAsia"/>
        </w:rPr>
        <w:t>Sirdupla</w:t>
      </w:r>
      <w:proofErr w:type="spellEnd"/>
      <w:r w:rsidRPr="469BFCBA">
        <w:rPr>
          <w:rFonts w:eastAsiaTheme="minorEastAsia"/>
        </w:rPr>
        <w:t xml:space="preserve"> ®</w:t>
      </w:r>
    </w:p>
    <w:p w14:paraId="6253FDD4" w14:textId="77777777" w:rsidR="009C55C9" w:rsidRPr="00696968" w:rsidRDefault="009C55C9" w:rsidP="009C55C9">
      <w:pPr>
        <w:spacing w:beforeAutospacing="1" w:afterAutospacing="1"/>
        <w:jc w:val="both"/>
        <w:rPr>
          <w:rFonts w:eastAsiaTheme="minorEastAsia"/>
          <w:color w:val="000000" w:themeColor="text1"/>
        </w:rPr>
      </w:pPr>
      <w:r w:rsidRPr="469BFCBA">
        <w:rPr>
          <w:rFonts w:eastAsiaTheme="minorEastAsia"/>
        </w:rPr>
        <w:t>Where deemed appropriate if a spacer is supplied in accordance with this SSP, then pharmacy contractors will be reimbursed the Part IX reimbursement price for the product endorsed. All </w:t>
      </w:r>
      <w:proofErr w:type="spellStart"/>
      <w:r w:rsidRPr="469BFCBA">
        <w:rPr>
          <w:rStyle w:val="Emphasis"/>
          <w:rFonts w:eastAsiaTheme="minorEastAsia"/>
        </w:rPr>
        <w:t>AeroChamber</w:t>
      </w:r>
      <w:proofErr w:type="spellEnd"/>
      <w:r w:rsidRPr="469BFCBA">
        <w:rPr>
          <w:rStyle w:val="Emphasis"/>
          <w:rFonts w:eastAsiaTheme="minorEastAsia"/>
        </w:rPr>
        <w:t xml:space="preserve"> Plus</w:t>
      </w:r>
      <w:r w:rsidRPr="469BFCBA">
        <w:rPr>
          <w:rStyle w:val="Emphasis"/>
          <w:rFonts w:eastAsiaTheme="minorEastAsia"/>
          <w:vertAlign w:val="superscript"/>
        </w:rPr>
        <w:t>®</w:t>
      </w:r>
      <w:r w:rsidRPr="469BFCBA">
        <w:rPr>
          <w:rFonts w:eastAsiaTheme="minorEastAsia"/>
        </w:rPr>
        <w:t> and </w:t>
      </w:r>
      <w:r w:rsidRPr="469BFCBA">
        <w:rPr>
          <w:rStyle w:val="Emphasis"/>
          <w:rFonts w:eastAsiaTheme="minorEastAsia"/>
        </w:rPr>
        <w:t>Volumatic</w:t>
      </w:r>
      <w:r w:rsidRPr="469BFCBA">
        <w:rPr>
          <w:rStyle w:val="Emphasis"/>
          <w:rFonts w:eastAsiaTheme="minorEastAsia"/>
          <w:vertAlign w:val="superscript"/>
        </w:rPr>
        <w:t>® </w:t>
      </w:r>
      <w:r w:rsidRPr="469BFCBA">
        <w:rPr>
          <w:rFonts w:eastAsiaTheme="minorEastAsia"/>
        </w:rPr>
        <w:t>spacer device types listed in the Tariff can be supplied, as appropriate.</w:t>
      </w:r>
    </w:p>
    <w:p w14:paraId="4B3D8F46" w14:textId="77777777" w:rsidR="009C55C9" w:rsidRPr="00696968" w:rsidRDefault="009C55C9" w:rsidP="009C55C9">
      <w:pPr>
        <w:pStyle w:val="NormalWeb"/>
        <w:jc w:val="both"/>
        <w:rPr>
          <w:rFonts w:asciiTheme="minorHAnsi" w:eastAsiaTheme="minorEastAsia" w:hAnsiTheme="minorHAnsi" w:cstheme="minorBidi"/>
          <w:color w:val="000000" w:themeColor="text1"/>
          <w:sz w:val="22"/>
          <w:szCs w:val="22"/>
        </w:rPr>
      </w:pPr>
      <w:r w:rsidRPr="469BFCBA">
        <w:rPr>
          <w:rStyle w:val="Strong"/>
          <w:rFonts w:asciiTheme="minorHAnsi" w:eastAsiaTheme="minorEastAsia" w:hAnsiTheme="minorHAnsi" w:cstheme="minorBidi"/>
          <w:sz w:val="22"/>
          <w:szCs w:val="22"/>
        </w:rPr>
        <w:t>Where the correct endorsement (as per Clause 9 Part II of the Drug Tariff) is not provided, pharmacy contractors will be reimbursed the cheapest spacer/holding chamber device as recommended for the substituted inhaler.</w:t>
      </w:r>
    </w:p>
    <w:p w14:paraId="13AE416E" w14:textId="77777777" w:rsidR="009C55C9" w:rsidRPr="00696968" w:rsidRDefault="009C55C9" w:rsidP="009C55C9">
      <w:pPr>
        <w:pStyle w:val="NormalWeb"/>
        <w:jc w:val="both"/>
        <w:rPr>
          <w:rFonts w:asciiTheme="minorHAnsi" w:eastAsiaTheme="minorEastAsia" w:hAnsiTheme="minorHAnsi" w:cstheme="minorBidi"/>
          <w:color w:val="000000" w:themeColor="text1"/>
          <w:sz w:val="22"/>
          <w:szCs w:val="22"/>
        </w:rPr>
      </w:pPr>
    </w:p>
    <w:p w14:paraId="1F10DA00" w14:textId="77777777" w:rsidR="009C55C9" w:rsidRPr="00696968" w:rsidRDefault="009C55C9" w:rsidP="009C55C9">
      <w:pPr>
        <w:pStyle w:val="NormalWeb"/>
        <w:jc w:val="both"/>
        <w:rPr>
          <w:rFonts w:asciiTheme="minorHAnsi" w:eastAsiaTheme="minorEastAsia" w:hAnsiTheme="minorHAnsi" w:cstheme="minorBidi"/>
          <w:color w:val="000000" w:themeColor="text1"/>
          <w:sz w:val="22"/>
          <w:szCs w:val="22"/>
        </w:rPr>
      </w:pPr>
      <w:r w:rsidRPr="469BFCBA">
        <w:rPr>
          <w:rFonts w:asciiTheme="minorHAnsi" w:eastAsiaTheme="minorEastAsia" w:hAnsiTheme="minorHAnsi" w:cstheme="minorBidi"/>
          <w:sz w:val="22"/>
          <w:szCs w:val="22"/>
        </w:rPr>
        <w:t>The reimbursement price will account for VAT payment.</w:t>
      </w:r>
    </w:p>
    <w:p w14:paraId="6487FEF3" w14:textId="77777777" w:rsidR="009C55C9" w:rsidRPr="00696968" w:rsidRDefault="009C55C9" w:rsidP="009C55C9">
      <w:pPr>
        <w:pStyle w:val="NormalWeb"/>
        <w:jc w:val="both"/>
        <w:rPr>
          <w:rFonts w:asciiTheme="minorHAnsi" w:hAnsiTheme="minorHAnsi" w:cstheme="minorHAnsi"/>
          <w:color w:val="000000" w:themeColor="text1"/>
          <w:sz w:val="22"/>
          <w:szCs w:val="22"/>
        </w:rPr>
      </w:pPr>
    </w:p>
    <w:p w14:paraId="504C9F05" w14:textId="77777777" w:rsidR="009C55C9" w:rsidRDefault="009C55C9" w:rsidP="009C55C9">
      <w:pPr>
        <w:jc w:val="both"/>
        <w:rPr>
          <w:color w:val="444444"/>
        </w:rPr>
      </w:pPr>
    </w:p>
    <w:p w14:paraId="267D6E7E" w14:textId="77777777" w:rsidR="009C55C9" w:rsidRDefault="009C55C9" w:rsidP="009C55C9">
      <w:pPr>
        <w:pStyle w:val="NormalWeb"/>
        <w:widowControl/>
        <w:jc w:val="both"/>
        <w:rPr>
          <w:rFonts w:ascii="Calibri Light" w:eastAsiaTheme="minorHAnsi" w:hAnsi="Calibri Light" w:cs="Calibri Light"/>
          <w:color w:val="2F5496" w:themeColor="accent1" w:themeShade="BF"/>
          <w:sz w:val="32"/>
          <w:szCs w:val="32"/>
          <w:lang w:bidi="ar-SA"/>
        </w:rPr>
      </w:pPr>
      <w:r w:rsidRPr="001174CD">
        <w:rPr>
          <w:rFonts w:ascii="Calibri Light" w:eastAsiaTheme="minorHAnsi" w:hAnsi="Calibri Light" w:cs="Calibri Light"/>
          <w:color w:val="2F5496" w:themeColor="accent1" w:themeShade="BF"/>
          <w:sz w:val="32"/>
          <w:szCs w:val="32"/>
          <w:lang w:bidi="ar-SA"/>
        </w:rPr>
        <w:t>12 SSPs for HRT medicines extended</w:t>
      </w:r>
    </w:p>
    <w:p w14:paraId="35048BED" w14:textId="77777777" w:rsidR="009C55C9" w:rsidRDefault="009C55C9" w:rsidP="009C55C9">
      <w:pPr>
        <w:pStyle w:val="NormalWeb"/>
        <w:widowControl/>
        <w:jc w:val="both"/>
        <w:rPr>
          <w:rFonts w:ascii="Calibri Light" w:eastAsiaTheme="minorHAnsi" w:hAnsi="Calibri Light" w:cs="Calibri Light"/>
          <w:color w:val="2F5496" w:themeColor="accent1" w:themeShade="BF"/>
          <w:sz w:val="32"/>
          <w:szCs w:val="32"/>
          <w:lang w:bidi="ar-SA"/>
        </w:rPr>
      </w:pPr>
    </w:p>
    <w:p w14:paraId="0A78C6C3" w14:textId="77777777" w:rsidR="009C55C9" w:rsidRPr="00696968" w:rsidRDefault="009C55C9" w:rsidP="009C55C9">
      <w:pPr>
        <w:pStyle w:val="NormalWeb"/>
        <w:jc w:val="both"/>
        <w:rPr>
          <w:rFonts w:asciiTheme="minorHAnsi" w:eastAsia="Times New Roman" w:hAnsiTheme="minorHAnsi" w:cstheme="minorBidi"/>
          <w:color w:val="000000" w:themeColor="text1"/>
          <w:sz w:val="22"/>
          <w:szCs w:val="22"/>
          <w:lang w:bidi="ar-SA"/>
        </w:rPr>
      </w:pPr>
      <w:r w:rsidRPr="469BFCBA">
        <w:rPr>
          <w:rFonts w:asciiTheme="minorHAnsi" w:hAnsiTheme="minorHAnsi" w:cstheme="minorBidi"/>
          <w:color w:val="000000" w:themeColor="text1"/>
          <w:sz w:val="22"/>
          <w:szCs w:val="22"/>
        </w:rPr>
        <w:t>Twelve of the thirteen Hormone Replacement Therapy (HRT) Serious Shortage Protocols (SSPs) have been extended to </w:t>
      </w:r>
      <w:r w:rsidRPr="469BFCBA">
        <w:rPr>
          <w:rStyle w:val="Strong"/>
          <w:rFonts w:asciiTheme="minorHAnsi" w:hAnsiTheme="minorHAnsi" w:cstheme="minorBidi"/>
          <w:color w:val="000000" w:themeColor="text1"/>
          <w:sz w:val="22"/>
          <w:szCs w:val="22"/>
        </w:rPr>
        <w:t>28 October 2022</w:t>
      </w:r>
      <w:r w:rsidRPr="469BFCBA">
        <w:rPr>
          <w:rFonts w:asciiTheme="minorHAnsi" w:hAnsiTheme="minorHAnsi" w:cstheme="minorBidi"/>
          <w:color w:val="000000" w:themeColor="text1"/>
          <w:sz w:val="22"/>
          <w:szCs w:val="22"/>
        </w:rPr>
        <w:t>. This is to help manage the ongoing supply disruptions affecting the availability of certain HRT medicines. </w:t>
      </w:r>
      <w:r w:rsidRPr="469BFCBA">
        <w:rPr>
          <w:rStyle w:val="Strong"/>
          <w:rFonts w:asciiTheme="minorHAnsi" w:hAnsiTheme="minorHAnsi" w:cstheme="minorBidi"/>
          <w:color w:val="000000" w:themeColor="text1"/>
          <w:sz w:val="22"/>
          <w:szCs w:val="22"/>
        </w:rPr>
        <w:t>The HRT SSPs which have been extended include SSP019, SSP020 and SSPs 022 – 031 (see table below)</w:t>
      </w:r>
      <w:r w:rsidRPr="469BFCBA">
        <w:rPr>
          <w:rFonts w:asciiTheme="minorHAnsi" w:hAnsiTheme="minorHAnsi" w:cstheme="minorBidi"/>
          <w:color w:val="000000" w:themeColor="text1"/>
          <w:sz w:val="22"/>
          <w:szCs w:val="22"/>
        </w:rPr>
        <w:t>.</w:t>
      </w:r>
    </w:p>
    <w:p w14:paraId="566DDB24" w14:textId="77777777" w:rsidR="009C55C9" w:rsidRDefault="009C55C9" w:rsidP="009C55C9">
      <w:pPr>
        <w:pStyle w:val="NormalWeb"/>
        <w:jc w:val="both"/>
        <w:rPr>
          <w:rFonts w:asciiTheme="minorHAnsi" w:hAnsiTheme="minorHAnsi" w:cstheme="minorBidi"/>
          <w:color w:val="000000" w:themeColor="text1"/>
          <w:sz w:val="22"/>
          <w:szCs w:val="22"/>
        </w:rPr>
      </w:pPr>
    </w:p>
    <w:p w14:paraId="4F7CC5AD" w14:textId="77777777" w:rsidR="009C55C9" w:rsidRPr="00696968" w:rsidRDefault="009C55C9" w:rsidP="009C55C9">
      <w:pPr>
        <w:pStyle w:val="NormalWeb"/>
        <w:jc w:val="both"/>
        <w:rPr>
          <w:rFonts w:asciiTheme="minorHAnsi" w:hAnsiTheme="minorHAnsi" w:cstheme="minorBidi"/>
          <w:color w:val="000000" w:themeColor="text1"/>
          <w:sz w:val="22"/>
          <w:szCs w:val="22"/>
        </w:rPr>
      </w:pPr>
      <w:r w:rsidRPr="469BFCBA">
        <w:rPr>
          <w:rFonts w:asciiTheme="minorHAnsi" w:hAnsiTheme="minorHAnsi" w:cstheme="minorBidi"/>
          <w:color w:val="000000" w:themeColor="text1"/>
          <w:sz w:val="22"/>
          <w:szCs w:val="22"/>
        </w:rPr>
        <w:t>The only HRT SSP expired 29 July 2022 was for</w:t>
      </w:r>
      <w:r w:rsidRPr="469BFCBA">
        <w:rPr>
          <w:rStyle w:val="Strong"/>
          <w:rFonts w:asciiTheme="minorHAnsi" w:eastAsiaTheme="minorEastAsia" w:hAnsiTheme="minorHAnsi" w:cstheme="minorBidi"/>
          <w:color w:val="000000" w:themeColor="text1"/>
          <w:sz w:val="22"/>
          <w:szCs w:val="22"/>
          <w:u w:val="single"/>
        </w:rPr>
        <w:t xml:space="preserve"> SSP021 </w:t>
      </w:r>
      <w:proofErr w:type="spellStart"/>
      <w:r w:rsidRPr="469BFCBA">
        <w:rPr>
          <w:rStyle w:val="Strong"/>
          <w:rFonts w:asciiTheme="minorHAnsi" w:eastAsiaTheme="minorEastAsia" w:hAnsiTheme="minorHAnsi" w:cstheme="minorBidi"/>
          <w:color w:val="000000" w:themeColor="text1"/>
          <w:sz w:val="22"/>
          <w:szCs w:val="22"/>
          <w:u w:val="single"/>
        </w:rPr>
        <w:t>Premique</w:t>
      </w:r>
      <w:proofErr w:type="spellEnd"/>
      <w:r w:rsidRPr="469BFCBA">
        <w:rPr>
          <w:rFonts w:asciiTheme="minorHAnsi" w:eastAsiaTheme="minorEastAsia" w:hAnsiTheme="minorHAnsi" w:cstheme="minorBidi"/>
          <w:color w:val="000000" w:themeColor="text1"/>
          <w:sz w:val="22"/>
          <w:szCs w:val="22"/>
          <w:u w:val="single"/>
        </w:rPr>
        <w:t>®</w:t>
      </w:r>
      <w:r w:rsidRPr="469BFCBA">
        <w:rPr>
          <w:rStyle w:val="Strong"/>
          <w:rFonts w:asciiTheme="minorHAnsi" w:eastAsiaTheme="minorEastAsia" w:hAnsiTheme="minorHAnsi" w:cstheme="minorBidi"/>
          <w:color w:val="000000" w:themeColor="text1"/>
          <w:sz w:val="22"/>
          <w:szCs w:val="22"/>
          <w:u w:val="single"/>
        </w:rPr>
        <w:t xml:space="preserve"> low dose 0.3mg/1.5mg modified-release tablets. </w:t>
      </w:r>
      <w:r w:rsidRPr="469BFCBA">
        <w:rPr>
          <w:rFonts w:asciiTheme="minorHAnsi" w:hAnsiTheme="minorHAnsi" w:cstheme="minorBidi"/>
          <w:color w:val="000000" w:themeColor="text1"/>
          <w:sz w:val="22"/>
          <w:szCs w:val="22"/>
        </w:rPr>
        <w:t xml:space="preserve">After 29 July, there was no need to restrict quantities of </w:t>
      </w:r>
      <w:proofErr w:type="spellStart"/>
      <w:r w:rsidRPr="469BFCBA">
        <w:rPr>
          <w:rFonts w:asciiTheme="minorHAnsi" w:hAnsiTheme="minorHAnsi" w:cstheme="minorBidi"/>
          <w:color w:val="000000" w:themeColor="text1"/>
          <w:sz w:val="22"/>
          <w:szCs w:val="22"/>
        </w:rPr>
        <w:t>Premique</w:t>
      </w:r>
      <w:proofErr w:type="spellEnd"/>
      <w:r w:rsidRPr="1E070C35">
        <w:rPr>
          <w:rFonts w:asciiTheme="minorHAnsi" w:eastAsiaTheme="minorEastAsia" w:hAnsiTheme="minorHAnsi" w:cstheme="minorBidi"/>
        </w:rPr>
        <w:t>®</w:t>
      </w:r>
      <w:r w:rsidRPr="469BFCBA">
        <w:rPr>
          <w:rFonts w:asciiTheme="minorHAnsi" w:hAnsiTheme="minorHAnsi" w:cstheme="minorBidi"/>
          <w:color w:val="000000" w:themeColor="text1"/>
          <w:sz w:val="22"/>
          <w:szCs w:val="22"/>
        </w:rPr>
        <w:t xml:space="preserve"> tablets as its supply situation was stabilised.</w:t>
      </w:r>
    </w:p>
    <w:p w14:paraId="00B85046" w14:textId="77777777" w:rsidR="009C55C9" w:rsidRPr="00696968" w:rsidRDefault="009C55C9" w:rsidP="009C55C9">
      <w:pPr>
        <w:pStyle w:val="NormalWeb"/>
        <w:jc w:val="both"/>
        <w:rPr>
          <w:rFonts w:asciiTheme="minorHAnsi" w:hAnsiTheme="minorHAnsi" w:cstheme="minorBidi"/>
          <w:color w:val="000000" w:themeColor="text1"/>
          <w:sz w:val="22"/>
          <w:szCs w:val="22"/>
        </w:rPr>
      </w:pPr>
      <w:r>
        <w:br/>
      </w:r>
      <w:r w:rsidRPr="469BFCBA">
        <w:rPr>
          <w:rFonts w:asciiTheme="minorHAnsi" w:hAnsiTheme="minorHAnsi" w:cstheme="minorBidi"/>
          <w:color w:val="000000" w:themeColor="text1"/>
          <w:sz w:val="22"/>
          <w:szCs w:val="22"/>
        </w:rPr>
        <w:t>In addition, the dose equivalence advice and endorsement guidance for SSP024 and SSP025 have been updated.  SSP024 and SSP025 have been updated by DHSC to provide greater clarity to pharmacists on the dose equivalences to determine the appropriate quantity to supply.  Please refer to the latest SSP versions and endorsement guidance published on </w:t>
      </w:r>
      <w:hyperlink r:id="rId27">
        <w:r w:rsidRPr="469BFCBA">
          <w:rPr>
            <w:rStyle w:val="Hyperlink"/>
            <w:rFonts w:asciiTheme="minorHAnsi" w:hAnsiTheme="minorHAnsi" w:cstheme="minorBidi"/>
            <w:color w:val="000000" w:themeColor="text1"/>
            <w:sz w:val="22"/>
            <w:szCs w:val="22"/>
          </w:rPr>
          <w:t>NHSBSA’s website</w:t>
        </w:r>
      </w:hyperlink>
      <w:r w:rsidRPr="469BFCBA">
        <w:rPr>
          <w:rFonts w:asciiTheme="minorHAnsi" w:hAnsiTheme="minorHAnsi" w:cstheme="minorBidi"/>
          <w:color w:val="000000" w:themeColor="text1"/>
          <w:sz w:val="22"/>
          <w:szCs w:val="22"/>
        </w:rPr>
        <w:t>.</w:t>
      </w:r>
    </w:p>
    <w:p w14:paraId="39EC396A" w14:textId="77777777" w:rsidR="009C55C9" w:rsidRPr="00696968" w:rsidRDefault="009C55C9" w:rsidP="009C55C9">
      <w:pPr>
        <w:pStyle w:val="NormalWeb"/>
        <w:jc w:val="both"/>
        <w:rPr>
          <w:rFonts w:asciiTheme="minorHAnsi" w:hAnsiTheme="minorHAnsi" w:cstheme="minorHAnsi"/>
          <w:color w:val="000000" w:themeColor="text1"/>
          <w:sz w:val="22"/>
          <w:szCs w:val="22"/>
        </w:rPr>
      </w:pPr>
    </w:p>
    <w:p w14:paraId="366362E3" w14:textId="77777777" w:rsidR="009C55C9" w:rsidRPr="00696968" w:rsidRDefault="009C55C9" w:rsidP="009C55C9">
      <w:pPr>
        <w:pStyle w:val="NormalWeb"/>
        <w:jc w:val="both"/>
        <w:rPr>
          <w:rStyle w:val="Strong"/>
          <w:rFonts w:asciiTheme="minorHAnsi" w:hAnsiTheme="minorHAnsi" w:cstheme="minorBidi"/>
          <w:color w:val="000000" w:themeColor="text1"/>
          <w:sz w:val="22"/>
          <w:szCs w:val="22"/>
        </w:rPr>
      </w:pPr>
      <w:r w:rsidRPr="772CD7E5">
        <w:rPr>
          <w:rStyle w:val="Strong"/>
          <w:rFonts w:asciiTheme="minorHAnsi" w:hAnsiTheme="minorHAnsi" w:cstheme="minorBidi"/>
          <w:color w:val="000000" w:themeColor="text1"/>
          <w:sz w:val="22"/>
          <w:szCs w:val="22"/>
        </w:rPr>
        <w:t>The table below shows all HRT SSPs (except SSP021) with an extended expiry date to 28 October 2022.</w:t>
      </w:r>
    </w:p>
    <w:p w14:paraId="1DD5796E" w14:textId="77777777" w:rsidR="009C55C9" w:rsidRPr="000A3B7C" w:rsidRDefault="009C55C9" w:rsidP="009C55C9">
      <w:pPr>
        <w:pStyle w:val="NormalWeb"/>
        <w:rPr>
          <w:rFonts w:asciiTheme="minorHAnsi" w:hAnsiTheme="minorHAnsi" w:cstheme="minorHAnsi"/>
          <w:color w:val="444444"/>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5"/>
        <w:gridCol w:w="2700"/>
        <w:gridCol w:w="2685"/>
        <w:gridCol w:w="2878"/>
      </w:tblGrid>
      <w:tr w:rsidR="009C55C9" w:rsidRPr="000A3B7C" w14:paraId="3318382B" w14:textId="77777777" w:rsidTr="00BF374D">
        <w:trPr>
          <w:trHeight w:val="180"/>
          <w:tblHeader/>
        </w:trPr>
        <w:tc>
          <w:tcPr>
            <w:tcW w:w="2505" w:type="dxa"/>
            <w:vMerge w:val="restart"/>
            <w:shd w:val="clear" w:color="auto" w:fill="4E3487"/>
            <w:tcMar>
              <w:top w:w="150" w:type="dxa"/>
              <w:left w:w="150" w:type="dxa"/>
              <w:bottom w:w="150" w:type="dxa"/>
              <w:right w:w="150" w:type="dxa"/>
            </w:tcMar>
            <w:vAlign w:val="center"/>
            <w:hideMark/>
          </w:tcPr>
          <w:p w14:paraId="21A03812" w14:textId="77777777" w:rsidR="009C55C9" w:rsidRPr="000A3B7C" w:rsidRDefault="009C55C9" w:rsidP="00BF374D">
            <w:pPr>
              <w:rPr>
                <w:rFonts w:cstheme="minorHAnsi"/>
                <w:color w:val="55318C"/>
              </w:rPr>
            </w:pPr>
            <w:r w:rsidRPr="000A3B7C">
              <w:rPr>
                <w:rStyle w:val="Strong"/>
                <w:rFonts w:cstheme="minorHAnsi"/>
                <w:color w:val="FFFFFF"/>
              </w:rPr>
              <w:lastRenderedPageBreak/>
              <w:t>Drug name</w:t>
            </w:r>
          </w:p>
        </w:tc>
        <w:tc>
          <w:tcPr>
            <w:tcW w:w="8263" w:type="dxa"/>
            <w:gridSpan w:val="3"/>
            <w:shd w:val="clear" w:color="auto" w:fill="93378A"/>
            <w:tcMar>
              <w:top w:w="150" w:type="dxa"/>
              <w:left w:w="150" w:type="dxa"/>
              <w:bottom w:w="150" w:type="dxa"/>
              <w:right w:w="150" w:type="dxa"/>
            </w:tcMar>
            <w:vAlign w:val="center"/>
            <w:hideMark/>
          </w:tcPr>
          <w:p w14:paraId="1A93CC7B" w14:textId="77777777" w:rsidR="009C55C9" w:rsidRPr="000A3B7C" w:rsidRDefault="009C55C9" w:rsidP="00BF374D">
            <w:pPr>
              <w:jc w:val="center"/>
              <w:rPr>
                <w:rFonts w:cstheme="minorHAnsi"/>
                <w:color w:val="55318C"/>
              </w:rPr>
            </w:pPr>
            <w:r w:rsidRPr="000A3B7C">
              <w:rPr>
                <w:rStyle w:val="Strong"/>
                <w:rFonts w:cstheme="minorHAnsi"/>
                <w:color w:val="FFFFFF"/>
              </w:rPr>
              <w:t>SSP</w:t>
            </w:r>
          </w:p>
        </w:tc>
      </w:tr>
      <w:tr w:rsidR="009C55C9" w:rsidRPr="000A3B7C" w14:paraId="015CB473" w14:textId="77777777" w:rsidTr="00BF374D">
        <w:trPr>
          <w:trHeight w:val="991"/>
          <w:tblHeader/>
        </w:trPr>
        <w:tc>
          <w:tcPr>
            <w:tcW w:w="2505" w:type="dxa"/>
            <w:vMerge/>
            <w:vAlign w:val="center"/>
            <w:hideMark/>
          </w:tcPr>
          <w:p w14:paraId="432F86EA" w14:textId="77777777" w:rsidR="009C55C9" w:rsidRPr="000A3B7C" w:rsidRDefault="009C55C9" w:rsidP="00BF374D">
            <w:pPr>
              <w:rPr>
                <w:rFonts w:cstheme="minorHAnsi"/>
                <w:color w:val="55318C"/>
              </w:rPr>
            </w:pPr>
          </w:p>
        </w:tc>
        <w:tc>
          <w:tcPr>
            <w:tcW w:w="2700" w:type="dxa"/>
            <w:shd w:val="clear" w:color="auto" w:fill="93378A"/>
            <w:tcMar>
              <w:top w:w="150" w:type="dxa"/>
              <w:left w:w="150" w:type="dxa"/>
              <w:bottom w:w="150" w:type="dxa"/>
              <w:right w:w="150" w:type="dxa"/>
            </w:tcMar>
            <w:vAlign w:val="center"/>
            <w:hideMark/>
          </w:tcPr>
          <w:p w14:paraId="115788D1" w14:textId="77777777" w:rsidR="009C55C9" w:rsidRPr="000A3B7C" w:rsidRDefault="009C55C9" w:rsidP="00BF374D">
            <w:pPr>
              <w:rPr>
                <w:rFonts w:cstheme="minorHAnsi"/>
                <w:color w:val="444444"/>
              </w:rPr>
            </w:pPr>
            <w:r w:rsidRPr="000A3B7C">
              <w:rPr>
                <w:rStyle w:val="Strong"/>
                <w:rFonts w:cstheme="minorHAnsi"/>
                <w:color w:val="FFFFFF"/>
              </w:rPr>
              <w:t>Restriction of the quantity supplied </w:t>
            </w:r>
            <w:r w:rsidRPr="000A3B7C">
              <w:rPr>
                <w:rFonts w:cstheme="minorHAnsi"/>
                <w:color w:val="FFFFFF"/>
              </w:rPr>
              <w:t>(for prescriptions ordering &gt; 3 months)</w:t>
            </w:r>
          </w:p>
        </w:tc>
        <w:tc>
          <w:tcPr>
            <w:tcW w:w="2685" w:type="dxa"/>
            <w:shd w:val="clear" w:color="auto" w:fill="93378A"/>
            <w:tcMar>
              <w:top w:w="150" w:type="dxa"/>
              <w:left w:w="150" w:type="dxa"/>
              <w:bottom w:w="150" w:type="dxa"/>
              <w:right w:w="150" w:type="dxa"/>
            </w:tcMar>
            <w:vAlign w:val="center"/>
            <w:hideMark/>
          </w:tcPr>
          <w:p w14:paraId="66286A2D" w14:textId="77777777" w:rsidR="009C55C9" w:rsidRPr="000A3B7C" w:rsidRDefault="009C55C9" w:rsidP="00BF374D">
            <w:pPr>
              <w:rPr>
                <w:rFonts w:cstheme="minorHAnsi"/>
                <w:color w:val="444444"/>
              </w:rPr>
            </w:pPr>
            <w:r w:rsidRPr="000A3B7C">
              <w:rPr>
                <w:rStyle w:val="Strong"/>
                <w:rFonts w:cstheme="minorHAnsi"/>
                <w:color w:val="FFFFFF"/>
              </w:rPr>
              <w:t>Substitution with a specific alternative product </w:t>
            </w:r>
            <w:r w:rsidRPr="000A3B7C">
              <w:rPr>
                <w:rFonts w:cstheme="minorHAnsi"/>
                <w:color w:val="FFFFFF"/>
              </w:rPr>
              <w:t>(for prescriptions ordering &lt; 3 months)</w:t>
            </w:r>
          </w:p>
        </w:tc>
        <w:tc>
          <w:tcPr>
            <w:tcW w:w="2878" w:type="dxa"/>
            <w:shd w:val="clear" w:color="auto" w:fill="93378A"/>
            <w:tcMar>
              <w:top w:w="150" w:type="dxa"/>
              <w:left w:w="150" w:type="dxa"/>
              <w:bottom w:w="150" w:type="dxa"/>
              <w:right w:w="150" w:type="dxa"/>
            </w:tcMar>
            <w:vAlign w:val="center"/>
            <w:hideMark/>
          </w:tcPr>
          <w:p w14:paraId="377E3FA7" w14:textId="77777777" w:rsidR="009C55C9" w:rsidRPr="000A3B7C" w:rsidRDefault="009C55C9" w:rsidP="00BF374D">
            <w:pPr>
              <w:rPr>
                <w:rFonts w:cstheme="minorHAnsi"/>
                <w:color w:val="444444"/>
              </w:rPr>
            </w:pPr>
            <w:r w:rsidRPr="000A3B7C">
              <w:rPr>
                <w:rStyle w:val="Strong"/>
                <w:rFonts w:cstheme="minorHAnsi"/>
                <w:color w:val="FFFFFF"/>
              </w:rPr>
              <w:t>Substitution with a specific alternative product AND restriction of the quantity supplied </w:t>
            </w:r>
            <w:r w:rsidRPr="000A3B7C">
              <w:rPr>
                <w:rFonts w:cstheme="minorHAnsi"/>
                <w:color w:val="FFFFFF"/>
              </w:rPr>
              <w:t>(for prescriptions ordering &gt; 3 months)</w:t>
            </w:r>
          </w:p>
        </w:tc>
      </w:tr>
      <w:tr w:rsidR="009C55C9" w:rsidRPr="000A3B7C" w14:paraId="2C99AFCA" w14:textId="77777777" w:rsidTr="00BF374D">
        <w:trPr>
          <w:trHeight w:val="1873"/>
        </w:trPr>
        <w:tc>
          <w:tcPr>
            <w:tcW w:w="2505" w:type="dxa"/>
            <w:shd w:val="clear" w:color="auto" w:fill="4E3487"/>
            <w:tcMar>
              <w:top w:w="150" w:type="dxa"/>
              <w:left w:w="150" w:type="dxa"/>
              <w:bottom w:w="150" w:type="dxa"/>
              <w:right w:w="150" w:type="dxa"/>
            </w:tcMar>
            <w:vAlign w:val="center"/>
            <w:hideMark/>
          </w:tcPr>
          <w:p w14:paraId="5C835DE4" w14:textId="77777777" w:rsidR="009C55C9" w:rsidRPr="000A3B7C" w:rsidRDefault="009C55C9" w:rsidP="00BF374D">
            <w:pPr>
              <w:rPr>
                <w:rFonts w:cstheme="minorHAnsi"/>
                <w:color w:val="444444"/>
              </w:rPr>
            </w:pPr>
            <w:proofErr w:type="spellStart"/>
            <w:r w:rsidRPr="000A3B7C">
              <w:rPr>
                <w:rStyle w:val="Strong"/>
                <w:rFonts w:cstheme="minorHAnsi"/>
                <w:color w:val="FFFFFF"/>
              </w:rPr>
              <w:t>Ovestin</w:t>
            </w:r>
            <w:proofErr w:type="spellEnd"/>
            <w:r w:rsidRPr="000A3B7C">
              <w:rPr>
                <w:rStyle w:val="Strong"/>
                <w:rFonts w:cstheme="minorHAnsi"/>
                <w:color w:val="FFFFFF"/>
                <w:vertAlign w:val="superscript"/>
              </w:rPr>
              <w:t>®</w:t>
            </w:r>
            <w:r w:rsidRPr="000A3B7C">
              <w:rPr>
                <w:rStyle w:val="Strong"/>
                <w:rFonts w:cstheme="minorHAnsi"/>
                <w:color w:val="FFFFFF"/>
              </w:rPr>
              <w:t> 1mg cream</w:t>
            </w:r>
          </w:p>
        </w:tc>
        <w:tc>
          <w:tcPr>
            <w:tcW w:w="2700" w:type="dxa"/>
            <w:tcMar>
              <w:top w:w="150" w:type="dxa"/>
              <w:left w:w="150" w:type="dxa"/>
              <w:bottom w:w="150" w:type="dxa"/>
              <w:right w:w="150" w:type="dxa"/>
            </w:tcMar>
            <w:vAlign w:val="center"/>
            <w:hideMark/>
          </w:tcPr>
          <w:p w14:paraId="36B5E3EC" w14:textId="77777777" w:rsidR="009C55C9" w:rsidRPr="000A3B7C" w:rsidRDefault="009C55C9" w:rsidP="00BF374D">
            <w:pPr>
              <w:jc w:val="center"/>
              <w:rPr>
                <w:rFonts w:cstheme="minorHAnsi"/>
                <w:color w:val="444444"/>
              </w:rPr>
            </w:pPr>
            <w:r w:rsidRPr="000A3B7C">
              <w:rPr>
                <w:rFonts w:cstheme="minorHAnsi"/>
                <w:noProof/>
                <w:color w:val="444444"/>
              </w:rPr>
              <w:drawing>
                <wp:inline distT="0" distB="0" distL="0" distR="0" wp14:anchorId="6D1BF4DF" wp14:editId="648E0818">
                  <wp:extent cx="579120" cy="579120"/>
                  <wp:effectExtent l="0" t="0" r="0" b="0"/>
                  <wp:docPr id="12"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0A3B7C">
              <w:rPr>
                <w:rFonts w:cstheme="minorHAnsi"/>
                <w:color w:val="444444"/>
              </w:rPr>
              <w:t>SSP 020</w:t>
            </w:r>
          </w:p>
        </w:tc>
        <w:tc>
          <w:tcPr>
            <w:tcW w:w="2685" w:type="dxa"/>
            <w:tcMar>
              <w:top w:w="150" w:type="dxa"/>
              <w:left w:w="150" w:type="dxa"/>
              <w:bottom w:w="150" w:type="dxa"/>
              <w:right w:w="150" w:type="dxa"/>
            </w:tcMar>
            <w:vAlign w:val="center"/>
            <w:hideMark/>
          </w:tcPr>
          <w:p w14:paraId="7AF5AFD8" w14:textId="77777777" w:rsidR="009C55C9" w:rsidRPr="000A3B7C" w:rsidRDefault="009C55C9" w:rsidP="00BF374D">
            <w:pPr>
              <w:jc w:val="center"/>
            </w:pPr>
            <w:r>
              <w:rPr>
                <w:noProof/>
              </w:rPr>
              <w:drawing>
                <wp:inline distT="0" distB="0" distL="0" distR="0" wp14:anchorId="37D96EF0" wp14:editId="2B81CE72">
                  <wp:extent cx="579120" cy="579120"/>
                  <wp:effectExtent l="0" t="0" r="0" b="0"/>
                  <wp:docPr id="11"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inline>
              </w:drawing>
            </w:r>
          </w:p>
          <w:p w14:paraId="3E67ECE0" w14:textId="77777777" w:rsidR="009C55C9" w:rsidRPr="000A3B7C" w:rsidRDefault="009C55C9" w:rsidP="00BF374D">
            <w:pPr>
              <w:jc w:val="center"/>
              <w:rPr>
                <w:color w:val="444444"/>
              </w:rPr>
            </w:pPr>
            <w:r w:rsidRPr="1E070C35">
              <w:rPr>
                <w:color w:val="444444"/>
              </w:rPr>
              <w:t>SSP 024</w:t>
            </w:r>
            <w:r w:rsidRPr="1E070C35">
              <w:rPr>
                <w:color w:val="FF0000"/>
              </w:rPr>
              <w:t> (update to dose equivalence advice and endorsing guide – see latest versions)</w:t>
            </w:r>
          </w:p>
        </w:tc>
        <w:tc>
          <w:tcPr>
            <w:tcW w:w="2878" w:type="dxa"/>
            <w:tcMar>
              <w:top w:w="150" w:type="dxa"/>
              <w:left w:w="150" w:type="dxa"/>
              <w:bottom w:w="150" w:type="dxa"/>
              <w:right w:w="150" w:type="dxa"/>
            </w:tcMar>
            <w:vAlign w:val="center"/>
            <w:hideMark/>
          </w:tcPr>
          <w:p w14:paraId="33F72D82" w14:textId="77777777" w:rsidR="009C55C9" w:rsidRPr="000A3B7C" w:rsidRDefault="009C55C9" w:rsidP="00BF374D">
            <w:pPr>
              <w:jc w:val="center"/>
              <w:rPr>
                <w:color w:val="444444"/>
              </w:rPr>
            </w:pPr>
            <w:r w:rsidRPr="1E070C35">
              <w:rPr>
                <w:color w:val="444444"/>
              </w:rPr>
              <w:t xml:space="preserve">       </w:t>
            </w:r>
            <w:r>
              <w:rPr>
                <w:noProof/>
              </w:rPr>
              <w:drawing>
                <wp:inline distT="0" distB="0" distL="0" distR="0" wp14:anchorId="2DD9BC6A" wp14:editId="151DEF8C">
                  <wp:extent cx="579120" cy="579120"/>
                  <wp:effectExtent l="0" t="0" r="0" b="0"/>
                  <wp:docPr id="10"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8">
                            <a:extLst>
                              <a:ext uri="{28A0092B-C50C-407E-A947-70E740481C1C}">
                                <a14:useLocalDpi xmlns:a14="http://schemas.microsoft.com/office/drawing/2010/main" val="0"/>
                              </a:ext>
                            </a:extLst>
                          </a:blip>
                          <a:stretch>
                            <a:fillRect/>
                          </a:stretch>
                        </pic:blipFill>
                        <pic:spPr bwMode="auto">
                          <a:xfrm>
                            <a:off x="0" y="0"/>
                            <a:ext cx="579120" cy="579120"/>
                          </a:xfrm>
                          <a:prstGeom prst="rect">
                            <a:avLst/>
                          </a:prstGeom>
                          <a:noFill/>
                          <a:ln>
                            <a:noFill/>
                          </a:ln>
                        </pic:spPr>
                      </pic:pic>
                    </a:graphicData>
                  </a:graphic>
                </wp:inline>
              </w:drawing>
            </w:r>
            <w:r w:rsidRPr="1E070C35">
              <w:rPr>
                <w:color w:val="444444"/>
              </w:rPr>
              <w:t xml:space="preserve">                          SSP 025</w:t>
            </w:r>
            <w:r w:rsidRPr="1E070C35">
              <w:rPr>
                <w:color w:val="FF0000"/>
              </w:rPr>
              <w:t> (update to dose equivalence advice and endorsing guide – see latest versions)</w:t>
            </w:r>
          </w:p>
        </w:tc>
      </w:tr>
      <w:tr w:rsidR="009C55C9" w:rsidRPr="000A3B7C" w14:paraId="25377977" w14:textId="77777777" w:rsidTr="00BF374D">
        <w:trPr>
          <w:trHeight w:val="150"/>
        </w:trPr>
        <w:tc>
          <w:tcPr>
            <w:tcW w:w="2505" w:type="dxa"/>
            <w:shd w:val="clear" w:color="auto" w:fill="4E3487"/>
            <w:tcMar>
              <w:top w:w="150" w:type="dxa"/>
              <w:left w:w="150" w:type="dxa"/>
              <w:bottom w:w="150" w:type="dxa"/>
              <w:right w:w="150" w:type="dxa"/>
            </w:tcMar>
            <w:vAlign w:val="center"/>
            <w:hideMark/>
          </w:tcPr>
          <w:p w14:paraId="1EF9B0E0" w14:textId="77777777" w:rsidR="009C55C9" w:rsidRPr="000A3B7C" w:rsidRDefault="009C55C9" w:rsidP="00BF374D">
            <w:pPr>
              <w:rPr>
                <w:rFonts w:cstheme="minorHAnsi"/>
                <w:color w:val="444444"/>
              </w:rPr>
            </w:pPr>
            <w:proofErr w:type="spellStart"/>
            <w:r w:rsidRPr="000A3B7C">
              <w:rPr>
                <w:rStyle w:val="Strong"/>
                <w:rFonts w:cstheme="minorHAnsi"/>
                <w:color w:val="FFFFFF"/>
              </w:rPr>
              <w:t>Oestrogel</w:t>
            </w:r>
            <w:proofErr w:type="spellEnd"/>
            <w:r w:rsidRPr="000A3B7C">
              <w:rPr>
                <w:rStyle w:val="Strong"/>
                <w:rFonts w:cstheme="minorHAnsi"/>
                <w:color w:val="FFFFFF"/>
                <w:vertAlign w:val="superscript"/>
              </w:rPr>
              <w:t>®</w:t>
            </w:r>
            <w:r w:rsidRPr="000A3B7C">
              <w:rPr>
                <w:rStyle w:val="Strong"/>
                <w:rFonts w:cstheme="minorHAnsi"/>
                <w:color w:val="FFFFFF"/>
              </w:rPr>
              <w:t> Pump-Pack 0.06% gel</w:t>
            </w:r>
          </w:p>
        </w:tc>
        <w:tc>
          <w:tcPr>
            <w:tcW w:w="2700" w:type="dxa"/>
            <w:tcMar>
              <w:top w:w="150" w:type="dxa"/>
              <w:left w:w="150" w:type="dxa"/>
              <w:bottom w:w="150" w:type="dxa"/>
              <w:right w:w="150" w:type="dxa"/>
            </w:tcMar>
            <w:vAlign w:val="center"/>
            <w:hideMark/>
          </w:tcPr>
          <w:p w14:paraId="6C0348B4" w14:textId="77777777" w:rsidR="009C55C9" w:rsidRPr="000A3B7C" w:rsidRDefault="009C55C9" w:rsidP="00BF374D">
            <w:pPr>
              <w:jc w:val="center"/>
              <w:rPr>
                <w:rFonts w:cstheme="minorHAnsi"/>
                <w:color w:val="444444"/>
              </w:rPr>
            </w:pPr>
            <w:r w:rsidRPr="000A3B7C">
              <w:rPr>
                <w:rFonts w:cstheme="minorHAnsi"/>
                <w:noProof/>
                <w:color w:val="444444"/>
              </w:rPr>
              <w:drawing>
                <wp:inline distT="0" distB="0" distL="0" distR="0" wp14:anchorId="387B9AD0" wp14:editId="78EEE5F1">
                  <wp:extent cx="579120" cy="579120"/>
                  <wp:effectExtent l="0" t="0" r="0" b="0"/>
                  <wp:docPr id="9"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0A3B7C">
              <w:rPr>
                <w:rFonts w:cstheme="minorHAnsi"/>
                <w:color w:val="444444"/>
              </w:rPr>
              <w:t>SSP 019</w:t>
            </w:r>
          </w:p>
        </w:tc>
        <w:tc>
          <w:tcPr>
            <w:tcW w:w="2685" w:type="dxa"/>
            <w:tcMar>
              <w:top w:w="150" w:type="dxa"/>
              <w:left w:w="150" w:type="dxa"/>
              <w:bottom w:w="150" w:type="dxa"/>
              <w:right w:w="150" w:type="dxa"/>
            </w:tcMar>
            <w:vAlign w:val="center"/>
            <w:hideMark/>
          </w:tcPr>
          <w:p w14:paraId="55091E98" w14:textId="77777777" w:rsidR="009C55C9" w:rsidRPr="000A3B7C" w:rsidRDefault="009C55C9" w:rsidP="00BF374D">
            <w:pPr>
              <w:jc w:val="center"/>
              <w:rPr>
                <w:rFonts w:cstheme="minorHAnsi"/>
                <w:color w:val="444444"/>
              </w:rPr>
            </w:pPr>
            <w:r w:rsidRPr="000A3B7C">
              <w:rPr>
                <w:rFonts w:cstheme="minorHAnsi"/>
                <w:noProof/>
                <w:color w:val="444444"/>
              </w:rPr>
              <w:drawing>
                <wp:inline distT="0" distB="0" distL="0" distR="0" wp14:anchorId="7FF83A38" wp14:editId="70DE774B">
                  <wp:extent cx="579120" cy="579120"/>
                  <wp:effectExtent l="0" t="0" r="0" b="0"/>
                  <wp:docPr id="8"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0A3B7C">
              <w:rPr>
                <w:rFonts w:cstheme="minorHAnsi"/>
                <w:color w:val="444444"/>
              </w:rPr>
              <w:t>SSP 022</w:t>
            </w:r>
          </w:p>
        </w:tc>
        <w:tc>
          <w:tcPr>
            <w:tcW w:w="2878" w:type="dxa"/>
            <w:tcMar>
              <w:top w:w="150" w:type="dxa"/>
              <w:left w:w="150" w:type="dxa"/>
              <w:bottom w:w="150" w:type="dxa"/>
              <w:right w:w="150" w:type="dxa"/>
            </w:tcMar>
            <w:vAlign w:val="center"/>
            <w:hideMark/>
          </w:tcPr>
          <w:p w14:paraId="59E79B23" w14:textId="77777777" w:rsidR="009C55C9" w:rsidRPr="000A3B7C" w:rsidRDefault="009C55C9" w:rsidP="00BF374D">
            <w:pPr>
              <w:jc w:val="center"/>
              <w:rPr>
                <w:rFonts w:cstheme="minorHAnsi"/>
                <w:color w:val="444444"/>
              </w:rPr>
            </w:pPr>
            <w:r w:rsidRPr="000A3B7C">
              <w:rPr>
                <w:rFonts w:cstheme="minorHAnsi"/>
                <w:noProof/>
                <w:color w:val="444444"/>
              </w:rPr>
              <w:drawing>
                <wp:inline distT="0" distB="0" distL="0" distR="0" wp14:anchorId="21936951" wp14:editId="2F3BFFA6">
                  <wp:extent cx="579120" cy="579120"/>
                  <wp:effectExtent l="0" t="0" r="0" b="0"/>
                  <wp:docPr id="7"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0A3B7C">
              <w:rPr>
                <w:rFonts w:cstheme="minorHAnsi"/>
                <w:color w:val="444444"/>
              </w:rPr>
              <w:t>SSP 023</w:t>
            </w:r>
          </w:p>
        </w:tc>
      </w:tr>
      <w:tr w:rsidR="009C55C9" w:rsidRPr="000A3B7C" w14:paraId="09B2720E" w14:textId="77777777" w:rsidTr="00BF374D">
        <w:trPr>
          <w:trHeight w:val="1500"/>
        </w:trPr>
        <w:tc>
          <w:tcPr>
            <w:tcW w:w="2505" w:type="dxa"/>
            <w:shd w:val="clear" w:color="auto" w:fill="4E3487"/>
            <w:tcMar>
              <w:top w:w="150" w:type="dxa"/>
              <w:left w:w="150" w:type="dxa"/>
              <w:bottom w:w="150" w:type="dxa"/>
              <w:right w:w="150" w:type="dxa"/>
            </w:tcMar>
            <w:vAlign w:val="center"/>
            <w:hideMark/>
          </w:tcPr>
          <w:p w14:paraId="5C3B8559" w14:textId="77777777" w:rsidR="009C55C9" w:rsidRPr="000A3B7C" w:rsidRDefault="009C55C9" w:rsidP="00BF374D">
            <w:pPr>
              <w:rPr>
                <w:rFonts w:cstheme="minorHAnsi"/>
                <w:color w:val="444444"/>
              </w:rPr>
            </w:pPr>
            <w:proofErr w:type="spellStart"/>
            <w:r w:rsidRPr="000A3B7C">
              <w:rPr>
                <w:rStyle w:val="Strong"/>
                <w:rFonts w:cstheme="minorHAnsi"/>
                <w:color w:val="FFFFFF"/>
              </w:rPr>
              <w:t>Lenzetto</w:t>
            </w:r>
            <w:proofErr w:type="spellEnd"/>
            <w:r w:rsidRPr="000A3B7C">
              <w:rPr>
                <w:rStyle w:val="Strong"/>
                <w:rFonts w:cstheme="minorHAnsi"/>
                <w:color w:val="FFFFFF"/>
                <w:vertAlign w:val="superscript"/>
              </w:rPr>
              <w:t>®</w:t>
            </w:r>
            <w:r w:rsidRPr="000A3B7C">
              <w:rPr>
                <w:rStyle w:val="Strong"/>
                <w:rFonts w:cstheme="minorHAnsi"/>
                <w:color w:val="FFFFFF"/>
              </w:rPr>
              <w:t> 1.53mg/dose transdermal spray</w:t>
            </w:r>
          </w:p>
        </w:tc>
        <w:tc>
          <w:tcPr>
            <w:tcW w:w="2700" w:type="dxa"/>
            <w:tcMar>
              <w:top w:w="150" w:type="dxa"/>
              <w:left w:w="150" w:type="dxa"/>
              <w:bottom w:w="150" w:type="dxa"/>
              <w:right w:w="150" w:type="dxa"/>
            </w:tcMar>
            <w:vAlign w:val="center"/>
            <w:hideMark/>
          </w:tcPr>
          <w:p w14:paraId="72778D3B" w14:textId="77777777" w:rsidR="009C55C9" w:rsidRPr="000A3B7C" w:rsidRDefault="009C55C9" w:rsidP="00BF374D">
            <w:pPr>
              <w:jc w:val="center"/>
              <w:rPr>
                <w:rFonts w:cstheme="minorHAnsi"/>
                <w:color w:val="444444"/>
              </w:rPr>
            </w:pPr>
            <w:r w:rsidRPr="000A3B7C">
              <w:rPr>
                <w:rFonts w:cstheme="minorHAnsi"/>
                <w:noProof/>
                <w:color w:val="444444"/>
              </w:rPr>
              <w:drawing>
                <wp:inline distT="0" distB="0" distL="0" distR="0" wp14:anchorId="2BCB5820" wp14:editId="33008EC7">
                  <wp:extent cx="579120" cy="579120"/>
                  <wp:effectExtent l="0" t="0" r="0" b="0"/>
                  <wp:docPr id="6"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0A3B7C">
              <w:rPr>
                <w:rFonts w:cstheme="minorHAnsi"/>
                <w:color w:val="444444"/>
              </w:rPr>
              <w:t>SSP 026</w:t>
            </w:r>
          </w:p>
        </w:tc>
        <w:tc>
          <w:tcPr>
            <w:tcW w:w="2685" w:type="dxa"/>
            <w:tcMar>
              <w:top w:w="150" w:type="dxa"/>
              <w:left w:w="150" w:type="dxa"/>
              <w:bottom w:w="150" w:type="dxa"/>
              <w:right w:w="150" w:type="dxa"/>
            </w:tcMar>
            <w:vAlign w:val="center"/>
            <w:hideMark/>
          </w:tcPr>
          <w:p w14:paraId="6F7211D5" w14:textId="77777777" w:rsidR="009C55C9" w:rsidRPr="000A3B7C" w:rsidRDefault="009C55C9" w:rsidP="00BF374D">
            <w:pPr>
              <w:jc w:val="center"/>
              <w:rPr>
                <w:rFonts w:cstheme="minorHAnsi"/>
                <w:color w:val="444444"/>
              </w:rPr>
            </w:pPr>
            <w:r w:rsidRPr="000A3B7C">
              <w:rPr>
                <w:rFonts w:cstheme="minorHAnsi"/>
                <w:noProof/>
                <w:color w:val="444444"/>
              </w:rPr>
              <w:drawing>
                <wp:inline distT="0" distB="0" distL="0" distR="0" wp14:anchorId="37724940" wp14:editId="3670F7BD">
                  <wp:extent cx="579120" cy="579120"/>
                  <wp:effectExtent l="0" t="0" r="0" b="0"/>
                  <wp:docPr id="5"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0A3B7C">
              <w:rPr>
                <w:rFonts w:cstheme="minorHAnsi"/>
                <w:color w:val="444444"/>
              </w:rPr>
              <w:t>SSP 027</w:t>
            </w:r>
          </w:p>
        </w:tc>
        <w:tc>
          <w:tcPr>
            <w:tcW w:w="2878" w:type="dxa"/>
            <w:tcMar>
              <w:top w:w="150" w:type="dxa"/>
              <w:left w:w="150" w:type="dxa"/>
              <w:bottom w:w="150" w:type="dxa"/>
              <w:right w:w="150" w:type="dxa"/>
            </w:tcMar>
            <w:vAlign w:val="center"/>
            <w:hideMark/>
          </w:tcPr>
          <w:p w14:paraId="06230CE5" w14:textId="77777777" w:rsidR="009C55C9" w:rsidRPr="000A3B7C" w:rsidRDefault="009C55C9" w:rsidP="00BF374D">
            <w:pPr>
              <w:jc w:val="center"/>
              <w:rPr>
                <w:rFonts w:cstheme="minorHAnsi"/>
                <w:color w:val="444444"/>
              </w:rPr>
            </w:pPr>
            <w:r w:rsidRPr="000A3B7C">
              <w:rPr>
                <w:rFonts w:cstheme="minorHAnsi"/>
                <w:noProof/>
                <w:color w:val="444444"/>
              </w:rPr>
              <w:drawing>
                <wp:inline distT="0" distB="0" distL="0" distR="0" wp14:anchorId="26DCDF2F" wp14:editId="026AD988">
                  <wp:extent cx="579120" cy="579120"/>
                  <wp:effectExtent l="0" t="0" r="0" b="0"/>
                  <wp:docPr id="4"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0A3B7C">
              <w:rPr>
                <w:rFonts w:cstheme="minorHAnsi"/>
                <w:color w:val="444444"/>
              </w:rPr>
              <w:t>SSP 028</w:t>
            </w:r>
          </w:p>
        </w:tc>
      </w:tr>
      <w:tr w:rsidR="009C55C9" w:rsidRPr="000A3B7C" w14:paraId="1263A99C" w14:textId="77777777" w:rsidTr="00BF374D">
        <w:trPr>
          <w:trHeight w:val="1500"/>
        </w:trPr>
        <w:tc>
          <w:tcPr>
            <w:tcW w:w="2505" w:type="dxa"/>
            <w:shd w:val="clear" w:color="auto" w:fill="4E3487"/>
            <w:tcMar>
              <w:top w:w="150" w:type="dxa"/>
              <w:left w:w="150" w:type="dxa"/>
              <w:bottom w:w="150" w:type="dxa"/>
              <w:right w:w="150" w:type="dxa"/>
            </w:tcMar>
            <w:vAlign w:val="center"/>
            <w:hideMark/>
          </w:tcPr>
          <w:p w14:paraId="1DCE33CB" w14:textId="77777777" w:rsidR="009C55C9" w:rsidRPr="000A3B7C" w:rsidRDefault="009C55C9" w:rsidP="00BF374D">
            <w:pPr>
              <w:rPr>
                <w:rFonts w:cstheme="minorHAnsi"/>
                <w:color w:val="444444"/>
              </w:rPr>
            </w:pPr>
            <w:proofErr w:type="spellStart"/>
            <w:r w:rsidRPr="000A3B7C">
              <w:rPr>
                <w:rStyle w:val="Strong"/>
                <w:rFonts w:cstheme="minorHAnsi"/>
                <w:color w:val="FFFFFF"/>
              </w:rPr>
              <w:t>Sandrena</w:t>
            </w:r>
            <w:proofErr w:type="spellEnd"/>
            <w:r w:rsidRPr="000A3B7C">
              <w:rPr>
                <w:rStyle w:val="Strong"/>
                <w:rFonts w:cstheme="minorHAnsi"/>
                <w:color w:val="FFFFFF"/>
                <w:vertAlign w:val="superscript"/>
              </w:rPr>
              <w:t>®</w:t>
            </w:r>
            <w:r w:rsidRPr="000A3B7C">
              <w:rPr>
                <w:rStyle w:val="Strong"/>
                <w:rFonts w:cstheme="minorHAnsi"/>
                <w:color w:val="FFFFFF"/>
              </w:rPr>
              <w:t> 0.5mg and 1mg gel sachets</w:t>
            </w:r>
          </w:p>
        </w:tc>
        <w:tc>
          <w:tcPr>
            <w:tcW w:w="2700" w:type="dxa"/>
            <w:tcMar>
              <w:top w:w="150" w:type="dxa"/>
              <w:left w:w="150" w:type="dxa"/>
              <w:bottom w:w="150" w:type="dxa"/>
              <w:right w:w="150" w:type="dxa"/>
            </w:tcMar>
            <w:vAlign w:val="center"/>
            <w:hideMark/>
          </w:tcPr>
          <w:p w14:paraId="0AA5A8C6" w14:textId="77777777" w:rsidR="009C55C9" w:rsidRPr="000A3B7C" w:rsidRDefault="009C55C9" w:rsidP="00BF374D">
            <w:pPr>
              <w:jc w:val="center"/>
              <w:rPr>
                <w:rFonts w:cstheme="minorHAnsi"/>
                <w:color w:val="444444"/>
              </w:rPr>
            </w:pPr>
            <w:r w:rsidRPr="000A3B7C">
              <w:rPr>
                <w:rFonts w:cstheme="minorHAnsi"/>
                <w:noProof/>
                <w:color w:val="444444"/>
              </w:rPr>
              <w:drawing>
                <wp:inline distT="0" distB="0" distL="0" distR="0" wp14:anchorId="5827E682" wp14:editId="0DC2FA99">
                  <wp:extent cx="579120" cy="57912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0A3B7C">
              <w:rPr>
                <w:rFonts w:cstheme="minorHAnsi"/>
                <w:color w:val="444444"/>
              </w:rPr>
              <w:t>SSP 029</w:t>
            </w:r>
          </w:p>
        </w:tc>
        <w:tc>
          <w:tcPr>
            <w:tcW w:w="2685" w:type="dxa"/>
            <w:tcMar>
              <w:top w:w="150" w:type="dxa"/>
              <w:left w:w="150" w:type="dxa"/>
              <w:bottom w:w="150" w:type="dxa"/>
              <w:right w:w="150" w:type="dxa"/>
            </w:tcMar>
            <w:vAlign w:val="center"/>
            <w:hideMark/>
          </w:tcPr>
          <w:p w14:paraId="104865FC" w14:textId="77777777" w:rsidR="009C55C9" w:rsidRPr="000A3B7C" w:rsidRDefault="009C55C9" w:rsidP="00BF374D">
            <w:pPr>
              <w:jc w:val="center"/>
              <w:rPr>
                <w:rFonts w:cstheme="minorHAnsi"/>
                <w:color w:val="444444"/>
              </w:rPr>
            </w:pPr>
            <w:r w:rsidRPr="000A3B7C">
              <w:rPr>
                <w:rFonts w:cstheme="minorHAnsi"/>
                <w:noProof/>
                <w:color w:val="444444"/>
              </w:rPr>
              <w:drawing>
                <wp:inline distT="0" distB="0" distL="0" distR="0" wp14:anchorId="0C14833F" wp14:editId="09FBBC31">
                  <wp:extent cx="579120" cy="579120"/>
                  <wp:effectExtent l="0" t="0" r="0" b="0"/>
                  <wp:docPr id="2"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0A3B7C">
              <w:rPr>
                <w:rFonts w:cstheme="minorHAnsi"/>
                <w:color w:val="444444"/>
              </w:rPr>
              <w:t>SSP 030</w:t>
            </w:r>
          </w:p>
        </w:tc>
        <w:tc>
          <w:tcPr>
            <w:tcW w:w="2878" w:type="dxa"/>
            <w:tcMar>
              <w:top w:w="150" w:type="dxa"/>
              <w:left w:w="150" w:type="dxa"/>
              <w:bottom w:w="150" w:type="dxa"/>
              <w:right w:w="150" w:type="dxa"/>
            </w:tcMar>
            <w:vAlign w:val="center"/>
            <w:hideMark/>
          </w:tcPr>
          <w:p w14:paraId="447D34E9" w14:textId="77777777" w:rsidR="009C55C9" w:rsidRPr="000A3B7C" w:rsidRDefault="009C55C9" w:rsidP="00BF374D">
            <w:pPr>
              <w:jc w:val="center"/>
              <w:rPr>
                <w:rFonts w:cstheme="minorHAnsi"/>
                <w:color w:val="444444"/>
              </w:rPr>
            </w:pPr>
            <w:r w:rsidRPr="000A3B7C">
              <w:rPr>
                <w:rFonts w:cstheme="minorHAnsi"/>
                <w:noProof/>
                <w:color w:val="444444"/>
              </w:rPr>
              <w:drawing>
                <wp:inline distT="0" distB="0" distL="0" distR="0" wp14:anchorId="196F4F09" wp14:editId="5E37DEB0">
                  <wp:extent cx="579120" cy="57912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0A3B7C">
              <w:rPr>
                <w:rFonts w:cstheme="minorHAnsi"/>
                <w:color w:val="444444"/>
              </w:rPr>
              <w:t>SSP 031</w:t>
            </w:r>
          </w:p>
        </w:tc>
      </w:tr>
    </w:tbl>
    <w:p w14:paraId="146E8CC8" w14:textId="77777777" w:rsidR="009C55C9" w:rsidRDefault="009C55C9" w:rsidP="009C55C9">
      <w:pPr>
        <w:pStyle w:val="NormalWeb"/>
        <w:jc w:val="both"/>
        <w:rPr>
          <w:rFonts w:asciiTheme="minorHAnsi" w:hAnsiTheme="minorHAnsi" w:cstheme="minorHAnsi"/>
          <w:color w:val="444444"/>
          <w:sz w:val="22"/>
          <w:szCs w:val="22"/>
        </w:rPr>
      </w:pPr>
    </w:p>
    <w:p w14:paraId="701B9697" w14:textId="77777777" w:rsidR="009C55C9" w:rsidRPr="00696968" w:rsidRDefault="009C55C9" w:rsidP="009C55C9">
      <w:pPr>
        <w:pStyle w:val="NormalWeb"/>
        <w:jc w:val="both"/>
        <w:rPr>
          <w:rFonts w:asciiTheme="minorHAnsi" w:hAnsiTheme="minorHAnsi" w:cstheme="minorHAnsi"/>
          <w:color w:val="000000" w:themeColor="text1"/>
          <w:sz w:val="22"/>
          <w:szCs w:val="22"/>
        </w:rPr>
      </w:pPr>
      <w:r w:rsidRPr="00696968">
        <w:rPr>
          <w:rFonts w:asciiTheme="minorHAnsi" w:hAnsiTheme="minorHAnsi" w:cstheme="minorHAnsi"/>
          <w:color w:val="000000" w:themeColor="text1"/>
          <w:sz w:val="22"/>
          <w:szCs w:val="22"/>
        </w:rPr>
        <w:t>Pharmacists are required to read and comply with the requirements outlined within the individual SSPs and supporting guidance as published on the </w:t>
      </w:r>
      <w:hyperlink r:id="rId29" w:history="1">
        <w:r w:rsidRPr="00696968">
          <w:rPr>
            <w:rStyle w:val="Hyperlink"/>
            <w:rFonts w:asciiTheme="minorHAnsi" w:hAnsiTheme="minorHAnsi" w:cstheme="minorHAnsi"/>
            <w:color w:val="000000" w:themeColor="text1"/>
            <w:sz w:val="22"/>
            <w:szCs w:val="22"/>
          </w:rPr>
          <w:t>NHSBSA website</w:t>
        </w:r>
      </w:hyperlink>
      <w:r w:rsidRPr="00696968">
        <w:rPr>
          <w:rFonts w:asciiTheme="minorHAnsi" w:hAnsiTheme="minorHAnsi" w:cstheme="minorHAnsi"/>
          <w:color w:val="000000" w:themeColor="text1"/>
          <w:sz w:val="22"/>
          <w:szCs w:val="22"/>
        </w:rPr>
        <w:t> for the HRT products listed above.</w:t>
      </w:r>
    </w:p>
    <w:p w14:paraId="6D6D1910" w14:textId="77777777" w:rsidR="009C55C9" w:rsidRPr="00696968" w:rsidRDefault="009C55C9" w:rsidP="009C55C9">
      <w:pPr>
        <w:pStyle w:val="NormalWeb"/>
        <w:jc w:val="both"/>
        <w:rPr>
          <w:rFonts w:asciiTheme="minorHAnsi" w:hAnsiTheme="minorHAnsi" w:cstheme="minorHAnsi"/>
          <w:color w:val="000000" w:themeColor="text1"/>
          <w:sz w:val="22"/>
          <w:szCs w:val="22"/>
        </w:rPr>
      </w:pPr>
      <w:r w:rsidRPr="00696968">
        <w:rPr>
          <w:rFonts w:asciiTheme="minorHAnsi" w:hAnsiTheme="minorHAnsi" w:cstheme="minorHAnsi"/>
          <w:b/>
          <w:bCs/>
          <w:color w:val="000000" w:themeColor="text1"/>
          <w:sz w:val="22"/>
          <w:szCs w:val="22"/>
        </w:rPr>
        <w:br/>
      </w:r>
      <w:r w:rsidRPr="00696968">
        <w:rPr>
          <w:rStyle w:val="Strong"/>
          <w:rFonts w:asciiTheme="minorHAnsi" w:hAnsiTheme="minorHAnsi" w:cstheme="minorHAnsi"/>
          <w:color w:val="000000" w:themeColor="text1"/>
          <w:sz w:val="22"/>
          <w:szCs w:val="22"/>
        </w:rPr>
        <w:t>HRT SSPs</w:t>
      </w:r>
    </w:p>
    <w:p w14:paraId="0D675E8C" w14:textId="77777777" w:rsidR="009C55C9" w:rsidRPr="00696968" w:rsidRDefault="009C55C9" w:rsidP="009C55C9">
      <w:pPr>
        <w:pStyle w:val="NormalWeb"/>
        <w:jc w:val="both"/>
        <w:rPr>
          <w:rFonts w:asciiTheme="minorHAnsi" w:hAnsiTheme="minorHAnsi" w:cstheme="minorBidi"/>
          <w:color w:val="000000" w:themeColor="text1"/>
          <w:sz w:val="22"/>
          <w:szCs w:val="22"/>
        </w:rPr>
      </w:pPr>
      <w:r w:rsidRPr="772CD7E5">
        <w:rPr>
          <w:rFonts w:asciiTheme="minorHAnsi" w:hAnsiTheme="minorHAnsi" w:cstheme="minorBidi"/>
          <w:color w:val="000000" w:themeColor="text1"/>
          <w:sz w:val="22"/>
          <w:szCs w:val="22"/>
        </w:rPr>
        <w:t>For four HRT medicines affected by ongoing supply disruptions, a total of 12 individual SSPs remain valid for use which allow either:</w:t>
      </w:r>
    </w:p>
    <w:p w14:paraId="51A2CB58" w14:textId="77777777" w:rsidR="009C55C9" w:rsidRPr="00696968" w:rsidRDefault="009C55C9" w:rsidP="00AF46FC">
      <w:pPr>
        <w:numPr>
          <w:ilvl w:val="0"/>
          <w:numId w:val="16"/>
        </w:numPr>
        <w:spacing w:before="100" w:beforeAutospacing="1" w:after="0" w:line="240" w:lineRule="auto"/>
        <w:jc w:val="both"/>
        <w:rPr>
          <w:rFonts w:cstheme="minorHAnsi"/>
          <w:color w:val="000000" w:themeColor="text1"/>
        </w:rPr>
      </w:pPr>
      <w:r w:rsidRPr="00696968">
        <w:rPr>
          <w:rStyle w:val="Strong"/>
          <w:rFonts w:cstheme="minorHAnsi"/>
          <w:color w:val="000000" w:themeColor="text1"/>
        </w:rPr>
        <w:t>Restriction of the quantity supplied</w:t>
      </w:r>
      <w:r w:rsidRPr="00696968">
        <w:rPr>
          <w:rFonts w:cstheme="minorHAnsi"/>
          <w:color w:val="000000" w:themeColor="text1"/>
        </w:rPr>
        <w:t> – where a prescription has a duration of more than three months and supplies are available, an equivalent of three months’ supply will be permitted in accordance with the SSP for the prescribed medicine; or</w:t>
      </w:r>
    </w:p>
    <w:p w14:paraId="6D5FC86E" w14:textId="77777777" w:rsidR="009C55C9" w:rsidRPr="00696968" w:rsidRDefault="009C55C9" w:rsidP="00AF46FC">
      <w:pPr>
        <w:numPr>
          <w:ilvl w:val="0"/>
          <w:numId w:val="16"/>
        </w:numPr>
        <w:spacing w:before="100" w:beforeAutospacing="1" w:after="0" w:line="240" w:lineRule="auto"/>
        <w:jc w:val="both"/>
        <w:rPr>
          <w:rFonts w:cstheme="minorHAnsi"/>
          <w:color w:val="000000" w:themeColor="text1"/>
        </w:rPr>
      </w:pPr>
      <w:r w:rsidRPr="00696968">
        <w:rPr>
          <w:rStyle w:val="Strong"/>
          <w:rFonts w:cstheme="minorHAnsi"/>
          <w:color w:val="000000" w:themeColor="text1"/>
        </w:rPr>
        <w:lastRenderedPageBreak/>
        <w:t>Substitution</w:t>
      </w:r>
      <w:r w:rsidRPr="00696968">
        <w:rPr>
          <w:rFonts w:cstheme="minorHAnsi"/>
          <w:color w:val="000000" w:themeColor="text1"/>
        </w:rPr>
        <w:t> </w:t>
      </w:r>
      <w:r w:rsidRPr="00696968">
        <w:rPr>
          <w:rStyle w:val="Strong"/>
          <w:rFonts w:cstheme="minorHAnsi"/>
          <w:color w:val="000000" w:themeColor="text1"/>
        </w:rPr>
        <w:t>with a specific alternative product</w:t>
      </w:r>
      <w:r w:rsidRPr="00696968">
        <w:rPr>
          <w:rFonts w:cstheme="minorHAnsi"/>
          <w:color w:val="000000" w:themeColor="text1"/>
        </w:rPr>
        <w:t> – where the prescribed duration of treatment is three months or less and supplies are unavailable, a pharmacist can supply a specific alternative product sufficient to provide a reasonable estimate of the prescribed duration of treatment, if deemed clinically appropriate; or</w:t>
      </w:r>
    </w:p>
    <w:p w14:paraId="0E991F85" w14:textId="77777777" w:rsidR="009C55C9" w:rsidRPr="00696968" w:rsidRDefault="009C55C9" w:rsidP="00AF46FC">
      <w:pPr>
        <w:numPr>
          <w:ilvl w:val="0"/>
          <w:numId w:val="16"/>
        </w:numPr>
        <w:spacing w:before="100" w:beforeAutospacing="1" w:after="0" w:line="240" w:lineRule="auto"/>
        <w:jc w:val="both"/>
        <w:rPr>
          <w:rFonts w:ascii="UbuntuRegular" w:hAnsi="UbuntuRegular"/>
          <w:color w:val="000000" w:themeColor="text1"/>
        </w:rPr>
      </w:pPr>
      <w:r w:rsidRPr="00696968">
        <w:rPr>
          <w:rStyle w:val="Strong"/>
          <w:rFonts w:cstheme="minorHAnsi"/>
          <w:color w:val="000000" w:themeColor="text1"/>
        </w:rPr>
        <w:t>Substitution with a specific alternative product AND restriction of the quantity supplied</w:t>
      </w:r>
      <w:r w:rsidRPr="00696968">
        <w:rPr>
          <w:rFonts w:cstheme="minorHAnsi"/>
          <w:color w:val="000000" w:themeColor="text1"/>
        </w:rPr>
        <w:t> – where a prescription has a duration of more than three months and supplies are unavailable, the SSPs will allow pharmacists to provide three months’ supply of specific alternative product</w:t>
      </w:r>
      <w:r w:rsidRPr="00696968">
        <w:rPr>
          <w:rFonts w:ascii="UbuntuRegular" w:hAnsi="UbuntuRegular"/>
          <w:color w:val="000000" w:themeColor="text1"/>
        </w:rPr>
        <w:t>.</w:t>
      </w:r>
    </w:p>
    <w:p w14:paraId="235AF906" w14:textId="77777777" w:rsidR="009C55C9" w:rsidRDefault="009C55C9" w:rsidP="009C55C9">
      <w:pPr>
        <w:pStyle w:val="NormalWeb"/>
        <w:widowControl/>
        <w:jc w:val="both"/>
        <w:rPr>
          <w:rFonts w:ascii="Calibri Light" w:eastAsiaTheme="minorHAnsi" w:hAnsi="Calibri Light" w:cs="Calibri Light"/>
          <w:color w:val="2F5496" w:themeColor="accent1" w:themeShade="BF"/>
          <w:sz w:val="22"/>
          <w:szCs w:val="22"/>
          <w:lang w:bidi="ar-SA"/>
        </w:rPr>
      </w:pPr>
    </w:p>
    <w:p w14:paraId="74102E7F" w14:textId="77777777" w:rsidR="009C55C9" w:rsidRDefault="009C55C9" w:rsidP="009C55C9">
      <w:pPr>
        <w:pStyle w:val="NormalWeb"/>
        <w:widowControl/>
        <w:jc w:val="both"/>
        <w:rPr>
          <w:rFonts w:ascii="Calibri Light" w:eastAsiaTheme="minorHAnsi" w:hAnsi="Calibri Light" w:cs="Calibri Light"/>
          <w:color w:val="2F5496" w:themeColor="accent1" w:themeShade="BF"/>
          <w:sz w:val="22"/>
          <w:szCs w:val="22"/>
          <w:lang w:bidi="ar-SA"/>
        </w:rPr>
      </w:pPr>
    </w:p>
    <w:p w14:paraId="2BD4BDBE" w14:textId="77777777" w:rsidR="009C55C9" w:rsidRDefault="009C55C9" w:rsidP="009C55C9">
      <w:pPr>
        <w:pStyle w:val="NormalWeb"/>
        <w:widowControl/>
        <w:jc w:val="both"/>
        <w:rPr>
          <w:rStyle w:val="Strong"/>
          <w:rFonts w:asciiTheme="minorHAnsi" w:hAnsiTheme="minorHAnsi" w:cstheme="minorBidi"/>
          <w:color w:val="444444"/>
          <w:sz w:val="22"/>
          <w:szCs w:val="22"/>
        </w:rPr>
      </w:pPr>
      <w:r w:rsidRPr="7E303BF7">
        <w:rPr>
          <w:rFonts w:ascii="Calibri Light" w:eastAsiaTheme="minorEastAsia" w:hAnsi="Calibri Light" w:cs="Calibri Light"/>
          <w:color w:val="2F5496" w:themeColor="accent1" w:themeShade="BF"/>
          <w:sz w:val="32"/>
          <w:szCs w:val="32"/>
          <w:lang w:bidi="ar-SA"/>
        </w:rPr>
        <w:t xml:space="preserve">Expiry of SSP021 </w:t>
      </w:r>
      <w:proofErr w:type="spellStart"/>
      <w:r w:rsidRPr="7E303BF7">
        <w:rPr>
          <w:rFonts w:ascii="Calibri Light" w:eastAsiaTheme="minorEastAsia" w:hAnsi="Calibri Light" w:cs="Calibri Light"/>
          <w:color w:val="2F5496" w:themeColor="accent1" w:themeShade="BF"/>
          <w:sz w:val="32"/>
          <w:szCs w:val="32"/>
          <w:lang w:bidi="ar-SA"/>
        </w:rPr>
        <w:t>Premique</w:t>
      </w:r>
      <w:proofErr w:type="spellEnd"/>
      <w:r w:rsidRPr="7E303BF7">
        <w:rPr>
          <w:rFonts w:ascii="Calibri Light" w:eastAsiaTheme="minorEastAsia" w:hAnsi="Calibri Light" w:cs="Calibri Light"/>
          <w:color w:val="2F5496" w:themeColor="accent1" w:themeShade="BF"/>
          <w:sz w:val="32"/>
          <w:szCs w:val="32"/>
          <w:lang w:bidi="ar-SA"/>
        </w:rPr>
        <w:t>® low dose 0.3mg/1.5mg modified-release tablets</w:t>
      </w:r>
    </w:p>
    <w:p w14:paraId="1B7FE264" w14:textId="77777777" w:rsidR="009C55C9" w:rsidRDefault="009C55C9" w:rsidP="009C55C9">
      <w:pPr>
        <w:pStyle w:val="NoSpacing"/>
        <w:jc w:val="both"/>
        <w:rPr>
          <w:rFonts w:ascii="Calibri Light" w:hAnsi="Calibri Light" w:cs="Calibri Light"/>
          <w:color w:val="2F5496" w:themeColor="accent1" w:themeShade="BF"/>
        </w:rPr>
      </w:pPr>
    </w:p>
    <w:p w14:paraId="141CCAEE" w14:textId="77777777" w:rsidR="009C55C9" w:rsidRPr="00696968" w:rsidRDefault="009C55C9" w:rsidP="009C55C9">
      <w:pPr>
        <w:pStyle w:val="NormalWeb"/>
        <w:jc w:val="both"/>
        <w:rPr>
          <w:rFonts w:asciiTheme="minorHAnsi" w:eastAsia="Times New Roman" w:hAnsiTheme="minorHAnsi" w:cstheme="minorBidi"/>
          <w:color w:val="000000" w:themeColor="text1"/>
          <w:sz w:val="22"/>
          <w:szCs w:val="22"/>
          <w:lang w:bidi="ar-SA"/>
        </w:rPr>
      </w:pPr>
      <w:r w:rsidRPr="1E070C35">
        <w:rPr>
          <w:rFonts w:asciiTheme="minorHAnsi" w:hAnsiTheme="minorHAnsi" w:cstheme="minorBidi"/>
          <w:color w:val="000000" w:themeColor="text1"/>
          <w:sz w:val="22"/>
          <w:szCs w:val="22"/>
        </w:rPr>
        <w:t xml:space="preserve">The Department of Health and Social Care (DHSC) confirmed that sufficient stock of </w:t>
      </w:r>
      <w:proofErr w:type="spellStart"/>
      <w:r w:rsidRPr="1E070C35">
        <w:rPr>
          <w:rFonts w:asciiTheme="minorHAnsi" w:hAnsiTheme="minorHAnsi" w:cstheme="minorBidi"/>
          <w:color w:val="000000" w:themeColor="text1"/>
          <w:sz w:val="22"/>
          <w:szCs w:val="22"/>
        </w:rPr>
        <w:t>Premique</w:t>
      </w:r>
      <w:proofErr w:type="spellEnd"/>
      <w:r w:rsidRPr="1E070C35">
        <w:rPr>
          <w:rFonts w:asciiTheme="minorHAnsi" w:hAnsiTheme="minorHAnsi" w:cstheme="minorBidi"/>
          <w:color w:val="000000" w:themeColor="text1"/>
          <w:sz w:val="22"/>
          <w:szCs w:val="22"/>
        </w:rPr>
        <w:t>® low dose 0.3mg/1.5mg modified-release tablets was available to meet normal demand. As a result, the Serious Shortage Protocol </w:t>
      </w:r>
      <w:r w:rsidRPr="1E070C35">
        <w:rPr>
          <w:rStyle w:val="Strong"/>
          <w:rFonts w:asciiTheme="minorHAnsi" w:hAnsiTheme="minorHAnsi" w:cstheme="minorBidi"/>
          <w:color w:val="000000" w:themeColor="text1"/>
          <w:sz w:val="22"/>
          <w:szCs w:val="22"/>
        </w:rPr>
        <w:t xml:space="preserve">SSP021, for </w:t>
      </w:r>
      <w:proofErr w:type="spellStart"/>
      <w:r w:rsidRPr="1E070C35">
        <w:rPr>
          <w:rStyle w:val="Strong"/>
          <w:rFonts w:asciiTheme="minorHAnsi" w:hAnsiTheme="minorHAnsi" w:cstheme="minorBidi"/>
          <w:color w:val="000000" w:themeColor="text1"/>
          <w:sz w:val="22"/>
          <w:szCs w:val="22"/>
        </w:rPr>
        <w:t>Premique</w:t>
      </w:r>
      <w:proofErr w:type="spellEnd"/>
      <w:r w:rsidRPr="1E070C35">
        <w:rPr>
          <w:rStyle w:val="Strong"/>
          <w:rFonts w:asciiTheme="minorHAnsi" w:hAnsiTheme="minorHAnsi" w:cstheme="minorBidi"/>
          <w:color w:val="000000" w:themeColor="text1"/>
          <w:sz w:val="22"/>
          <w:szCs w:val="22"/>
        </w:rPr>
        <w:t>® low dose 0.3mg/1.5mg modified-release tablets expired at 23.59pm on Friday 29 July 2022</w:t>
      </w:r>
      <w:r w:rsidRPr="1E070C35">
        <w:rPr>
          <w:rFonts w:asciiTheme="minorHAnsi" w:hAnsiTheme="minorHAnsi" w:cstheme="minorBidi"/>
          <w:color w:val="000000" w:themeColor="text1"/>
          <w:sz w:val="22"/>
          <w:szCs w:val="22"/>
        </w:rPr>
        <w:t xml:space="preserve">. After this date, any prescriptions for </w:t>
      </w:r>
      <w:proofErr w:type="spellStart"/>
      <w:r w:rsidRPr="1E070C35">
        <w:rPr>
          <w:rFonts w:asciiTheme="minorHAnsi" w:hAnsiTheme="minorHAnsi" w:cstheme="minorBidi"/>
          <w:color w:val="000000" w:themeColor="text1"/>
          <w:sz w:val="22"/>
          <w:szCs w:val="22"/>
        </w:rPr>
        <w:t>Premique</w:t>
      </w:r>
      <w:proofErr w:type="spellEnd"/>
      <w:r w:rsidRPr="1E070C35">
        <w:rPr>
          <w:rFonts w:asciiTheme="minorHAnsi" w:hAnsiTheme="minorHAnsi" w:cstheme="minorBidi"/>
          <w:color w:val="000000" w:themeColor="text1"/>
          <w:sz w:val="22"/>
          <w:szCs w:val="22"/>
        </w:rPr>
        <w:t>® low dose 0.3mg/1.5mg modified-release tablets must be dispensed in accordance with the prescription, and the SSP021 will no longer be valid for use.</w:t>
      </w:r>
    </w:p>
    <w:p w14:paraId="2FA1D392" w14:textId="77777777" w:rsidR="009C55C9" w:rsidRDefault="009C55C9" w:rsidP="009C55C9">
      <w:pPr>
        <w:pStyle w:val="Heading3"/>
        <w:jc w:val="both"/>
        <w:rPr>
          <w:rFonts w:asciiTheme="minorHAnsi" w:hAnsiTheme="minorHAnsi" w:cstheme="minorHAnsi"/>
          <w:color w:val="55318C"/>
        </w:rPr>
      </w:pPr>
    </w:p>
    <w:p w14:paraId="6E3E49F9" w14:textId="77777777" w:rsidR="009C55C9" w:rsidRPr="00190054" w:rsidRDefault="009C55C9" w:rsidP="009C55C9">
      <w:pPr>
        <w:pStyle w:val="Heading3"/>
        <w:jc w:val="both"/>
        <w:rPr>
          <w:rFonts w:asciiTheme="minorHAnsi" w:hAnsiTheme="minorHAnsi" w:cstheme="minorHAnsi"/>
          <w:color w:val="55318C"/>
        </w:rPr>
      </w:pPr>
      <w:r w:rsidRPr="00190054">
        <w:rPr>
          <w:rFonts w:asciiTheme="minorHAnsi" w:hAnsiTheme="minorHAnsi" w:cstheme="minorHAnsi"/>
          <w:color w:val="55318C"/>
        </w:rPr>
        <w:t>Top tips for SSP claims</w:t>
      </w:r>
    </w:p>
    <w:p w14:paraId="66A8CFAA" w14:textId="77777777" w:rsidR="009C55C9" w:rsidRPr="00696968" w:rsidRDefault="009C55C9" w:rsidP="00AF46FC">
      <w:pPr>
        <w:numPr>
          <w:ilvl w:val="0"/>
          <w:numId w:val="15"/>
        </w:numPr>
        <w:spacing w:before="100" w:beforeAutospacing="1" w:after="100" w:afterAutospacing="1" w:line="240" w:lineRule="auto"/>
        <w:jc w:val="both"/>
        <w:rPr>
          <w:color w:val="000000" w:themeColor="text1"/>
        </w:rPr>
      </w:pPr>
      <w:r w:rsidRPr="469BFCBA">
        <w:t>Where available, use the claim amend facility on the PMR system to rectify any incorrect EPS claims already submitted this month.</w:t>
      </w:r>
    </w:p>
    <w:p w14:paraId="7533907C" w14:textId="77777777" w:rsidR="009C55C9" w:rsidRPr="00696968" w:rsidRDefault="009C55C9" w:rsidP="00AF46FC">
      <w:pPr>
        <w:numPr>
          <w:ilvl w:val="0"/>
          <w:numId w:val="15"/>
        </w:numPr>
        <w:spacing w:before="100" w:beforeAutospacing="1" w:after="100" w:afterAutospacing="1" w:line="240" w:lineRule="auto"/>
        <w:jc w:val="both"/>
        <w:rPr>
          <w:color w:val="000000" w:themeColor="text1"/>
        </w:rPr>
      </w:pPr>
      <w:r w:rsidRPr="469BFCBA">
        <w:t>For any supplies made in accordance with SSPs, check that the correct number of patient charges are collected and declared on the end of month FP34C submission document.</w:t>
      </w:r>
    </w:p>
    <w:p w14:paraId="563ADC2F" w14:textId="77777777" w:rsidR="009C55C9" w:rsidRPr="00696968" w:rsidRDefault="009C55C9" w:rsidP="00AF46FC">
      <w:pPr>
        <w:numPr>
          <w:ilvl w:val="0"/>
          <w:numId w:val="15"/>
        </w:numPr>
        <w:spacing w:before="100" w:beforeAutospacing="1" w:after="100" w:afterAutospacing="1" w:line="240" w:lineRule="auto"/>
        <w:jc w:val="both"/>
        <w:rPr>
          <w:color w:val="000000" w:themeColor="text1"/>
        </w:rPr>
      </w:pPr>
      <w:r w:rsidRPr="469BFCBA">
        <w:t>NHSBSA advise that contractors must follow the specific </w:t>
      </w:r>
      <w:hyperlink r:id="rId30">
        <w:r w:rsidRPr="469BFCBA">
          <w:rPr>
            <w:rStyle w:val="Hyperlink"/>
            <w:color w:val="auto"/>
          </w:rPr>
          <w:t>endorsement guidance</w:t>
        </w:r>
      </w:hyperlink>
      <w:r w:rsidRPr="469BFCBA">
        <w:t> issued with each SSP and endorsements should be clear and unambiguous – NHSBSA processing staff must be able to determine what has been supplied. NHSBSA have published information on </w:t>
      </w:r>
      <w:hyperlink r:id="rId31">
        <w:r w:rsidRPr="469BFCBA">
          <w:rPr>
            <w:rStyle w:val="Hyperlink"/>
            <w:color w:val="auto"/>
          </w:rPr>
          <w:t>common SSP endorsing errors</w:t>
        </w:r>
      </w:hyperlink>
      <w:r w:rsidRPr="469BFCBA">
        <w:t> they see when processing claims.</w:t>
      </w:r>
    </w:p>
    <w:p w14:paraId="2B1DC9B9" w14:textId="77777777" w:rsidR="009C55C9" w:rsidRPr="00696968" w:rsidRDefault="009C55C9" w:rsidP="00AF46FC">
      <w:pPr>
        <w:numPr>
          <w:ilvl w:val="0"/>
          <w:numId w:val="15"/>
        </w:numPr>
        <w:spacing w:before="100" w:beforeAutospacing="1" w:after="100" w:afterAutospacing="1" w:line="240" w:lineRule="auto"/>
        <w:jc w:val="both"/>
        <w:rPr>
          <w:color w:val="000000" w:themeColor="text1"/>
        </w:rPr>
      </w:pPr>
      <w:r w:rsidRPr="469BFCBA">
        <w:t>Any paper prescriptions with SSP claims need to be placed in the red separator provided by the NHSBSA.</w:t>
      </w:r>
    </w:p>
    <w:p w14:paraId="30D07F19" w14:textId="77777777" w:rsidR="009C55C9" w:rsidRPr="00696968" w:rsidRDefault="009C55C9" w:rsidP="00AF46FC">
      <w:pPr>
        <w:numPr>
          <w:ilvl w:val="0"/>
          <w:numId w:val="15"/>
        </w:numPr>
        <w:spacing w:before="100" w:beforeAutospacing="1" w:after="100" w:afterAutospacing="1" w:line="240" w:lineRule="auto"/>
        <w:jc w:val="both"/>
        <w:rPr>
          <w:color w:val="000000" w:themeColor="text1"/>
        </w:rPr>
      </w:pPr>
      <w:r w:rsidRPr="469BFCBA">
        <w:t xml:space="preserve">Although an SSP cannot be used outside its period of validity, claims can be submitted up to three calendar months after expiry or withdrawal of the SSP to help manage any </w:t>
      </w:r>
      <w:proofErr w:type="spellStart"/>
      <w:r w:rsidRPr="469BFCBA">
        <w:t>owings</w:t>
      </w:r>
      <w:proofErr w:type="spellEnd"/>
      <w:r w:rsidRPr="469BFCBA">
        <w:t xml:space="preserve"> for other items issued on the same prescription form. For example, for SSP021 </w:t>
      </w:r>
      <w:proofErr w:type="spellStart"/>
      <w:r w:rsidRPr="469BFCBA">
        <w:t>Premique</w:t>
      </w:r>
      <w:proofErr w:type="spellEnd"/>
      <w:r w:rsidRPr="469BFCBA">
        <w:t xml:space="preserve">® low dose 0.3mg/1.5mg modified-release tablets, which expires at 23.59pm on Friday 29 July 2022, the NHSBSA would continue to look for the “SSP” endorsement on prescriptions for </w:t>
      </w:r>
      <w:proofErr w:type="spellStart"/>
      <w:r w:rsidRPr="469BFCBA">
        <w:t>Premique</w:t>
      </w:r>
      <w:proofErr w:type="spellEnd"/>
      <w:r w:rsidRPr="469BFCBA">
        <w:t>® low dose 0.3mg/1.5mg modified-release tablets that are submitted with the July batch (submitted by 5 August), August batch (submitted by 5 September) and September batch (submitted by 5 October).</w:t>
      </w:r>
    </w:p>
    <w:p w14:paraId="49A8A119" w14:textId="77777777" w:rsidR="009C55C9" w:rsidRPr="00696968" w:rsidRDefault="009C55C9" w:rsidP="00AF46FC">
      <w:pPr>
        <w:numPr>
          <w:ilvl w:val="0"/>
          <w:numId w:val="15"/>
        </w:numPr>
        <w:spacing w:before="100" w:beforeAutospacing="1" w:after="100" w:afterAutospacing="1" w:line="240" w:lineRule="auto"/>
        <w:jc w:val="both"/>
        <w:rPr>
          <w:color w:val="000000" w:themeColor="text1"/>
        </w:rPr>
      </w:pPr>
      <w:r w:rsidRPr="469BFCBA">
        <w:t>Pharmacy contractors should declare the number of SSP claims submitted each month to reconcile against their monthly Schedule of Payments or Prescription Item (</w:t>
      </w:r>
      <w:proofErr w:type="spellStart"/>
      <w:r w:rsidRPr="469BFCBA">
        <w:t>Px</w:t>
      </w:r>
      <w:proofErr w:type="spellEnd"/>
      <w:r w:rsidRPr="469BFCBA">
        <w:t>) reports.</w:t>
      </w:r>
    </w:p>
    <w:p w14:paraId="65390CB4" w14:textId="77777777" w:rsidR="009C55C9" w:rsidRPr="00696968" w:rsidRDefault="009C55C9" w:rsidP="00AF46FC">
      <w:pPr>
        <w:numPr>
          <w:ilvl w:val="0"/>
          <w:numId w:val="15"/>
        </w:numPr>
        <w:spacing w:before="100" w:beforeAutospacing="1" w:after="100" w:afterAutospacing="1" w:line="240" w:lineRule="auto"/>
        <w:jc w:val="both"/>
        <w:rPr>
          <w:color w:val="000000" w:themeColor="text1"/>
        </w:rPr>
      </w:pPr>
      <w:r w:rsidRPr="772CD7E5">
        <w:t>View our </w:t>
      </w:r>
      <w:hyperlink r:id="rId32">
        <w:r w:rsidRPr="772CD7E5">
          <w:rPr>
            <w:rStyle w:val="Hyperlink"/>
            <w:b/>
            <w:bCs/>
            <w:color w:val="auto"/>
          </w:rPr>
          <w:t>SSP submission guidance</w:t>
        </w:r>
      </w:hyperlink>
      <w:r w:rsidRPr="772CD7E5">
        <w:t> to ensure your SSP claims are appropriately submitted to NHSBSA for reimbursement.</w:t>
      </w:r>
    </w:p>
    <w:p w14:paraId="58A94050" w14:textId="77777777" w:rsidR="009C55C9" w:rsidRDefault="009C55C9" w:rsidP="009C55C9">
      <w:pPr>
        <w:pStyle w:val="NormalWeb"/>
        <w:widowControl/>
        <w:jc w:val="both"/>
        <w:rPr>
          <w:rFonts w:ascii="Calibri Light" w:eastAsiaTheme="minorHAnsi" w:hAnsi="Calibri Light" w:cs="Calibri Light"/>
          <w:color w:val="2F5496" w:themeColor="accent1" w:themeShade="BF"/>
          <w:sz w:val="22"/>
          <w:szCs w:val="22"/>
          <w:lang w:bidi="ar-SA"/>
        </w:rPr>
      </w:pPr>
    </w:p>
    <w:p w14:paraId="70151E9E" w14:textId="77777777" w:rsidR="009C55C9" w:rsidRDefault="009C55C9" w:rsidP="009C55C9">
      <w:pPr>
        <w:pStyle w:val="NormalWeb"/>
        <w:widowControl/>
        <w:jc w:val="both"/>
        <w:rPr>
          <w:rFonts w:ascii="Calibri Light" w:eastAsiaTheme="minorEastAsia" w:hAnsi="Calibri Light" w:cs="Calibri Light"/>
          <w:color w:val="2F5496" w:themeColor="accent1" w:themeShade="BF"/>
          <w:sz w:val="22"/>
          <w:szCs w:val="22"/>
          <w:lang w:bidi="ar-SA"/>
        </w:rPr>
      </w:pPr>
      <w:r w:rsidRPr="608F7678">
        <w:rPr>
          <w:rFonts w:ascii="Calibri Light" w:eastAsiaTheme="minorEastAsia" w:hAnsi="Calibri Light" w:cs="Calibri Light"/>
          <w:color w:val="2F5496" w:themeColor="accent1" w:themeShade="BF"/>
          <w:sz w:val="32"/>
          <w:szCs w:val="32"/>
          <w:lang w:bidi="ar-SA"/>
        </w:rPr>
        <w:t>Extension to SSPs for Fluoxetine 10mg tablets (SSP005) and Atorvastatin 10mg chewable tablets (SSP032)</w:t>
      </w:r>
    </w:p>
    <w:p w14:paraId="75448044" w14:textId="77777777" w:rsidR="009C55C9" w:rsidRDefault="009C55C9" w:rsidP="009C55C9">
      <w:pPr>
        <w:pStyle w:val="NormalWeb"/>
        <w:widowControl/>
        <w:jc w:val="both"/>
        <w:rPr>
          <w:rFonts w:ascii="Calibri Light" w:eastAsiaTheme="minorHAnsi" w:hAnsi="Calibri Light" w:cs="Calibri Light"/>
          <w:color w:val="2F5496" w:themeColor="accent1" w:themeShade="BF"/>
          <w:sz w:val="22"/>
          <w:szCs w:val="22"/>
          <w:lang w:bidi="ar-SA"/>
        </w:rPr>
      </w:pPr>
    </w:p>
    <w:p w14:paraId="5FF9AE0E" w14:textId="77777777" w:rsidR="009C55C9" w:rsidRPr="0056413F" w:rsidRDefault="009C55C9" w:rsidP="009C55C9">
      <w:pPr>
        <w:pStyle w:val="NormalWeb"/>
        <w:jc w:val="both"/>
        <w:rPr>
          <w:rFonts w:asciiTheme="minorHAnsi" w:hAnsiTheme="minorHAnsi" w:cstheme="minorHAnsi"/>
          <w:color w:val="000000" w:themeColor="text1"/>
          <w:sz w:val="22"/>
          <w:szCs w:val="22"/>
        </w:rPr>
      </w:pPr>
      <w:r w:rsidRPr="0056413F">
        <w:rPr>
          <w:rFonts w:asciiTheme="minorHAnsi" w:hAnsiTheme="minorHAnsi" w:cstheme="minorHAnsi"/>
          <w:color w:val="000000" w:themeColor="text1"/>
          <w:sz w:val="22"/>
          <w:szCs w:val="22"/>
        </w:rPr>
        <w:t>The Department of Health and Social Care (DHSC) provided an update on the Serious Shortage Protocols (SSPs) for Fluoxetine 10mg tablets (SSP005) and Lipitor</w:t>
      </w:r>
      <w:r w:rsidRPr="0056413F">
        <w:rPr>
          <w:rFonts w:asciiTheme="minorHAnsi" w:hAnsiTheme="minorHAnsi" w:cstheme="minorHAnsi" w:hint="eastAsia"/>
          <w:color w:val="000000" w:themeColor="text1"/>
          <w:sz w:val="22"/>
          <w:szCs w:val="22"/>
          <w:vertAlign w:val="superscript"/>
        </w:rPr>
        <w:t>®</w:t>
      </w:r>
      <w:r w:rsidRPr="0056413F">
        <w:rPr>
          <w:rFonts w:asciiTheme="minorHAnsi" w:hAnsiTheme="minorHAnsi" w:cstheme="minorHAnsi" w:hint="eastAsia"/>
          <w:color w:val="000000" w:themeColor="text1"/>
          <w:sz w:val="22"/>
          <w:szCs w:val="22"/>
        </w:rPr>
        <w:t> </w:t>
      </w:r>
      <w:r w:rsidRPr="0056413F">
        <w:rPr>
          <w:rFonts w:asciiTheme="minorHAnsi" w:hAnsiTheme="minorHAnsi" w:cstheme="minorHAnsi"/>
          <w:color w:val="000000" w:themeColor="text1"/>
          <w:sz w:val="22"/>
          <w:szCs w:val="22"/>
        </w:rPr>
        <w:t>10mg chewable tablets (SSP032).</w:t>
      </w:r>
    </w:p>
    <w:p w14:paraId="08974AF2" w14:textId="77777777" w:rsidR="009C55C9" w:rsidRPr="0056413F" w:rsidRDefault="009C55C9" w:rsidP="009C55C9">
      <w:pPr>
        <w:pStyle w:val="NormalWeb"/>
        <w:jc w:val="both"/>
        <w:rPr>
          <w:rFonts w:asciiTheme="minorHAnsi" w:eastAsia="Times New Roman" w:hAnsiTheme="minorHAnsi" w:cstheme="minorBidi"/>
          <w:color w:val="000000" w:themeColor="text1"/>
          <w:sz w:val="22"/>
          <w:szCs w:val="22"/>
          <w:u w:val="single"/>
          <w:lang w:bidi="ar-SA"/>
        </w:rPr>
      </w:pPr>
    </w:p>
    <w:p w14:paraId="2F22E30F" w14:textId="77777777" w:rsidR="009C55C9" w:rsidRDefault="009C55C9" w:rsidP="009C55C9">
      <w:pPr>
        <w:pStyle w:val="NormalWeb"/>
        <w:jc w:val="both"/>
      </w:pPr>
      <w:r w:rsidRPr="469BFCBA">
        <w:rPr>
          <w:rFonts w:asciiTheme="minorHAnsi" w:hAnsiTheme="minorHAnsi" w:cstheme="minorBidi"/>
          <w:b/>
          <w:bCs/>
          <w:color w:val="000000" w:themeColor="text1"/>
          <w:sz w:val="22"/>
          <w:szCs w:val="22"/>
          <w:u w:val="single"/>
        </w:rPr>
        <w:t>SSP005</w:t>
      </w:r>
      <w:r w:rsidRPr="469BFCBA">
        <w:rPr>
          <w:rFonts w:asciiTheme="minorHAnsi" w:hAnsiTheme="minorHAnsi" w:cstheme="minorBidi"/>
          <w:color w:val="000000" w:themeColor="text1"/>
          <w:sz w:val="22"/>
          <w:szCs w:val="22"/>
        </w:rPr>
        <w:t xml:space="preserve"> for Fluoxetine 10mg tablets was due to expire on 12 August 2022 but the end date was further </w:t>
      </w:r>
      <w:r w:rsidRPr="469BFCBA">
        <w:rPr>
          <w:rFonts w:asciiTheme="minorHAnsi" w:hAnsiTheme="minorHAnsi" w:cstheme="minorBidi"/>
          <w:color w:val="000000" w:themeColor="text1"/>
          <w:sz w:val="22"/>
          <w:szCs w:val="22"/>
        </w:rPr>
        <w:lastRenderedPageBreak/>
        <w:t>extended to </w:t>
      </w:r>
      <w:r w:rsidRPr="469BFCBA">
        <w:rPr>
          <w:rStyle w:val="Strong"/>
          <w:rFonts w:asciiTheme="minorHAnsi" w:hAnsiTheme="minorHAnsi" w:cstheme="minorBidi"/>
          <w:color w:val="000000" w:themeColor="text1"/>
          <w:sz w:val="22"/>
          <w:szCs w:val="22"/>
        </w:rPr>
        <w:t>Wednesday 7 December 2022.</w:t>
      </w:r>
      <w:r w:rsidRPr="469BFCBA">
        <w:rPr>
          <w:rFonts w:asciiTheme="minorHAnsi" w:hAnsiTheme="minorHAnsi" w:cstheme="minorBidi"/>
          <w:color w:val="000000" w:themeColor="text1"/>
          <w:sz w:val="22"/>
          <w:szCs w:val="22"/>
        </w:rPr>
        <w:t> SSP005 provides that for every </w:t>
      </w:r>
      <w:r w:rsidRPr="469BFCBA">
        <w:rPr>
          <w:rStyle w:val="Strong"/>
          <w:rFonts w:asciiTheme="minorHAnsi" w:hAnsiTheme="minorHAnsi" w:cstheme="minorBidi"/>
          <w:color w:val="000000" w:themeColor="text1"/>
          <w:sz w:val="22"/>
          <w:szCs w:val="22"/>
        </w:rPr>
        <w:t>Fluoxetine 10mg tablet originally prescribed</w:t>
      </w:r>
      <w:r w:rsidRPr="469BFCBA">
        <w:rPr>
          <w:rStyle w:val="normaltextrun"/>
          <w:rFonts w:asciiTheme="minorHAnsi" w:hAnsiTheme="minorHAnsi" w:cstheme="minorBidi"/>
          <w:color w:val="000000" w:themeColor="text1"/>
          <w:sz w:val="22"/>
          <w:szCs w:val="22"/>
        </w:rPr>
        <w:t>, </w:t>
      </w:r>
      <w:r w:rsidRPr="469BFCBA">
        <w:rPr>
          <w:rStyle w:val="Strong"/>
          <w:rFonts w:asciiTheme="minorHAnsi" w:hAnsiTheme="minorHAnsi" w:cstheme="minorBidi"/>
          <w:color w:val="000000" w:themeColor="text1"/>
          <w:sz w:val="22"/>
          <w:szCs w:val="22"/>
        </w:rPr>
        <w:t>one Fluoxetine 10mg capsule</w:t>
      </w:r>
      <w:r w:rsidRPr="469BFCBA">
        <w:rPr>
          <w:rStyle w:val="normaltextrun"/>
          <w:rFonts w:asciiTheme="minorHAnsi" w:hAnsiTheme="minorHAnsi" w:cstheme="minorBidi"/>
          <w:color w:val="000000" w:themeColor="text1"/>
          <w:sz w:val="22"/>
          <w:szCs w:val="22"/>
        </w:rPr>
        <w:t> must be supplied. </w:t>
      </w:r>
    </w:p>
    <w:p w14:paraId="686D7251" w14:textId="77777777" w:rsidR="009C55C9" w:rsidRPr="0056413F" w:rsidRDefault="009C55C9" w:rsidP="009C55C9">
      <w:pPr>
        <w:pStyle w:val="NormalWeb"/>
        <w:jc w:val="both"/>
        <w:rPr>
          <w:rFonts w:asciiTheme="minorHAnsi" w:hAnsiTheme="minorHAnsi" w:cstheme="minorBidi"/>
          <w:color w:val="000000" w:themeColor="text1"/>
          <w:sz w:val="22"/>
          <w:szCs w:val="22"/>
        </w:rPr>
      </w:pPr>
    </w:p>
    <w:p w14:paraId="49C76C49" w14:textId="77777777" w:rsidR="009C55C9" w:rsidRPr="00C32E1F" w:rsidRDefault="00000000" w:rsidP="009C55C9">
      <w:pPr>
        <w:pStyle w:val="NormalWeb"/>
        <w:jc w:val="both"/>
        <w:rPr>
          <w:rFonts w:asciiTheme="minorHAnsi" w:hAnsiTheme="minorHAnsi" w:cstheme="minorBidi"/>
          <w:color w:val="000000" w:themeColor="text1"/>
          <w:sz w:val="22"/>
          <w:szCs w:val="22"/>
        </w:rPr>
      </w:pPr>
      <w:hyperlink r:id="rId33">
        <w:r w:rsidR="009C55C9" w:rsidRPr="772CD7E5">
          <w:rPr>
            <w:rStyle w:val="Hyperlink"/>
            <w:rFonts w:asciiTheme="minorHAnsi" w:hAnsiTheme="minorHAnsi" w:cstheme="minorBidi"/>
            <w:b/>
            <w:bCs/>
            <w:color w:val="000000" w:themeColor="text1"/>
            <w:sz w:val="22"/>
            <w:szCs w:val="22"/>
          </w:rPr>
          <w:t>SSP032</w:t>
        </w:r>
      </w:hyperlink>
      <w:r w:rsidR="009C55C9" w:rsidRPr="772CD7E5">
        <w:rPr>
          <w:rFonts w:asciiTheme="minorHAnsi" w:hAnsiTheme="minorHAnsi" w:cstheme="minorBidi"/>
          <w:color w:val="000000" w:themeColor="text1"/>
          <w:sz w:val="22"/>
          <w:szCs w:val="22"/>
        </w:rPr>
        <w:t> for Lipitor</w:t>
      </w:r>
      <w:r w:rsidR="009C55C9" w:rsidRPr="772CD7E5">
        <w:rPr>
          <w:rFonts w:asciiTheme="minorHAnsi" w:hAnsiTheme="minorHAnsi" w:cstheme="minorBidi"/>
          <w:color w:val="000000" w:themeColor="text1"/>
          <w:sz w:val="22"/>
          <w:szCs w:val="22"/>
          <w:vertAlign w:val="superscript"/>
        </w:rPr>
        <w:t>®</w:t>
      </w:r>
      <w:r w:rsidR="009C55C9" w:rsidRPr="772CD7E5">
        <w:rPr>
          <w:rFonts w:asciiTheme="minorHAnsi" w:hAnsiTheme="minorHAnsi" w:cstheme="minorBidi"/>
          <w:color w:val="000000" w:themeColor="text1"/>
          <w:sz w:val="22"/>
          <w:szCs w:val="22"/>
        </w:rPr>
        <w:t> 10mg chewable tablets was due to expire on 2 September 2022 but the end date was further extended to </w:t>
      </w:r>
      <w:r w:rsidR="009C55C9" w:rsidRPr="772CD7E5">
        <w:rPr>
          <w:rStyle w:val="Strong"/>
          <w:rFonts w:asciiTheme="minorHAnsi" w:hAnsiTheme="minorHAnsi" w:cstheme="minorBidi"/>
          <w:color w:val="000000" w:themeColor="text1"/>
          <w:sz w:val="22"/>
          <w:szCs w:val="22"/>
        </w:rPr>
        <w:t xml:space="preserve">Friday 9 September 2022. SSP032 </w:t>
      </w:r>
      <w:r w:rsidR="009C55C9" w:rsidRPr="772CD7E5">
        <w:rPr>
          <w:rFonts w:asciiTheme="minorHAnsi" w:hAnsiTheme="minorHAnsi" w:cstheme="minorBidi"/>
          <w:color w:val="000000" w:themeColor="text1"/>
          <w:sz w:val="22"/>
          <w:szCs w:val="22"/>
        </w:rPr>
        <w:t>provides t</w:t>
      </w:r>
      <w:r w:rsidR="009C55C9" w:rsidRPr="772CD7E5">
        <w:rPr>
          <w:rStyle w:val="normaltextrun"/>
          <w:rFonts w:asciiTheme="minorHAnsi" w:hAnsiTheme="minorHAnsi" w:cstheme="minorBidi"/>
          <w:color w:val="000000" w:themeColor="text1"/>
          <w:sz w:val="22"/>
          <w:szCs w:val="22"/>
        </w:rPr>
        <w:t>hat for every </w:t>
      </w:r>
      <w:r w:rsidR="009C55C9" w:rsidRPr="772CD7E5">
        <w:rPr>
          <w:rStyle w:val="Strong"/>
          <w:rFonts w:asciiTheme="minorHAnsi" w:hAnsiTheme="minorHAnsi" w:cstheme="minorBidi"/>
          <w:color w:val="000000" w:themeColor="text1"/>
          <w:sz w:val="22"/>
          <w:szCs w:val="22"/>
        </w:rPr>
        <w:t>Lipitor</w:t>
      </w:r>
      <w:r w:rsidR="009C55C9" w:rsidRPr="772CD7E5">
        <w:rPr>
          <w:rStyle w:val="Strong"/>
          <w:rFonts w:asciiTheme="minorHAnsi" w:hAnsiTheme="minorHAnsi" w:cstheme="minorBidi"/>
          <w:color w:val="000000" w:themeColor="text1"/>
          <w:sz w:val="22"/>
          <w:szCs w:val="22"/>
          <w:vertAlign w:val="superscript"/>
        </w:rPr>
        <w:t>®</w:t>
      </w:r>
      <w:r w:rsidR="009C55C9" w:rsidRPr="772CD7E5">
        <w:rPr>
          <w:rStyle w:val="Strong"/>
          <w:rFonts w:asciiTheme="minorHAnsi" w:hAnsiTheme="minorHAnsi" w:cstheme="minorBidi"/>
          <w:color w:val="000000" w:themeColor="text1"/>
          <w:sz w:val="22"/>
          <w:szCs w:val="22"/>
        </w:rPr>
        <w:t> 10mg chewable tablet originally prescribed</w:t>
      </w:r>
      <w:r w:rsidR="009C55C9" w:rsidRPr="772CD7E5">
        <w:rPr>
          <w:rStyle w:val="normaltextrun"/>
          <w:rFonts w:asciiTheme="minorHAnsi" w:hAnsiTheme="minorHAnsi" w:cstheme="minorBidi"/>
          <w:color w:val="000000" w:themeColor="text1"/>
          <w:sz w:val="22"/>
          <w:szCs w:val="22"/>
        </w:rPr>
        <w:t>, either </w:t>
      </w:r>
      <w:r w:rsidR="009C55C9" w:rsidRPr="772CD7E5">
        <w:rPr>
          <w:rStyle w:val="Strong"/>
          <w:rFonts w:asciiTheme="minorHAnsi" w:hAnsiTheme="minorHAnsi" w:cstheme="minorBidi"/>
          <w:color w:val="000000" w:themeColor="text1"/>
          <w:sz w:val="22"/>
          <w:szCs w:val="22"/>
        </w:rPr>
        <w:t>one Atorvastatin 10mg film-coated tablet or the equivalent dose of Atorvastatin 20mg/5ml oral suspension sugar free</w:t>
      </w:r>
      <w:r w:rsidR="009C55C9" w:rsidRPr="772CD7E5">
        <w:rPr>
          <w:rStyle w:val="normaltextrun"/>
          <w:rFonts w:asciiTheme="minorHAnsi" w:hAnsiTheme="minorHAnsi" w:cstheme="minorBidi"/>
          <w:color w:val="000000" w:themeColor="text1"/>
          <w:sz w:val="22"/>
          <w:szCs w:val="22"/>
        </w:rPr>
        <w:t> must be supplied. i</w:t>
      </w:r>
      <w:r w:rsidR="009C55C9" w:rsidRPr="772CD7E5">
        <w:rPr>
          <w:rFonts w:asciiTheme="minorHAnsi" w:hAnsiTheme="minorHAnsi" w:cstheme="minorBidi"/>
          <w:color w:val="000000" w:themeColor="text1"/>
          <w:sz w:val="22"/>
          <w:szCs w:val="22"/>
        </w:rPr>
        <w:t>f the film-coated tablet is unsuitable for the patient (i.e. the patient is unable to swallow tablets), the pharmacist can assess if supplying the oral suspension is appropriate.</w:t>
      </w:r>
    </w:p>
    <w:p w14:paraId="029204B7" w14:textId="77777777" w:rsidR="009C55C9" w:rsidRDefault="009C55C9" w:rsidP="009C55C9">
      <w:pPr>
        <w:pStyle w:val="NormalWeb"/>
        <w:jc w:val="both"/>
        <w:rPr>
          <w:rStyle w:val="normaltextrun"/>
          <w:rFonts w:asciiTheme="minorHAnsi" w:hAnsiTheme="minorHAnsi" w:cstheme="minorBidi"/>
          <w:color w:val="000000" w:themeColor="text1"/>
          <w:sz w:val="22"/>
          <w:szCs w:val="22"/>
        </w:rPr>
      </w:pPr>
    </w:p>
    <w:tbl>
      <w:tblPr>
        <w:tblW w:w="10460" w:type="dxa"/>
        <w:jc w:val="center"/>
        <w:tblLook w:val="04A0" w:firstRow="1" w:lastRow="0" w:firstColumn="1" w:lastColumn="0" w:noHBand="0" w:noVBand="1"/>
      </w:tblPr>
      <w:tblGrid>
        <w:gridCol w:w="1366"/>
        <w:gridCol w:w="3200"/>
        <w:gridCol w:w="3170"/>
        <w:gridCol w:w="2724"/>
      </w:tblGrid>
      <w:tr w:rsidR="009C55C9" w:rsidRPr="008C3078" w14:paraId="2F66A4AB" w14:textId="77777777" w:rsidTr="00BF374D">
        <w:trPr>
          <w:trHeight w:val="128"/>
          <w:jc w:val="center"/>
        </w:trPr>
        <w:tc>
          <w:tcPr>
            <w:tcW w:w="1366" w:type="dxa"/>
            <w:tcBorders>
              <w:top w:val="single" w:sz="4" w:space="0" w:color="auto"/>
              <w:left w:val="single" w:sz="4" w:space="0" w:color="auto"/>
              <w:bottom w:val="single" w:sz="4" w:space="0" w:color="auto"/>
              <w:right w:val="single" w:sz="4" w:space="0" w:color="auto"/>
            </w:tcBorders>
            <w:shd w:val="clear" w:color="auto" w:fill="65922E"/>
            <w:vAlign w:val="center"/>
          </w:tcPr>
          <w:p w14:paraId="36CB8BF1" w14:textId="77777777" w:rsidR="009C55C9" w:rsidRPr="008C3078" w:rsidRDefault="009C55C9" w:rsidP="00BF374D">
            <w:pPr>
              <w:jc w:val="center"/>
              <w:rPr>
                <w:rFonts w:eastAsia="Times New Roman"/>
                <w:b/>
                <w:bCs/>
                <w:color w:val="FFFFFF"/>
                <w:lang w:eastAsia="en-GB"/>
              </w:rPr>
            </w:pPr>
            <w:r>
              <w:rPr>
                <w:rFonts w:eastAsia="Times New Roman"/>
                <w:b/>
                <w:bCs/>
                <w:color w:val="FFFFFF"/>
                <w:lang w:eastAsia="en-GB"/>
              </w:rPr>
              <w:t>SSP</w:t>
            </w:r>
          </w:p>
        </w:tc>
        <w:tc>
          <w:tcPr>
            <w:tcW w:w="3200" w:type="dxa"/>
            <w:tcBorders>
              <w:top w:val="single" w:sz="4" w:space="0" w:color="auto"/>
              <w:left w:val="single" w:sz="4" w:space="0" w:color="auto"/>
              <w:bottom w:val="single" w:sz="4" w:space="0" w:color="auto"/>
              <w:right w:val="single" w:sz="4" w:space="0" w:color="auto"/>
            </w:tcBorders>
            <w:shd w:val="clear" w:color="auto" w:fill="65922E"/>
            <w:vAlign w:val="center"/>
            <w:hideMark/>
          </w:tcPr>
          <w:p w14:paraId="39C45D84" w14:textId="77777777" w:rsidR="009C55C9" w:rsidRPr="008C3078" w:rsidRDefault="009C55C9" w:rsidP="00BF374D">
            <w:pPr>
              <w:jc w:val="center"/>
              <w:rPr>
                <w:rFonts w:eastAsia="Times New Roman"/>
                <w:b/>
                <w:bCs/>
                <w:color w:val="FFFFFF"/>
                <w:lang w:eastAsia="en-GB"/>
              </w:rPr>
            </w:pPr>
            <w:r w:rsidRPr="008C3078">
              <w:rPr>
                <w:rFonts w:eastAsia="Times New Roman"/>
                <w:b/>
                <w:bCs/>
                <w:color w:val="FFFFFF"/>
                <w:lang w:eastAsia="en-GB"/>
              </w:rPr>
              <w:t>For prescriptions (NHS or private) requesting:</w:t>
            </w:r>
          </w:p>
        </w:tc>
        <w:tc>
          <w:tcPr>
            <w:tcW w:w="3170" w:type="dxa"/>
            <w:tcBorders>
              <w:top w:val="single" w:sz="4" w:space="0" w:color="auto"/>
              <w:left w:val="nil"/>
              <w:bottom w:val="single" w:sz="4" w:space="0" w:color="auto"/>
              <w:right w:val="single" w:sz="4" w:space="0" w:color="auto"/>
            </w:tcBorders>
            <w:shd w:val="clear" w:color="auto" w:fill="65922E"/>
            <w:vAlign w:val="center"/>
            <w:hideMark/>
          </w:tcPr>
          <w:p w14:paraId="3D446DF1" w14:textId="77777777" w:rsidR="009C55C9" w:rsidRPr="008C3078" w:rsidRDefault="009C55C9" w:rsidP="00BF374D">
            <w:pPr>
              <w:jc w:val="center"/>
              <w:rPr>
                <w:rFonts w:eastAsia="Times New Roman"/>
                <w:b/>
                <w:bCs/>
                <w:color w:val="FFFFFF"/>
                <w:lang w:eastAsia="en-GB"/>
              </w:rPr>
            </w:pPr>
            <w:r w:rsidRPr="1EA93732">
              <w:rPr>
                <w:rFonts w:eastAsia="Times New Roman"/>
                <w:b/>
                <w:bCs/>
                <w:color w:val="FFFFFF" w:themeColor="background1"/>
                <w:lang w:eastAsia="en-GB"/>
              </w:rPr>
              <w:t>Supply permitted under SSP:</w:t>
            </w:r>
          </w:p>
        </w:tc>
        <w:tc>
          <w:tcPr>
            <w:tcW w:w="2724" w:type="dxa"/>
            <w:tcBorders>
              <w:top w:val="single" w:sz="4" w:space="0" w:color="auto"/>
              <w:left w:val="nil"/>
              <w:bottom w:val="single" w:sz="4" w:space="0" w:color="auto"/>
              <w:right w:val="single" w:sz="4" w:space="0" w:color="auto"/>
            </w:tcBorders>
            <w:shd w:val="clear" w:color="auto" w:fill="65922E"/>
            <w:vAlign w:val="center"/>
          </w:tcPr>
          <w:p w14:paraId="053A79FD" w14:textId="77777777" w:rsidR="009C55C9" w:rsidRPr="1EA93732" w:rsidRDefault="009C55C9" w:rsidP="00BF374D">
            <w:pPr>
              <w:jc w:val="center"/>
              <w:rPr>
                <w:rFonts w:eastAsia="Times New Roman"/>
                <w:b/>
                <w:bCs/>
                <w:color w:val="FFFFFF" w:themeColor="background1"/>
                <w:lang w:eastAsia="en-GB"/>
              </w:rPr>
            </w:pPr>
            <w:r>
              <w:rPr>
                <w:rFonts w:eastAsia="Times New Roman"/>
                <w:b/>
                <w:bCs/>
                <w:color w:val="FFFFFF" w:themeColor="background1"/>
                <w:lang w:eastAsia="en-GB"/>
              </w:rPr>
              <w:t>SSP expiry date</w:t>
            </w:r>
          </w:p>
        </w:tc>
      </w:tr>
      <w:tr w:rsidR="009C55C9" w:rsidRPr="00CF2D8C" w14:paraId="3693F3D4" w14:textId="77777777" w:rsidTr="00BF374D">
        <w:trPr>
          <w:trHeight w:val="128"/>
          <w:jc w:val="center"/>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0FC81216" w14:textId="77777777" w:rsidR="009C55C9" w:rsidRPr="00CF2D8C" w:rsidRDefault="009C55C9" w:rsidP="00BF374D">
            <w:pPr>
              <w:jc w:val="center"/>
              <w:rPr>
                <w:rFonts w:eastAsia="Times New Roman"/>
                <w:color w:val="000000" w:themeColor="text1"/>
                <w:lang w:eastAsia="en-GB"/>
              </w:rPr>
            </w:pPr>
            <w:r w:rsidRPr="00CF2D8C">
              <w:rPr>
                <w:rFonts w:eastAsia="Times New Roman"/>
                <w:color w:val="000000" w:themeColor="text1"/>
                <w:lang w:eastAsia="en-GB"/>
              </w:rPr>
              <w:t>SSP005</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14:paraId="096A80EE" w14:textId="77777777" w:rsidR="009C55C9" w:rsidRPr="00CF2D8C" w:rsidRDefault="009C55C9" w:rsidP="00BF374D">
            <w:pPr>
              <w:jc w:val="center"/>
              <w:rPr>
                <w:rFonts w:eastAsia="Times New Roman"/>
                <w:color w:val="000000" w:themeColor="text1"/>
                <w:lang w:eastAsia="en-GB"/>
              </w:rPr>
            </w:pPr>
            <w:r w:rsidRPr="00CF2D8C">
              <w:rPr>
                <w:rFonts w:eastAsia="Times New Roman"/>
                <w:color w:val="000000" w:themeColor="text1"/>
                <w:lang w:eastAsia="en-GB"/>
              </w:rPr>
              <w:t>Fluoxetine 10mg tablet</w:t>
            </w:r>
            <w:r>
              <w:rPr>
                <w:rFonts w:eastAsia="Times New Roman"/>
                <w:color w:val="000000" w:themeColor="text1"/>
                <w:lang w:eastAsia="en-GB"/>
              </w:rPr>
              <w:t>s</w:t>
            </w:r>
          </w:p>
        </w:tc>
        <w:tc>
          <w:tcPr>
            <w:tcW w:w="3170" w:type="dxa"/>
            <w:tcBorders>
              <w:top w:val="single" w:sz="4" w:space="0" w:color="auto"/>
              <w:left w:val="nil"/>
              <w:bottom w:val="single" w:sz="4" w:space="0" w:color="auto"/>
              <w:right w:val="single" w:sz="4" w:space="0" w:color="auto"/>
            </w:tcBorders>
            <w:shd w:val="clear" w:color="auto" w:fill="auto"/>
            <w:vAlign w:val="center"/>
          </w:tcPr>
          <w:p w14:paraId="55E0E102" w14:textId="77777777" w:rsidR="009C55C9" w:rsidRPr="00CF2D8C" w:rsidRDefault="009C55C9" w:rsidP="00BF374D">
            <w:pPr>
              <w:jc w:val="center"/>
              <w:rPr>
                <w:rFonts w:eastAsia="Times New Roman"/>
                <w:color w:val="000000" w:themeColor="text1"/>
                <w:lang w:eastAsia="en-GB"/>
              </w:rPr>
            </w:pPr>
            <w:r w:rsidRPr="00CF2D8C">
              <w:rPr>
                <w:rFonts w:eastAsia="Times New Roman"/>
                <w:color w:val="000000" w:themeColor="text1"/>
                <w:lang w:eastAsia="en-GB"/>
              </w:rPr>
              <w:t>Fluoxetine 10mg capsule</w:t>
            </w:r>
            <w:r>
              <w:rPr>
                <w:rFonts w:eastAsia="Times New Roman"/>
                <w:color w:val="000000" w:themeColor="text1"/>
                <w:lang w:eastAsia="en-GB"/>
              </w:rPr>
              <w:t>s</w:t>
            </w:r>
          </w:p>
        </w:tc>
        <w:tc>
          <w:tcPr>
            <w:tcW w:w="2724" w:type="dxa"/>
            <w:tcBorders>
              <w:top w:val="single" w:sz="4" w:space="0" w:color="auto"/>
              <w:left w:val="nil"/>
              <w:bottom w:val="single" w:sz="4" w:space="0" w:color="auto"/>
              <w:right w:val="single" w:sz="4" w:space="0" w:color="auto"/>
            </w:tcBorders>
            <w:shd w:val="clear" w:color="auto" w:fill="auto"/>
            <w:vAlign w:val="center"/>
          </w:tcPr>
          <w:p w14:paraId="2F24EC8F" w14:textId="77777777" w:rsidR="009C55C9" w:rsidRPr="00CF2D8C" w:rsidRDefault="009C55C9" w:rsidP="00BF374D">
            <w:pPr>
              <w:jc w:val="center"/>
              <w:rPr>
                <w:rFonts w:eastAsia="Times New Roman"/>
                <w:color w:val="000000" w:themeColor="text1"/>
                <w:lang w:eastAsia="en-GB"/>
              </w:rPr>
            </w:pPr>
            <w:r>
              <w:rPr>
                <w:rFonts w:eastAsia="Times New Roman"/>
                <w:color w:val="000000" w:themeColor="text1"/>
                <w:lang w:eastAsia="en-GB"/>
              </w:rPr>
              <w:t>7 December 2022</w:t>
            </w:r>
          </w:p>
        </w:tc>
      </w:tr>
      <w:tr w:rsidR="009C55C9" w:rsidRPr="00CF2D8C" w14:paraId="4F81428F" w14:textId="77777777" w:rsidTr="00BF374D">
        <w:trPr>
          <w:trHeight w:val="558"/>
          <w:jc w:val="center"/>
        </w:trPr>
        <w:tc>
          <w:tcPr>
            <w:tcW w:w="1366" w:type="dxa"/>
            <w:tcBorders>
              <w:top w:val="nil"/>
              <w:left w:val="single" w:sz="4" w:space="0" w:color="auto"/>
              <w:bottom w:val="single" w:sz="4" w:space="0" w:color="auto"/>
              <w:right w:val="single" w:sz="4" w:space="0" w:color="auto"/>
            </w:tcBorders>
            <w:vAlign w:val="center"/>
          </w:tcPr>
          <w:p w14:paraId="64FDE999" w14:textId="77777777" w:rsidR="009C55C9" w:rsidRPr="00CF2D8C" w:rsidRDefault="009C55C9" w:rsidP="00BF374D">
            <w:pPr>
              <w:jc w:val="center"/>
              <w:rPr>
                <w:rFonts w:eastAsia="Times New Roman"/>
                <w:color w:val="000000" w:themeColor="text1"/>
                <w:lang w:eastAsia="en-GB"/>
              </w:rPr>
            </w:pPr>
            <w:r w:rsidRPr="00CF2D8C">
              <w:rPr>
                <w:rFonts w:eastAsia="Times New Roman"/>
                <w:color w:val="000000" w:themeColor="text1"/>
                <w:lang w:eastAsia="en-GB"/>
              </w:rPr>
              <w:t>SSP032</w:t>
            </w:r>
          </w:p>
        </w:tc>
        <w:tc>
          <w:tcPr>
            <w:tcW w:w="3200" w:type="dxa"/>
            <w:tcBorders>
              <w:top w:val="nil"/>
              <w:left w:val="single" w:sz="4" w:space="0" w:color="auto"/>
              <w:bottom w:val="single" w:sz="4" w:space="0" w:color="auto"/>
              <w:right w:val="single" w:sz="4" w:space="0" w:color="auto"/>
            </w:tcBorders>
            <w:shd w:val="clear" w:color="auto" w:fill="auto"/>
            <w:vAlign w:val="center"/>
            <w:hideMark/>
          </w:tcPr>
          <w:p w14:paraId="7BF78DC3" w14:textId="77777777" w:rsidR="009C55C9" w:rsidRPr="00CF2D8C" w:rsidRDefault="009C55C9" w:rsidP="00BF374D">
            <w:pPr>
              <w:jc w:val="center"/>
              <w:rPr>
                <w:rFonts w:eastAsia="Times New Roman"/>
                <w:color w:val="000000" w:themeColor="text1"/>
                <w:lang w:eastAsia="en-GB"/>
              </w:rPr>
            </w:pPr>
            <w:r w:rsidRPr="00CF2D8C">
              <w:rPr>
                <w:rFonts w:eastAsia="Times New Roman"/>
                <w:color w:val="000000" w:themeColor="text1"/>
                <w:lang w:eastAsia="en-GB"/>
              </w:rPr>
              <w:t>Lipitor</w:t>
            </w:r>
            <w:r w:rsidRPr="00CF2D8C">
              <w:rPr>
                <w:rFonts w:eastAsia="Times New Roman"/>
                <w:color w:val="000000" w:themeColor="text1"/>
                <w:vertAlign w:val="superscript"/>
                <w:lang w:eastAsia="en-GB"/>
              </w:rPr>
              <w:t>®</w:t>
            </w:r>
            <w:r w:rsidRPr="00CF2D8C">
              <w:rPr>
                <w:rFonts w:eastAsia="Times New Roman"/>
                <w:color w:val="000000" w:themeColor="text1"/>
                <w:lang w:eastAsia="en-GB"/>
              </w:rPr>
              <w:t> 10mg chewable tablets</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14:paraId="6306635B" w14:textId="77777777" w:rsidR="009C55C9" w:rsidRPr="00CF2D8C" w:rsidRDefault="009C55C9" w:rsidP="00BF374D">
            <w:pPr>
              <w:jc w:val="center"/>
              <w:rPr>
                <w:rFonts w:eastAsia="Times New Roman"/>
                <w:color w:val="000000" w:themeColor="text1"/>
                <w:lang w:eastAsia="en-GB"/>
              </w:rPr>
            </w:pPr>
            <w:r w:rsidRPr="00CF2D8C">
              <w:rPr>
                <w:rFonts w:eastAsia="Times New Roman"/>
                <w:color w:val="000000" w:themeColor="text1"/>
                <w:lang w:eastAsia="en-GB"/>
              </w:rPr>
              <w:t>Atorvastatin 10mg tablets</w:t>
            </w:r>
          </w:p>
          <w:p w14:paraId="071E7B18" w14:textId="77777777" w:rsidR="009C55C9" w:rsidRPr="00CF2D8C" w:rsidRDefault="009C55C9" w:rsidP="00BF374D">
            <w:pPr>
              <w:jc w:val="center"/>
              <w:rPr>
                <w:rFonts w:eastAsia="Times New Roman"/>
                <w:b/>
                <w:bCs/>
                <w:color w:val="000000" w:themeColor="text1"/>
                <w:lang w:eastAsia="en-GB"/>
              </w:rPr>
            </w:pPr>
            <w:r w:rsidRPr="00CF2D8C">
              <w:rPr>
                <w:rFonts w:eastAsia="Times New Roman"/>
                <w:b/>
                <w:bCs/>
                <w:color w:val="000000" w:themeColor="text1"/>
                <w:lang w:eastAsia="en-GB"/>
              </w:rPr>
              <w:t>OR</w:t>
            </w:r>
          </w:p>
          <w:p w14:paraId="376503D0" w14:textId="77777777" w:rsidR="009C55C9" w:rsidRPr="00CF2D8C" w:rsidRDefault="009C55C9" w:rsidP="00BF374D">
            <w:pPr>
              <w:jc w:val="center"/>
              <w:rPr>
                <w:rFonts w:eastAsia="Times New Roman"/>
                <w:color w:val="000000" w:themeColor="text1"/>
                <w:lang w:eastAsia="en-GB"/>
              </w:rPr>
            </w:pPr>
            <w:r w:rsidRPr="00CF2D8C">
              <w:rPr>
                <w:rFonts w:eastAsia="Times New Roman"/>
                <w:color w:val="000000" w:themeColor="text1"/>
                <w:lang w:eastAsia="en-GB"/>
              </w:rPr>
              <w:t>Atorvastatin 20mg/5ml oral suspension sugar free</w:t>
            </w:r>
          </w:p>
        </w:tc>
        <w:tc>
          <w:tcPr>
            <w:tcW w:w="2724" w:type="dxa"/>
            <w:tcBorders>
              <w:top w:val="single" w:sz="4" w:space="0" w:color="auto"/>
              <w:left w:val="nil"/>
              <w:bottom w:val="single" w:sz="4" w:space="0" w:color="auto"/>
              <w:right w:val="single" w:sz="4" w:space="0" w:color="auto"/>
            </w:tcBorders>
            <w:vAlign w:val="center"/>
          </w:tcPr>
          <w:p w14:paraId="39500FF7" w14:textId="77777777" w:rsidR="009C55C9" w:rsidRPr="00CF2D8C" w:rsidRDefault="009C55C9" w:rsidP="00BF374D">
            <w:pPr>
              <w:jc w:val="center"/>
              <w:rPr>
                <w:rFonts w:eastAsia="Times New Roman"/>
                <w:color w:val="000000" w:themeColor="text1"/>
                <w:lang w:eastAsia="en-GB"/>
              </w:rPr>
            </w:pPr>
            <w:r>
              <w:rPr>
                <w:rFonts w:eastAsia="Times New Roman"/>
                <w:color w:val="000000" w:themeColor="text1"/>
                <w:lang w:eastAsia="en-GB"/>
              </w:rPr>
              <w:t>9</w:t>
            </w:r>
            <w:r w:rsidRPr="772CD7E5">
              <w:rPr>
                <w:rFonts w:eastAsia="Times New Roman"/>
                <w:color w:val="000000" w:themeColor="text1"/>
                <w:lang w:eastAsia="en-GB"/>
              </w:rPr>
              <w:t xml:space="preserve"> September 2022</w:t>
            </w:r>
          </w:p>
        </w:tc>
      </w:tr>
    </w:tbl>
    <w:p w14:paraId="2CE33AE5" w14:textId="77777777" w:rsidR="009C55C9" w:rsidRDefault="009C55C9" w:rsidP="009C55C9">
      <w:pPr>
        <w:pStyle w:val="NormalWeb"/>
        <w:jc w:val="both"/>
      </w:pPr>
    </w:p>
    <w:p w14:paraId="24573FF4" w14:textId="77777777" w:rsidR="009C55C9" w:rsidRDefault="009C55C9" w:rsidP="009C55C9">
      <w:pPr>
        <w:pStyle w:val="NormalWeb"/>
        <w:jc w:val="both"/>
        <w:rPr>
          <w:rFonts w:asciiTheme="minorHAnsi" w:hAnsiTheme="minorHAnsi" w:cstheme="minorBidi"/>
          <w:color w:val="000000" w:themeColor="text1"/>
          <w:sz w:val="22"/>
          <w:szCs w:val="22"/>
        </w:rPr>
      </w:pPr>
      <w:r w:rsidRPr="469BFCBA">
        <w:rPr>
          <w:rFonts w:asciiTheme="minorHAnsi" w:hAnsiTheme="minorHAnsi" w:cstheme="minorBidi"/>
          <w:color w:val="000000" w:themeColor="text1"/>
          <w:sz w:val="22"/>
          <w:szCs w:val="22"/>
        </w:rPr>
        <w:t xml:space="preserve">Pharmacists must exercise their professional judgement to ensure the alternative products are suitable for the patient.  </w:t>
      </w:r>
    </w:p>
    <w:p w14:paraId="423D4889" w14:textId="77777777" w:rsidR="009C55C9" w:rsidRDefault="009C55C9" w:rsidP="009C55C9">
      <w:pPr>
        <w:pStyle w:val="NormalWeb"/>
        <w:jc w:val="both"/>
        <w:rPr>
          <w:color w:val="000000" w:themeColor="text1"/>
        </w:rPr>
      </w:pPr>
    </w:p>
    <w:p w14:paraId="441481E4" w14:textId="77777777" w:rsidR="009C55C9" w:rsidRDefault="009C55C9" w:rsidP="009C55C9">
      <w:pPr>
        <w:pStyle w:val="NormalWeb"/>
        <w:jc w:val="both"/>
        <w:rPr>
          <w:rFonts w:asciiTheme="minorHAnsi" w:hAnsiTheme="minorHAnsi" w:cstheme="minorBidi"/>
          <w:color w:val="000000" w:themeColor="text1"/>
          <w:sz w:val="22"/>
          <w:szCs w:val="22"/>
        </w:rPr>
      </w:pPr>
      <w:r w:rsidRPr="469BFCBA">
        <w:rPr>
          <w:rFonts w:asciiTheme="minorHAnsi" w:hAnsiTheme="minorHAnsi" w:cstheme="minorBidi"/>
          <w:color w:val="000000" w:themeColor="text1"/>
          <w:sz w:val="22"/>
          <w:szCs w:val="22"/>
        </w:rPr>
        <w:t>SSP005 and SSP032 may be amended or revoked at any time – PSNC will update contractors on any changes.</w:t>
      </w:r>
    </w:p>
    <w:p w14:paraId="61C7E4AA" w14:textId="77777777" w:rsidR="009C55C9" w:rsidRPr="0056413F" w:rsidRDefault="009C55C9" w:rsidP="009C55C9">
      <w:pPr>
        <w:pStyle w:val="NormalWeb"/>
        <w:jc w:val="both"/>
        <w:rPr>
          <w:rFonts w:asciiTheme="minorHAnsi" w:hAnsiTheme="minorHAnsi" w:cstheme="minorHAnsi"/>
          <w:color w:val="000000" w:themeColor="text1"/>
          <w:sz w:val="22"/>
          <w:szCs w:val="22"/>
        </w:rPr>
      </w:pPr>
    </w:p>
    <w:p w14:paraId="4C9C299F" w14:textId="77777777" w:rsidR="009C55C9" w:rsidRPr="0056413F" w:rsidRDefault="009C55C9" w:rsidP="009C55C9">
      <w:pPr>
        <w:pStyle w:val="NormalWeb"/>
        <w:jc w:val="both"/>
        <w:rPr>
          <w:rFonts w:asciiTheme="minorHAnsi" w:hAnsiTheme="minorHAnsi" w:cstheme="minorHAnsi"/>
          <w:color w:val="000000" w:themeColor="text1"/>
          <w:sz w:val="22"/>
          <w:szCs w:val="22"/>
        </w:rPr>
      </w:pPr>
      <w:r w:rsidRPr="0056413F">
        <w:rPr>
          <w:rFonts w:asciiTheme="minorHAnsi" w:hAnsiTheme="minorHAnsi" w:cstheme="minorHAnsi"/>
          <w:color w:val="000000" w:themeColor="text1"/>
          <w:sz w:val="22"/>
          <w:szCs w:val="22"/>
        </w:rPr>
        <w:t>Current versions of SSPs can be found at:</w:t>
      </w:r>
      <w:r w:rsidRPr="0056413F">
        <w:rPr>
          <w:rFonts w:asciiTheme="minorHAnsi" w:hAnsiTheme="minorHAnsi" w:cstheme="minorHAnsi" w:hint="eastAsia"/>
          <w:color w:val="000000" w:themeColor="text1"/>
          <w:sz w:val="22"/>
          <w:szCs w:val="22"/>
        </w:rPr>
        <w:t> </w:t>
      </w:r>
      <w:hyperlink r:id="rId34" w:tgtFrame="_blank" w:history="1">
        <w:r w:rsidRPr="0056413F">
          <w:rPr>
            <w:rStyle w:val="Hyperlink"/>
            <w:rFonts w:asciiTheme="minorHAnsi" w:hAnsiTheme="minorHAnsi" w:cstheme="minorHAnsi"/>
            <w:b/>
            <w:bCs/>
            <w:color w:val="000000" w:themeColor="text1"/>
            <w:sz w:val="22"/>
            <w:szCs w:val="22"/>
          </w:rPr>
          <w:t>www.nhsbsa.nhs.uk/pharmacies-gp-practices-andappliance-contractors/serious-shortage-protocols-ssps</w:t>
        </w:r>
      </w:hyperlink>
    </w:p>
    <w:p w14:paraId="1DF586C4" w14:textId="77777777" w:rsidR="009C55C9" w:rsidRPr="0056413F" w:rsidRDefault="009C55C9" w:rsidP="009C55C9">
      <w:pPr>
        <w:pStyle w:val="NormalWeb"/>
        <w:widowControl/>
        <w:jc w:val="both"/>
        <w:rPr>
          <w:rFonts w:asciiTheme="minorHAnsi" w:eastAsiaTheme="minorHAnsi" w:hAnsiTheme="minorHAnsi" w:cstheme="minorHAnsi"/>
          <w:color w:val="2F5496" w:themeColor="accent1" w:themeShade="BF"/>
          <w:sz w:val="22"/>
          <w:szCs w:val="22"/>
          <w:lang w:bidi="ar-SA"/>
        </w:rPr>
      </w:pPr>
    </w:p>
    <w:p w14:paraId="6F3FC40C" w14:textId="77777777" w:rsidR="009C55C9" w:rsidRPr="001571D9" w:rsidRDefault="009C55C9" w:rsidP="009C55C9">
      <w:pPr>
        <w:pStyle w:val="NormalWeb"/>
        <w:widowControl/>
        <w:jc w:val="both"/>
        <w:rPr>
          <w:rFonts w:ascii="Calibri Light" w:eastAsiaTheme="minorEastAsia" w:hAnsi="Calibri Light" w:cs="Calibri Light"/>
          <w:color w:val="2F5496" w:themeColor="accent1" w:themeShade="BF"/>
          <w:sz w:val="22"/>
          <w:szCs w:val="22"/>
          <w:lang w:bidi="ar-SA"/>
        </w:rPr>
      </w:pPr>
    </w:p>
    <w:p w14:paraId="7C50FF0F" w14:textId="77777777" w:rsidR="009C55C9" w:rsidRPr="007207C2" w:rsidRDefault="009C55C9" w:rsidP="009C55C9">
      <w:pPr>
        <w:pStyle w:val="NoSpacing"/>
        <w:jc w:val="both"/>
        <w:rPr>
          <w:rFonts w:ascii="Calibri Light" w:hAnsi="Calibri Light" w:cs="Calibri Light"/>
          <w:color w:val="2F5496" w:themeColor="accent1" w:themeShade="BF"/>
          <w:sz w:val="32"/>
          <w:szCs w:val="32"/>
        </w:rPr>
      </w:pPr>
      <w:r w:rsidRPr="007207C2">
        <w:rPr>
          <w:rFonts w:ascii="Calibri Light" w:hAnsi="Calibri Light" w:cs="Calibri Light"/>
          <w:color w:val="2F5496" w:themeColor="accent1" w:themeShade="BF"/>
          <w:sz w:val="32"/>
          <w:szCs w:val="32"/>
        </w:rPr>
        <w:t>SSP information</w:t>
      </w:r>
    </w:p>
    <w:p w14:paraId="4A55E8A5" w14:textId="77777777" w:rsidR="009C55C9" w:rsidRDefault="009C55C9" w:rsidP="009C55C9">
      <w:pPr>
        <w:rPr>
          <w:b/>
          <w:bCs/>
          <w:u w:val="single"/>
        </w:rPr>
      </w:pPr>
    </w:p>
    <w:p w14:paraId="5CCAE811" w14:textId="77777777" w:rsidR="009C55C9" w:rsidRDefault="009C55C9" w:rsidP="009C55C9">
      <w:pPr>
        <w:rPr>
          <w:b/>
          <w:bCs/>
          <w:u w:val="single"/>
        </w:rPr>
      </w:pPr>
      <w:r w:rsidRPr="793EF85A">
        <w:rPr>
          <w:b/>
          <w:bCs/>
          <w:u w:val="single"/>
        </w:rPr>
        <w:t>Active SSPs</w:t>
      </w:r>
    </w:p>
    <w:p w14:paraId="6F35C41E" w14:textId="77777777" w:rsidR="009C55C9" w:rsidRDefault="009C55C9" w:rsidP="009C55C9">
      <w:pPr>
        <w:rPr>
          <w:b/>
          <w:bCs/>
          <w:u w:val="single"/>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54"/>
        <w:gridCol w:w="1920"/>
      </w:tblGrid>
      <w:tr w:rsidR="009C55C9" w:rsidRPr="00DC69FC" w14:paraId="384C7394" w14:textId="77777777" w:rsidTr="00BF374D">
        <w:trPr>
          <w:trHeight w:val="300"/>
          <w:tblHeader/>
        </w:trPr>
        <w:tc>
          <w:tcPr>
            <w:tcW w:w="6941" w:type="dxa"/>
            <w:shd w:val="clear" w:color="auto" w:fill="65922E"/>
            <w:noWrap/>
            <w:vAlign w:val="center"/>
            <w:hideMark/>
          </w:tcPr>
          <w:p w14:paraId="7CB19AF8" w14:textId="77777777" w:rsidR="009C55C9" w:rsidRPr="00DC69FC" w:rsidRDefault="009C55C9" w:rsidP="00BF374D">
            <w:pPr>
              <w:rPr>
                <w:rFonts w:eastAsia="Times New Roman"/>
                <w:b/>
                <w:bCs/>
                <w:color w:val="FFFFFF"/>
                <w:lang w:eastAsia="en-GB"/>
              </w:rPr>
            </w:pPr>
            <w:r w:rsidRPr="00DC69FC">
              <w:rPr>
                <w:rFonts w:eastAsia="Times New Roman"/>
                <w:b/>
                <w:bCs/>
                <w:color w:val="FFFFFF"/>
                <w:lang w:eastAsia="en-GB"/>
              </w:rPr>
              <w:t>SSP</w:t>
            </w:r>
          </w:p>
        </w:tc>
        <w:tc>
          <w:tcPr>
            <w:tcW w:w="2054" w:type="dxa"/>
            <w:shd w:val="clear" w:color="auto" w:fill="65922E"/>
            <w:noWrap/>
            <w:vAlign w:val="center"/>
            <w:hideMark/>
          </w:tcPr>
          <w:p w14:paraId="449327D6" w14:textId="77777777" w:rsidR="009C55C9" w:rsidRPr="00DC69FC" w:rsidRDefault="009C55C9" w:rsidP="00BF374D">
            <w:pPr>
              <w:rPr>
                <w:rFonts w:eastAsia="Times New Roman"/>
                <w:b/>
                <w:bCs/>
                <w:color w:val="FFFFFF"/>
                <w:lang w:eastAsia="en-GB"/>
              </w:rPr>
            </w:pPr>
            <w:r w:rsidRPr="772CD7E5">
              <w:rPr>
                <w:rFonts w:eastAsia="Times New Roman"/>
                <w:b/>
                <w:bCs/>
                <w:color w:val="FFFFFF" w:themeColor="background1"/>
                <w:lang w:eastAsia="en-GB"/>
              </w:rPr>
              <w:t>Expiry Date</w:t>
            </w:r>
          </w:p>
        </w:tc>
        <w:tc>
          <w:tcPr>
            <w:tcW w:w="1920" w:type="dxa"/>
            <w:shd w:val="clear" w:color="auto" w:fill="65922E"/>
            <w:noWrap/>
            <w:vAlign w:val="center"/>
            <w:hideMark/>
          </w:tcPr>
          <w:p w14:paraId="5C6C0D70" w14:textId="77777777" w:rsidR="009C55C9" w:rsidRPr="00DC69FC" w:rsidRDefault="009C55C9" w:rsidP="00BF374D">
            <w:pPr>
              <w:rPr>
                <w:rFonts w:eastAsia="Times New Roman"/>
                <w:b/>
                <w:bCs/>
                <w:color w:val="FFFFFF"/>
                <w:lang w:eastAsia="en-GB"/>
              </w:rPr>
            </w:pPr>
            <w:r w:rsidRPr="00DC69FC">
              <w:rPr>
                <w:rFonts w:eastAsia="Times New Roman"/>
                <w:b/>
                <w:bCs/>
                <w:color w:val="FFFFFF"/>
                <w:lang w:eastAsia="en-GB"/>
              </w:rPr>
              <w:t>Supporting Information</w:t>
            </w:r>
          </w:p>
        </w:tc>
      </w:tr>
      <w:tr w:rsidR="009C55C9" w:rsidRPr="00DC69FC" w14:paraId="7B8C665B" w14:textId="77777777" w:rsidTr="00BF374D">
        <w:trPr>
          <w:trHeight w:val="300"/>
        </w:trPr>
        <w:tc>
          <w:tcPr>
            <w:tcW w:w="6941" w:type="dxa"/>
            <w:shd w:val="clear" w:color="auto" w:fill="auto"/>
            <w:noWrap/>
            <w:vAlign w:val="center"/>
            <w:hideMark/>
          </w:tcPr>
          <w:p w14:paraId="67FAD233" w14:textId="77777777" w:rsidR="009C55C9" w:rsidRPr="00DC69FC" w:rsidRDefault="00000000" w:rsidP="00BF374D">
            <w:pPr>
              <w:rPr>
                <w:rFonts w:eastAsia="Times New Roman"/>
                <w:color w:val="0563C1"/>
                <w:u w:val="single"/>
                <w:lang w:eastAsia="en-GB"/>
              </w:rPr>
            </w:pPr>
            <w:hyperlink r:id="rId35" w:history="1">
              <w:r w:rsidR="009C55C9" w:rsidRPr="00DC69FC">
                <w:rPr>
                  <w:rFonts w:eastAsia="Times New Roman"/>
                  <w:color w:val="0563C1"/>
                  <w:u w:val="single"/>
                  <w:lang w:eastAsia="en-GB"/>
                </w:rPr>
                <w:t>SSP005: Fluoxetine 10mg tablets</w:t>
              </w:r>
            </w:hyperlink>
          </w:p>
        </w:tc>
        <w:tc>
          <w:tcPr>
            <w:tcW w:w="2054" w:type="dxa"/>
            <w:shd w:val="clear" w:color="auto" w:fill="auto"/>
            <w:noWrap/>
            <w:vAlign w:val="center"/>
            <w:hideMark/>
          </w:tcPr>
          <w:p w14:paraId="1C5EDBC6" w14:textId="77777777" w:rsidR="009C55C9" w:rsidRPr="00DC69FC" w:rsidRDefault="009C55C9" w:rsidP="00BF374D">
            <w:pPr>
              <w:rPr>
                <w:rFonts w:eastAsia="Times New Roman"/>
                <w:lang w:eastAsia="en-GB"/>
              </w:rPr>
            </w:pPr>
            <w:r w:rsidRPr="469BFCBA">
              <w:rPr>
                <w:rFonts w:eastAsia="Times New Roman"/>
                <w:lang w:eastAsia="en-GB"/>
              </w:rPr>
              <w:t>7 December 2022</w:t>
            </w:r>
          </w:p>
        </w:tc>
        <w:tc>
          <w:tcPr>
            <w:tcW w:w="1920" w:type="dxa"/>
            <w:shd w:val="clear" w:color="auto" w:fill="auto"/>
            <w:noWrap/>
            <w:vAlign w:val="center"/>
            <w:hideMark/>
          </w:tcPr>
          <w:p w14:paraId="7E220E52" w14:textId="77777777" w:rsidR="009C55C9" w:rsidRPr="00DC69FC" w:rsidRDefault="00000000" w:rsidP="00BF374D">
            <w:pPr>
              <w:rPr>
                <w:rFonts w:eastAsia="Times New Roman"/>
                <w:color w:val="0563C1"/>
                <w:u w:val="single"/>
                <w:lang w:eastAsia="en-GB"/>
              </w:rPr>
            </w:pPr>
            <w:hyperlink r:id="rId36">
              <w:r w:rsidR="009C55C9" w:rsidRPr="1EA93732">
                <w:rPr>
                  <w:rFonts w:eastAsia="Times New Roman"/>
                  <w:color w:val="0563C1"/>
                  <w:u w:val="single"/>
                  <w:lang w:eastAsia="en-GB"/>
                </w:rPr>
                <w:t>SSP005 guide</w:t>
              </w:r>
            </w:hyperlink>
          </w:p>
        </w:tc>
      </w:tr>
      <w:tr w:rsidR="009C55C9" w:rsidRPr="00DC69FC" w14:paraId="68FBCB51" w14:textId="77777777" w:rsidTr="00BF374D">
        <w:trPr>
          <w:trHeight w:val="300"/>
        </w:trPr>
        <w:tc>
          <w:tcPr>
            <w:tcW w:w="6941" w:type="dxa"/>
            <w:shd w:val="clear" w:color="auto" w:fill="auto"/>
            <w:noWrap/>
            <w:vAlign w:val="center"/>
            <w:hideMark/>
          </w:tcPr>
          <w:p w14:paraId="543FB9F4" w14:textId="77777777" w:rsidR="009C55C9" w:rsidRPr="00DC69FC" w:rsidRDefault="009C55C9" w:rsidP="00BF374D">
            <w:pPr>
              <w:rPr>
                <w:rFonts w:eastAsia="Times New Roman"/>
                <w:color w:val="55318C"/>
                <w:u w:val="single"/>
                <w:lang w:eastAsia="en-GB"/>
              </w:rPr>
            </w:pPr>
            <w:r w:rsidRPr="00DC69FC">
              <w:rPr>
                <w:rFonts w:eastAsia="Times New Roman"/>
                <w:color w:val="55318C"/>
                <w:u w:val="single"/>
                <w:lang w:eastAsia="en-GB"/>
              </w:rPr>
              <w:t xml:space="preserve">SSP019 </w:t>
            </w:r>
            <w:proofErr w:type="spellStart"/>
            <w:r w:rsidRPr="00DC69FC">
              <w:rPr>
                <w:rFonts w:eastAsia="Times New Roman"/>
                <w:color w:val="55318C"/>
                <w:u w:val="single"/>
                <w:lang w:eastAsia="en-GB"/>
              </w:rPr>
              <w:t>Oestrogel</w:t>
            </w:r>
            <w:proofErr w:type="spellEnd"/>
            <w:r w:rsidRPr="00DC69FC">
              <w:rPr>
                <w:rFonts w:eastAsia="Times New Roman"/>
                <w:color w:val="55318C"/>
                <w:u w:val="single"/>
                <w:lang w:eastAsia="en-GB"/>
              </w:rPr>
              <w:t>® Pump-Pack 0.06% gel – restriction</w:t>
            </w:r>
          </w:p>
        </w:tc>
        <w:tc>
          <w:tcPr>
            <w:tcW w:w="2054" w:type="dxa"/>
            <w:shd w:val="clear" w:color="auto" w:fill="auto"/>
            <w:noWrap/>
            <w:vAlign w:val="center"/>
            <w:hideMark/>
          </w:tcPr>
          <w:p w14:paraId="2BCD9A16"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099D0CAC" w14:textId="77777777" w:rsidR="009C55C9" w:rsidRPr="00DC69FC" w:rsidRDefault="00000000" w:rsidP="00BF374D">
            <w:pPr>
              <w:rPr>
                <w:rFonts w:eastAsia="Times New Roman"/>
                <w:color w:val="0563C1"/>
                <w:u w:val="single"/>
                <w:lang w:eastAsia="en-GB"/>
              </w:rPr>
            </w:pPr>
            <w:hyperlink r:id="rId37" w:history="1">
              <w:r w:rsidR="009C55C9" w:rsidRPr="1EA93732">
                <w:rPr>
                  <w:rFonts w:eastAsia="Times New Roman"/>
                  <w:color w:val="0563C1"/>
                  <w:u w:val="single"/>
                  <w:lang w:eastAsia="en-GB"/>
                </w:rPr>
                <w:t>SSP019 guide</w:t>
              </w:r>
            </w:hyperlink>
          </w:p>
        </w:tc>
      </w:tr>
      <w:tr w:rsidR="009C55C9" w:rsidRPr="00DC69FC" w14:paraId="458C8049" w14:textId="77777777" w:rsidTr="00BF374D">
        <w:trPr>
          <w:trHeight w:val="300"/>
        </w:trPr>
        <w:tc>
          <w:tcPr>
            <w:tcW w:w="6941" w:type="dxa"/>
            <w:shd w:val="clear" w:color="auto" w:fill="auto"/>
            <w:noWrap/>
            <w:vAlign w:val="center"/>
            <w:hideMark/>
          </w:tcPr>
          <w:p w14:paraId="1EB3E268" w14:textId="77777777" w:rsidR="009C55C9" w:rsidRPr="00DC69FC" w:rsidRDefault="009C55C9" w:rsidP="00BF374D">
            <w:pPr>
              <w:rPr>
                <w:rFonts w:eastAsia="Times New Roman"/>
                <w:color w:val="55318C"/>
                <w:u w:val="single"/>
                <w:lang w:eastAsia="en-GB"/>
              </w:rPr>
            </w:pPr>
            <w:r w:rsidRPr="00DC69FC">
              <w:rPr>
                <w:rFonts w:eastAsia="Times New Roman"/>
                <w:color w:val="55318C"/>
                <w:u w:val="single"/>
                <w:lang w:eastAsia="en-GB"/>
              </w:rPr>
              <w:t xml:space="preserve">SSP020 </w:t>
            </w:r>
            <w:proofErr w:type="spellStart"/>
            <w:r w:rsidRPr="00DC69FC">
              <w:rPr>
                <w:rFonts w:eastAsia="Times New Roman"/>
                <w:color w:val="55318C"/>
                <w:u w:val="single"/>
                <w:lang w:eastAsia="en-GB"/>
              </w:rPr>
              <w:t>Ovestin</w:t>
            </w:r>
            <w:proofErr w:type="spellEnd"/>
            <w:r w:rsidRPr="00DC69FC">
              <w:rPr>
                <w:rFonts w:eastAsia="Times New Roman"/>
                <w:color w:val="55318C"/>
                <w:u w:val="single"/>
                <w:lang w:eastAsia="en-GB"/>
              </w:rPr>
              <w:t>® 1mg cream – restriction</w:t>
            </w:r>
          </w:p>
        </w:tc>
        <w:tc>
          <w:tcPr>
            <w:tcW w:w="2054" w:type="dxa"/>
            <w:shd w:val="clear" w:color="auto" w:fill="auto"/>
            <w:noWrap/>
            <w:hideMark/>
          </w:tcPr>
          <w:p w14:paraId="76016C8C"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2FAE1C9D" w14:textId="77777777" w:rsidR="009C55C9" w:rsidRPr="00DC69FC" w:rsidRDefault="00000000" w:rsidP="00BF374D">
            <w:pPr>
              <w:rPr>
                <w:rFonts w:eastAsia="Times New Roman"/>
                <w:color w:val="0563C1"/>
                <w:u w:val="single"/>
                <w:lang w:eastAsia="en-GB"/>
              </w:rPr>
            </w:pPr>
            <w:hyperlink r:id="rId38" w:history="1">
              <w:r w:rsidR="009C55C9" w:rsidRPr="1EA93732">
                <w:rPr>
                  <w:rFonts w:eastAsia="Times New Roman"/>
                  <w:color w:val="0563C1"/>
                  <w:u w:val="single"/>
                  <w:lang w:eastAsia="en-GB"/>
                </w:rPr>
                <w:t>SSP020 guide</w:t>
              </w:r>
            </w:hyperlink>
          </w:p>
        </w:tc>
      </w:tr>
      <w:tr w:rsidR="009C55C9" w:rsidRPr="00DC69FC" w14:paraId="27341B95" w14:textId="77777777" w:rsidTr="00BF374D">
        <w:trPr>
          <w:trHeight w:val="300"/>
        </w:trPr>
        <w:tc>
          <w:tcPr>
            <w:tcW w:w="6941" w:type="dxa"/>
            <w:shd w:val="clear" w:color="auto" w:fill="auto"/>
            <w:noWrap/>
            <w:vAlign w:val="center"/>
            <w:hideMark/>
          </w:tcPr>
          <w:p w14:paraId="3A2254C6" w14:textId="77777777" w:rsidR="009C55C9" w:rsidRPr="00DC69FC" w:rsidRDefault="00000000" w:rsidP="00BF374D">
            <w:pPr>
              <w:rPr>
                <w:rFonts w:eastAsia="Times New Roman"/>
                <w:color w:val="0563C1"/>
                <w:u w:val="single"/>
                <w:lang w:eastAsia="en-GB"/>
              </w:rPr>
            </w:pPr>
            <w:hyperlink r:id="rId39" w:history="1">
              <w:r w:rsidR="009C55C9" w:rsidRPr="00DC69FC">
                <w:rPr>
                  <w:rFonts w:eastAsia="Times New Roman"/>
                  <w:color w:val="0563C1"/>
                  <w:u w:val="single"/>
                  <w:lang w:eastAsia="en-GB"/>
                </w:rPr>
                <w:t xml:space="preserve">SSP022 </w:t>
              </w:r>
              <w:proofErr w:type="spellStart"/>
              <w:r w:rsidR="009C55C9" w:rsidRPr="00DC69FC">
                <w:rPr>
                  <w:rFonts w:eastAsia="Times New Roman"/>
                  <w:color w:val="0563C1"/>
                  <w:u w:val="single"/>
                  <w:lang w:eastAsia="en-GB"/>
                </w:rPr>
                <w:t>Oestrogel</w:t>
              </w:r>
              <w:proofErr w:type="spellEnd"/>
              <w:r w:rsidR="009C55C9" w:rsidRPr="00DC69FC">
                <w:rPr>
                  <w:rFonts w:eastAsia="Times New Roman"/>
                  <w:color w:val="0563C1"/>
                  <w:u w:val="single"/>
                  <w:lang w:eastAsia="en-GB"/>
                </w:rPr>
                <w:t>® Pump-Pack 0.06% gel (750microgram per actuation) – substitution</w:t>
              </w:r>
            </w:hyperlink>
          </w:p>
        </w:tc>
        <w:tc>
          <w:tcPr>
            <w:tcW w:w="2054" w:type="dxa"/>
            <w:shd w:val="clear" w:color="auto" w:fill="auto"/>
            <w:noWrap/>
            <w:hideMark/>
          </w:tcPr>
          <w:p w14:paraId="521B0B1E"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728659E8" w14:textId="77777777" w:rsidR="009C55C9" w:rsidRPr="00DC69FC" w:rsidRDefault="00000000" w:rsidP="00BF374D">
            <w:pPr>
              <w:rPr>
                <w:rFonts w:eastAsia="Times New Roman"/>
                <w:color w:val="0563C1"/>
                <w:u w:val="single"/>
                <w:lang w:eastAsia="en-GB"/>
              </w:rPr>
            </w:pPr>
            <w:hyperlink r:id="rId40" w:history="1">
              <w:r w:rsidR="009C55C9" w:rsidRPr="1EA93732">
                <w:rPr>
                  <w:rFonts w:eastAsia="Times New Roman"/>
                  <w:color w:val="0563C1"/>
                  <w:u w:val="single"/>
                  <w:lang w:eastAsia="en-GB"/>
                </w:rPr>
                <w:t>SSP022 guide</w:t>
              </w:r>
            </w:hyperlink>
          </w:p>
        </w:tc>
      </w:tr>
      <w:tr w:rsidR="009C55C9" w:rsidRPr="00DC69FC" w14:paraId="6281DF77" w14:textId="77777777" w:rsidTr="00BF374D">
        <w:trPr>
          <w:trHeight w:val="300"/>
        </w:trPr>
        <w:tc>
          <w:tcPr>
            <w:tcW w:w="6941" w:type="dxa"/>
            <w:shd w:val="clear" w:color="auto" w:fill="auto"/>
            <w:noWrap/>
            <w:vAlign w:val="center"/>
            <w:hideMark/>
          </w:tcPr>
          <w:p w14:paraId="1512F82D" w14:textId="77777777" w:rsidR="009C55C9" w:rsidRPr="00DC69FC" w:rsidRDefault="00000000" w:rsidP="00BF374D">
            <w:pPr>
              <w:rPr>
                <w:rFonts w:eastAsia="Times New Roman"/>
                <w:color w:val="0563C1"/>
                <w:u w:val="single"/>
                <w:lang w:eastAsia="en-GB"/>
              </w:rPr>
            </w:pPr>
            <w:hyperlink r:id="rId41" w:history="1">
              <w:r w:rsidR="009C55C9" w:rsidRPr="00DC69FC">
                <w:rPr>
                  <w:rFonts w:eastAsia="Times New Roman"/>
                  <w:color w:val="0563C1"/>
                  <w:u w:val="single"/>
                  <w:lang w:eastAsia="en-GB"/>
                </w:rPr>
                <w:t xml:space="preserve">SSP023 </w:t>
              </w:r>
              <w:proofErr w:type="spellStart"/>
              <w:r w:rsidR="009C55C9" w:rsidRPr="00DC69FC">
                <w:rPr>
                  <w:rFonts w:eastAsia="Times New Roman"/>
                  <w:color w:val="0563C1"/>
                  <w:u w:val="single"/>
                  <w:lang w:eastAsia="en-GB"/>
                </w:rPr>
                <w:t>Oestrogel</w:t>
              </w:r>
              <w:proofErr w:type="spellEnd"/>
              <w:r w:rsidR="009C55C9" w:rsidRPr="00DC69FC">
                <w:rPr>
                  <w:rFonts w:eastAsia="Times New Roman"/>
                  <w:color w:val="0563C1"/>
                  <w:u w:val="single"/>
                  <w:lang w:eastAsia="en-GB"/>
                </w:rPr>
                <w:t>® Pump-Pack 0.06% gel (750microgram per actuation) – substitution and restriction</w:t>
              </w:r>
            </w:hyperlink>
          </w:p>
        </w:tc>
        <w:tc>
          <w:tcPr>
            <w:tcW w:w="2054" w:type="dxa"/>
            <w:shd w:val="clear" w:color="auto" w:fill="auto"/>
            <w:noWrap/>
            <w:hideMark/>
          </w:tcPr>
          <w:p w14:paraId="13C7900C"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69EDCA97" w14:textId="77777777" w:rsidR="009C55C9" w:rsidRPr="00DC69FC" w:rsidRDefault="00000000" w:rsidP="00BF374D">
            <w:pPr>
              <w:rPr>
                <w:rFonts w:eastAsia="Times New Roman"/>
                <w:color w:val="0563C1"/>
                <w:u w:val="single"/>
                <w:lang w:eastAsia="en-GB"/>
              </w:rPr>
            </w:pPr>
            <w:hyperlink r:id="rId42" w:history="1">
              <w:r w:rsidR="009C55C9" w:rsidRPr="1EA93732">
                <w:rPr>
                  <w:rFonts w:eastAsia="Times New Roman"/>
                  <w:color w:val="0563C1"/>
                  <w:u w:val="single"/>
                  <w:lang w:eastAsia="en-GB"/>
                </w:rPr>
                <w:t>SSP023 guide</w:t>
              </w:r>
            </w:hyperlink>
          </w:p>
        </w:tc>
      </w:tr>
      <w:tr w:rsidR="009C55C9" w:rsidRPr="00DC69FC" w14:paraId="35F6342A" w14:textId="77777777" w:rsidTr="00BF374D">
        <w:trPr>
          <w:trHeight w:val="300"/>
        </w:trPr>
        <w:tc>
          <w:tcPr>
            <w:tcW w:w="6941" w:type="dxa"/>
            <w:shd w:val="clear" w:color="auto" w:fill="auto"/>
            <w:noWrap/>
            <w:vAlign w:val="center"/>
            <w:hideMark/>
          </w:tcPr>
          <w:p w14:paraId="2B66C58D" w14:textId="77777777" w:rsidR="009C55C9" w:rsidRPr="00DC69FC" w:rsidRDefault="00000000" w:rsidP="00BF374D">
            <w:pPr>
              <w:rPr>
                <w:rFonts w:eastAsia="Times New Roman"/>
                <w:color w:val="0563C1"/>
                <w:u w:val="single"/>
                <w:lang w:eastAsia="en-GB"/>
              </w:rPr>
            </w:pPr>
            <w:hyperlink r:id="rId43" w:history="1">
              <w:r w:rsidR="009C55C9" w:rsidRPr="00DC69FC">
                <w:rPr>
                  <w:rFonts w:eastAsia="Times New Roman"/>
                  <w:color w:val="0563C1"/>
                  <w:u w:val="single"/>
                  <w:lang w:eastAsia="en-GB"/>
                </w:rPr>
                <w:t xml:space="preserve">SSP024 </w:t>
              </w:r>
              <w:proofErr w:type="spellStart"/>
              <w:r w:rsidR="009C55C9" w:rsidRPr="00DC69FC">
                <w:rPr>
                  <w:rFonts w:eastAsia="Times New Roman"/>
                  <w:color w:val="0563C1"/>
                  <w:u w:val="single"/>
                  <w:lang w:eastAsia="en-GB"/>
                </w:rPr>
                <w:t>Ovestin</w:t>
              </w:r>
              <w:proofErr w:type="spellEnd"/>
              <w:r w:rsidR="009C55C9" w:rsidRPr="00DC69FC">
                <w:rPr>
                  <w:rFonts w:eastAsia="Times New Roman"/>
                  <w:color w:val="0563C1"/>
                  <w:u w:val="single"/>
                  <w:lang w:eastAsia="en-GB"/>
                </w:rPr>
                <w:t>® 1mg cream – substitution</w:t>
              </w:r>
            </w:hyperlink>
          </w:p>
        </w:tc>
        <w:tc>
          <w:tcPr>
            <w:tcW w:w="2054" w:type="dxa"/>
            <w:shd w:val="clear" w:color="auto" w:fill="auto"/>
            <w:noWrap/>
            <w:hideMark/>
          </w:tcPr>
          <w:p w14:paraId="20B58C97" w14:textId="77777777" w:rsidR="009C55C9" w:rsidRDefault="009C55C9" w:rsidP="00BF374D">
            <w:pPr>
              <w:rPr>
                <w:rFonts w:eastAsia="Times New Roman"/>
                <w:lang w:eastAsia="en-GB"/>
              </w:rPr>
            </w:pPr>
          </w:p>
          <w:p w14:paraId="6FDF3294" w14:textId="77777777" w:rsidR="009C55C9" w:rsidRDefault="009C55C9" w:rsidP="00BF374D">
            <w:pPr>
              <w:rPr>
                <w:rFonts w:eastAsia="Times New Roman"/>
                <w:lang w:eastAsia="en-GB"/>
              </w:rPr>
            </w:pPr>
          </w:p>
          <w:p w14:paraId="60A43AAB" w14:textId="77777777" w:rsidR="009C55C9" w:rsidRDefault="009C55C9" w:rsidP="00BF374D">
            <w:pPr>
              <w:rPr>
                <w:rFonts w:eastAsia="Times New Roman"/>
                <w:lang w:eastAsia="en-GB"/>
              </w:rPr>
            </w:pPr>
          </w:p>
          <w:p w14:paraId="176BA956"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184BFB59" w14:textId="77777777" w:rsidR="009C55C9" w:rsidRPr="00DC69FC" w:rsidRDefault="00000000" w:rsidP="00BF374D">
            <w:pPr>
              <w:rPr>
                <w:rFonts w:eastAsia="Times New Roman"/>
                <w:color w:val="0563C1"/>
                <w:u w:val="single"/>
                <w:lang w:eastAsia="en-GB"/>
              </w:rPr>
            </w:pPr>
            <w:hyperlink r:id="rId44">
              <w:r w:rsidR="009C55C9" w:rsidRPr="68F90AE5">
                <w:rPr>
                  <w:rFonts w:eastAsia="Times New Roman"/>
                  <w:color w:val="0563C1"/>
                  <w:lang w:eastAsia="en-GB"/>
                </w:rPr>
                <w:t>SSP024 guide</w:t>
              </w:r>
            </w:hyperlink>
            <w:r w:rsidR="009C55C9" w:rsidRPr="68F90AE5">
              <w:rPr>
                <w:rFonts w:eastAsia="Times New Roman"/>
                <w:color w:val="FF0000"/>
                <w:lang w:eastAsia="en-GB"/>
              </w:rPr>
              <w:t xml:space="preserve"> (update to dose equivalence advice and endorsing guide – see latest versions)</w:t>
            </w:r>
          </w:p>
        </w:tc>
      </w:tr>
      <w:tr w:rsidR="009C55C9" w:rsidRPr="00DC69FC" w14:paraId="11A5400C" w14:textId="77777777" w:rsidTr="00BF374D">
        <w:trPr>
          <w:trHeight w:val="300"/>
        </w:trPr>
        <w:tc>
          <w:tcPr>
            <w:tcW w:w="6941" w:type="dxa"/>
            <w:shd w:val="clear" w:color="auto" w:fill="auto"/>
            <w:noWrap/>
            <w:vAlign w:val="center"/>
            <w:hideMark/>
          </w:tcPr>
          <w:p w14:paraId="413BF6E4" w14:textId="77777777" w:rsidR="009C55C9" w:rsidRPr="00DC69FC" w:rsidRDefault="00000000" w:rsidP="00BF374D">
            <w:pPr>
              <w:rPr>
                <w:rFonts w:eastAsia="Times New Roman"/>
                <w:color w:val="0563C1"/>
                <w:u w:val="single"/>
                <w:lang w:eastAsia="en-GB"/>
              </w:rPr>
            </w:pPr>
            <w:hyperlink r:id="rId45" w:history="1">
              <w:r w:rsidR="009C55C9" w:rsidRPr="00DC69FC">
                <w:rPr>
                  <w:rFonts w:eastAsia="Times New Roman"/>
                  <w:color w:val="0563C1"/>
                  <w:u w:val="single"/>
                  <w:lang w:eastAsia="en-GB"/>
                </w:rPr>
                <w:t xml:space="preserve">SSP025 </w:t>
              </w:r>
              <w:proofErr w:type="spellStart"/>
              <w:r w:rsidR="009C55C9" w:rsidRPr="00DC69FC">
                <w:rPr>
                  <w:rFonts w:eastAsia="Times New Roman"/>
                  <w:color w:val="0563C1"/>
                  <w:u w:val="single"/>
                  <w:lang w:eastAsia="en-GB"/>
                </w:rPr>
                <w:t>Ovestin</w:t>
              </w:r>
              <w:proofErr w:type="spellEnd"/>
              <w:r w:rsidR="009C55C9" w:rsidRPr="00DC69FC">
                <w:rPr>
                  <w:rFonts w:eastAsia="Times New Roman"/>
                  <w:color w:val="0563C1"/>
                  <w:u w:val="single"/>
                  <w:lang w:eastAsia="en-GB"/>
                </w:rPr>
                <w:t>® 1mg cream – substitution and restriction</w:t>
              </w:r>
            </w:hyperlink>
          </w:p>
        </w:tc>
        <w:tc>
          <w:tcPr>
            <w:tcW w:w="2054" w:type="dxa"/>
            <w:shd w:val="clear" w:color="auto" w:fill="auto"/>
            <w:noWrap/>
            <w:hideMark/>
          </w:tcPr>
          <w:p w14:paraId="347B552E" w14:textId="77777777" w:rsidR="009C55C9" w:rsidRDefault="009C55C9" w:rsidP="00BF374D">
            <w:pPr>
              <w:rPr>
                <w:rFonts w:eastAsia="Times New Roman"/>
                <w:lang w:eastAsia="en-GB"/>
              </w:rPr>
            </w:pPr>
          </w:p>
          <w:p w14:paraId="7A7FA311" w14:textId="77777777" w:rsidR="009C55C9" w:rsidRDefault="009C55C9" w:rsidP="00BF374D">
            <w:pPr>
              <w:rPr>
                <w:rFonts w:eastAsia="Times New Roman"/>
                <w:lang w:eastAsia="en-GB"/>
              </w:rPr>
            </w:pPr>
          </w:p>
          <w:p w14:paraId="0D9FCFD2" w14:textId="77777777" w:rsidR="009C55C9" w:rsidRDefault="009C55C9" w:rsidP="00BF374D">
            <w:pPr>
              <w:rPr>
                <w:rFonts w:eastAsia="Times New Roman"/>
                <w:lang w:eastAsia="en-GB"/>
              </w:rPr>
            </w:pPr>
          </w:p>
          <w:p w14:paraId="46F45C84"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278E1AC2" w14:textId="77777777" w:rsidR="009C55C9" w:rsidRPr="00101BBF" w:rsidRDefault="00000000" w:rsidP="00BF374D">
            <w:pPr>
              <w:rPr>
                <w:rFonts w:eastAsia="Times New Roman"/>
                <w:color w:val="0563C1"/>
                <w:u w:val="single"/>
                <w:lang w:eastAsia="en-GB"/>
              </w:rPr>
            </w:pPr>
            <w:hyperlink r:id="rId46">
              <w:r w:rsidR="009C55C9" w:rsidRPr="68F90AE5">
                <w:rPr>
                  <w:rFonts w:eastAsia="Times New Roman"/>
                  <w:color w:val="0563C1"/>
                  <w:lang w:eastAsia="en-GB"/>
                </w:rPr>
                <w:t>SSP025 guide</w:t>
              </w:r>
            </w:hyperlink>
            <w:r w:rsidR="009C55C9" w:rsidRPr="68F90AE5">
              <w:rPr>
                <w:rFonts w:eastAsia="Times New Roman"/>
                <w:color w:val="FF0000"/>
                <w:lang w:eastAsia="en-GB"/>
              </w:rPr>
              <w:t xml:space="preserve"> (update to dose equivalence advice and endorsing guide – see latest versions)</w:t>
            </w:r>
          </w:p>
        </w:tc>
      </w:tr>
      <w:tr w:rsidR="009C55C9" w:rsidRPr="00DC69FC" w14:paraId="261504C1" w14:textId="77777777" w:rsidTr="00BF374D">
        <w:trPr>
          <w:trHeight w:val="300"/>
        </w:trPr>
        <w:tc>
          <w:tcPr>
            <w:tcW w:w="6941" w:type="dxa"/>
            <w:shd w:val="clear" w:color="auto" w:fill="auto"/>
            <w:noWrap/>
            <w:vAlign w:val="center"/>
            <w:hideMark/>
          </w:tcPr>
          <w:p w14:paraId="0B96CF59" w14:textId="77777777" w:rsidR="009C55C9" w:rsidRPr="00DC69FC" w:rsidRDefault="00000000" w:rsidP="00BF374D">
            <w:pPr>
              <w:rPr>
                <w:rFonts w:eastAsia="Times New Roman"/>
                <w:color w:val="0563C1"/>
                <w:u w:val="single"/>
                <w:lang w:eastAsia="en-GB"/>
              </w:rPr>
            </w:pPr>
            <w:hyperlink r:id="rId47" w:history="1">
              <w:r w:rsidR="009C55C9" w:rsidRPr="00DC69FC">
                <w:rPr>
                  <w:rFonts w:eastAsia="Times New Roman"/>
                  <w:color w:val="0563C1"/>
                  <w:u w:val="single"/>
                  <w:lang w:eastAsia="en-GB"/>
                </w:rPr>
                <w:t xml:space="preserve">SSP026 </w:t>
              </w:r>
              <w:proofErr w:type="spellStart"/>
              <w:r w:rsidR="009C55C9" w:rsidRPr="00DC69FC">
                <w:rPr>
                  <w:rFonts w:eastAsia="Times New Roman"/>
                  <w:color w:val="0563C1"/>
                  <w:u w:val="single"/>
                  <w:lang w:eastAsia="en-GB"/>
                </w:rPr>
                <w:t>Lenzetto</w:t>
              </w:r>
              <w:proofErr w:type="spellEnd"/>
              <w:r w:rsidR="009C55C9" w:rsidRPr="00DC69FC">
                <w:rPr>
                  <w:rFonts w:eastAsia="Times New Roman"/>
                  <w:color w:val="0563C1"/>
                  <w:u w:val="single"/>
                  <w:lang w:eastAsia="en-GB"/>
                </w:rPr>
                <w:t>® 1.53mg/dose transdermal spray –  restriction</w:t>
              </w:r>
            </w:hyperlink>
          </w:p>
        </w:tc>
        <w:tc>
          <w:tcPr>
            <w:tcW w:w="2054" w:type="dxa"/>
            <w:shd w:val="clear" w:color="auto" w:fill="auto"/>
            <w:noWrap/>
            <w:hideMark/>
          </w:tcPr>
          <w:p w14:paraId="339D4BA5"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346BC944" w14:textId="77777777" w:rsidR="009C55C9" w:rsidRPr="00DC69FC" w:rsidRDefault="00000000" w:rsidP="00BF374D">
            <w:pPr>
              <w:rPr>
                <w:rFonts w:eastAsia="Times New Roman"/>
                <w:color w:val="0563C1"/>
                <w:u w:val="single"/>
                <w:lang w:eastAsia="en-GB"/>
              </w:rPr>
            </w:pPr>
            <w:hyperlink r:id="rId48" w:history="1">
              <w:r w:rsidR="009C55C9" w:rsidRPr="1EA93732">
                <w:rPr>
                  <w:rFonts w:eastAsia="Times New Roman"/>
                  <w:color w:val="0563C1"/>
                  <w:u w:val="single"/>
                  <w:lang w:eastAsia="en-GB"/>
                </w:rPr>
                <w:t>SSP026 guide</w:t>
              </w:r>
            </w:hyperlink>
          </w:p>
        </w:tc>
      </w:tr>
      <w:tr w:rsidR="009C55C9" w:rsidRPr="00DC69FC" w14:paraId="352DC70B" w14:textId="77777777" w:rsidTr="00BF374D">
        <w:trPr>
          <w:trHeight w:val="300"/>
        </w:trPr>
        <w:tc>
          <w:tcPr>
            <w:tcW w:w="6941" w:type="dxa"/>
            <w:shd w:val="clear" w:color="auto" w:fill="auto"/>
            <w:noWrap/>
            <w:vAlign w:val="center"/>
            <w:hideMark/>
          </w:tcPr>
          <w:p w14:paraId="0F642BCB" w14:textId="77777777" w:rsidR="009C55C9" w:rsidRPr="00DC69FC" w:rsidRDefault="00000000" w:rsidP="00BF374D">
            <w:pPr>
              <w:rPr>
                <w:rFonts w:eastAsia="Times New Roman"/>
                <w:color w:val="0563C1"/>
                <w:u w:val="single"/>
                <w:lang w:eastAsia="en-GB"/>
              </w:rPr>
            </w:pPr>
            <w:hyperlink r:id="rId49" w:history="1">
              <w:r w:rsidR="009C55C9" w:rsidRPr="00DC69FC">
                <w:rPr>
                  <w:rFonts w:eastAsia="Times New Roman"/>
                  <w:color w:val="0563C1"/>
                  <w:u w:val="single"/>
                  <w:lang w:eastAsia="en-GB"/>
                </w:rPr>
                <w:t xml:space="preserve">SSP027 </w:t>
              </w:r>
              <w:proofErr w:type="spellStart"/>
              <w:r w:rsidR="009C55C9" w:rsidRPr="00DC69FC">
                <w:rPr>
                  <w:rFonts w:eastAsia="Times New Roman"/>
                  <w:color w:val="0563C1"/>
                  <w:u w:val="single"/>
                  <w:lang w:eastAsia="en-GB"/>
                </w:rPr>
                <w:t>Lenzetto</w:t>
              </w:r>
              <w:proofErr w:type="spellEnd"/>
              <w:r w:rsidR="009C55C9" w:rsidRPr="00DC69FC">
                <w:rPr>
                  <w:rFonts w:eastAsia="Times New Roman"/>
                  <w:color w:val="0563C1"/>
                  <w:u w:val="single"/>
                  <w:lang w:eastAsia="en-GB"/>
                </w:rPr>
                <w:t>® 1.53mg/dose transdermal spray –  substitution</w:t>
              </w:r>
            </w:hyperlink>
          </w:p>
        </w:tc>
        <w:tc>
          <w:tcPr>
            <w:tcW w:w="2054" w:type="dxa"/>
            <w:shd w:val="clear" w:color="auto" w:fill="auto"/>
            <w:noWrap/>
            <w:hideMark/>
          </w:tcPr>
          <w:p w14:paraId="10F0CFC2"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015F041F" w14:textId="77777777" w:rsidR="009C55C9" w:rsidRPr="00DC69FC" w:rsidRDefault="00000000" w:rsidP="00BF374D">
            <w:pPr>
              <w:rPr>
                <w:rFonts w:eastAsia="Times New Roman"/>
                <w:color w:val="0563C1"/>
                <w:u w:val="single"/>
                <w:lang w:eastAsia="en-GB"/>
              </w:rPr>
            </w:pPr>
            <w:hyperlink r:id="rId50" w:history="1">
              <w:r w:rsidR="009C55C9" w:rsidRPr="1EA93732">
                <w:rPr>
                  <w:rFonts w:eastAsia="Times New Roman"/>
                  <w:color w:val="0563C1"/>
                  <w:u w:val="single"/>
                  <w:lang w:eastAsia="en-GB"/>
                </w:rPr>
                <w:t>SSP027 guide</w:t>
              </w:r>
            </w:hyperlink>
          </w:p>
        </w:tc>
      </w:tr>
      <w:tr w:rsidR="009C55C9" w:rsidRPr="00DC69FC" w14:paraId="4DB27E1B" w14:textId="77777777" w:rsidTr="00BF374D">
        <w:trPr>
          <w:trHeight w:val="300"/>
        </w:trPr>
        <w:tc>
          <w:tcPr>
            <w:tcW w:w="6941" w:type="dxa"/>
            <w:shd w:val="clear" w:color="auto" w:fill="auto"/>
            <w:noWrap/>
            <w:vAlign w:val="center"/>
            <w:hideMark/>
          </w:tcPr>
          <w:p w14:paraId="3839CA2A" w14:textId="77777777" w:rsidR="009C55C9" w:rsidRPr="00DC69FC" w:rsidRDefault="00000000" w:rsidP="00BF374D">
            <w:pPr>
              <w:rPr>
                <w:rFonts w:eastAsia="Times New Roman"/>
                <w:color w:val="0563C1"/>
                <w:u w:val="single"/>
                <w:lang w:eastAsia="en-GB"/>
              </w:rPr>
            </w:pPr>
            <w:hyperlink r:id="rId51" w:history="1">
              <w:r w:rsidR="009C55C9" w:rsidRPr="00DC69FC">
                <w:rPr>
                  <w:rFonts w:eastAsia="Times New Roman"/>
                  <w:color w:val="0563C1"/>
                  <w:u w:val="single"/>
                  <w:lang w:eastAsia="en-GB"/>
                </w:rPr>
                <w:t xml:space="preserve">SSP028 </w:t>
              </w:r>
              <w:proofErr w:type="spellStart"/>
              <w:r w:rsidR="009C55C9" w:rsidRPr="00DC69FC">
                <w:rPr>
                  <w:rFonts w:eastAsia="Times New Roman"/>
                  <w:color w:val="0563C1"/>
                  <w:u w:val="single"/>
                  <w:lang w:eastAsia="en-GB"/>
                </w:rPr>
                <w:t>Lenzetto</w:t>
              </w:r>
              <w:proofErr w:type="spellEnd"/>
              <w:r w:rsidR="009C55C9" w:rsidRPr="00DC69FC">
                <w:rPr>
                  <w:rFonts w:eastAsia="Times New Roman"/>
                  <w:color w:val="0563C1"/>
                  <w:u w:val="single"/>
                  <w:lang w:eastAsia="en-GB"/>
                </w:rPr>
                <w:t>® 1.53mg/dose transdermal spray – substitution and restriction</w:t>
              </w:r>
            </w:hyperlink>
          </w:p>
        </w:tc>
        <w:tc>
          <w:tcPr>
            <w:tcW w:w="2054" w:type="dxa"/>
            <w:shd w:val="clear" w:color="auto" w:fill="auto"/>
            <w:noWrap/>
            <w:hideMark/>
          </w:tcPr>
          <w:p w14:paraId="1C0D7215"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4ADE5011" w14:textId="77777777" w:rsidR="009C55C9" w:rsidRPr="00DC69FC" w:rsidRDefault="00000000" w:rsidP="00BF374D">
            <w:pPr>
              <w:rPr>
                <w:rFonts w:eastAsia="Times New Roman"/>
                <w:color w:val="0563C1"/>
                <w:u w:val="single"/>
                <w:lang w:eastAsia="en-GB"/>
              </w:rPr>
            </w:pPr>
            <w:hyperlink r:id="rId52" w:history="1">
              <w:r w:rsidR="009C55C9" w:rsidRPr="1EA93732">
                <w:rPr>
                  <w:rFonts w:eastAsia="Times New Roman"/>
                  <w:color w:val="0563C1"/>
                  <w:u w:val="single"/>
                  <w:lang w:eastAsia="en-GB"/>
                </w:rPr>
                <w:t>SSP028 guide</w:t>
              </w:r>
            </w:hyperlink>
          </w:p>
        </w:tc>
      </w:tr>
      <w:tr w:rsidR="009C55C9" w:rsidRPr="00DC69FC" w14:paraId="4ADD1FD1" w14:textId="77777777" w:rsidTr="00BF374D">
        <w:trPr>
          <w:trHeight w:val="300"/>
        </w:trPr>
        <w:tc>
          <w:tcPr>
            <w:tcW w:w="6941" w:type="dxa"/>
            <w:shd w:val="clear" w:color="auto" w:fill="auto"/>
            <w:noWrap/>
            <w:vAlign w:val="center"/>
            <w:hideMark/>
          </w:tcPr>
          <w:p w14:paraId="539CBB28" w14:textId="77777777" w:rsidR="009C55C9" w:rsidRPr="00DC69FC" w:rsidRDefault="00000000" w:rsidP="00BF374D">
            <w:pPr>
              <w:rPr>
                <w:rFonts w:eastAsia="Times New Roman"/>
                <w:color w:val="0563C1"/>
                <w:u w:val="single"/>
                <w:lang w:eastAsia="en-GB"/>
              </w:rPr>
            </w:pPr>
            <w:hyperlink r:id="rId53" w:history="1">
              <w:r w:rsidR="009C55C9" w:rsidRPr="00DC69FC">
                <w:rPr>
                  <w:rFonts w:eastAsia="Times New Roman"/>
                  <w:color w:val="0563C1"/>
                  <w:u w:val="single"/>
                  <w:lang w:eastAsia="en-GB"/>
                </w:rPr>
                <w:t xml:space="preserve">SSP029 </w:t>
              </w:r>
              <w:proofErr w:type="spellStart"/>
              <w:r w:rsidR="009C55C9" w:rsidRPr="00DC69FC">
                <w:rPr>
                  <w:rFonts w:eastAsia="Times New Roman"/>
                  <w:color w:val="0563C1"/>
                  <w:u w:val="single"/>
                  <w:lang w:eastAsia="en-GB"/>
                </w:rPr>
                <w:t>Sandrena</w:t>
              </w:r>
              <w:proofErr w:type="spellEnd"/>
              <w:r w:rsidR="009C55C9" w:rsidRPr="00DC69FC">
                <w:rPr>
                  <w:rFonts w:eastAsia="Times New Roman"/>
                  <w:color w:val="0563C1"/>
                  <w:u w:val="single"/>
                  <w:lang w:eastAsia="en-GB"/>
                </w:rPr>
                <w:t>®  0.5mg and 1mg gel sachets – restriction</w:t>
              </w:r>
            </w:hyperlink>
          </w:p>
        </w:tc>
        <w:tc>
          <w:tcPr>
            <w:tcW w:w="2054" w:type="dxa"/>
            <w:shd w:val="clear" w:color="auto" w:fill="auto"/>
            <w:noWrap/>
            <w:hideMark/>
          </w:tcPr>
          <w:p w14:paraId="3EC4D635"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205A7F94" w14:textId="77777777" w:rsidR="009C55C9" w:rsidRPr="00DC69FC" w:rsidRDefault="00000000" w:rsidP="00BF374D">
            <w:pPr>
              <w:rPr>
                <w:rFonts w:eastAsia="Times New Roman"/>
                <w:color w:val="0563C1"/>
                <w:u w:val="single"/>
                <w:lang w:eastAsia="en-GB"/>
              </w:rPr>
            </w:pPr>
            <w:hyperlink r:id="rId54" w:history="1">
              <w:r w:rsidR="009C55C9" w:rsidRPr="1EA93732">
                <w:rPr>
                  <w:rFonts w:eastAsia="Times New Roman"/>
                  <w:color w:val="0563C1"/>
                  <w:u w:val="single"/>
                  <w:lang w:eastAsia="en-GB"/>
                </w:rPr>
                <w:t>SSP029 guide</w:t>
              </w:r>
            </w:hyperlink>
          </w:p>
        </w:tc>
      </w:tr>
      <w:tr w:rsidR="009C55C9" w:rsidRPr="00DC69FC" w14:paraId="296F4F1B" w14:textId="77777777" w:rsidTr="00BF374D">
        <w:trPr>
          <w:trHeight w:val="300"/>
        </w:trPr>
        <w:tc>
          <w:tcPr>
            <w:tcW w:w="6941" w:type="dxa"/>
            <w:shd w:val="clear" w:color="auto" w:fill="auto"/>
            <w:noWrap/>
            <w:vAlign w:val="center"/>
            <w:hideMark/>
          </w:tcPr>
          <w:p w14:paraId="201A609B" w14:textId="77777777" w:rsidR="009C55C9" w:rsidRPr="00DC69FC" w:rsidRDefault="00000000" w:rsidP="00BF374D">
            <w:pPr>
              <w:rPr>
                <w:rFonts w:eastAsia="Times New Roman"/>
                <w:color w:val="0563C1"/>
                <w:u w:val="single"/>
                <w:lang w:eastAsia="en-GB"/>
              </w:rPr>
            </w:pPr>
            <w:hyperlink r:id="rId55" w:history="1">
              <w:r w:rsidR="009C55C9" w:rsidRPr="00DC69FC">
                <w:rPr>
                  <w:rFonts w:eastAsia="Times New Roman"/>
                  <w:color w:val="0563C1"/>
                  <w:u w:val="single"/>
                  <w:lang w:eastAsia="en-GB"/>
                </w:rPr>
                <w:t xml:space="preserve">SSP030 </w:t>
              </w:r>
              <w:proofErr w:type="spellStart"/>
              <w:r w:rsidR="009C55C9" w:rsidRPr="00DC69FC">
                <w:rPr>
                  <w:rFonts w:eastAsia="Times New Roman"/>
                  <w:color w:val="0563C1"/>
                  <w:u w:val="single"/>
                  <w:lang w:eastAsia="en-GB"/>
                </w:rPr>
                <w:t>Sandrena</w:t>
              </w:r>
              <w:proofErr w:type="spellEnd"/>
              <w:r w:rsidR="009C55C9" w:rsidRPr="00DC69FC">
                <w:rPr>
                  <w:rFonts w:eastAsia="Times New Roman"/>
                  <w:color w:val="0563C1"/>
                  <w:u w:val="single"/>
                  <w:lang w:eastAsia="en-GB"/>
                </w:rPr>
                <w:t>®  0.5mg and 1mg gel sachets –  substitution</w:t>
              </w:r>
            </w:hyperlink>
          </w:p>
        </w:tc>
        <w:tc>
          <w:tcPr>
            <w:tcW w:w="2054" w:type="dxa"/>
            <w:shd w:val="clear" w:color="auto" w:fill="auto"/>
            <w:noWrap/>
            <w:hideMark/>
          </w:tcPr>
          <w:p w14:paraId="2EF8DF52"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1C9C0B6E" w14:textId="77777777" w:rsidR="009C55C9" w:rsidRPr="00DC69FC" w:rsidRDefault="00000000" w:rsidP="00BF374D">
            <w:pPr>
              <w:rPr>
                <w:rFonts w:eastAsia="Times New Roman"/>
                <w:color w:val="0563C1"/>
                <w:u w:val="single"/>
                <w:lang w:eastAsia="en-GB"/>
              </w:rPr>
            </w:pPr>
            <w:hyperlink r:id="rId56" w:history="1">
              <w:r w:rsidR="009C55C9" w:rsidRPr="1EA93732">
                <w:rPr>
                  <w:rFonts w:eastAsia="Times New Roman"/>
                  <w:color w:val="0563C1"/>
                  <w:u w:val="single"/>
                  <w:lang w:eastAsia="en-GB"/>
                </w:rPr>
                <w:t>SSP030 guide</w:t>
              </w:r>
            </w:hyperlink>
          </w:p>
        </w:tc>
      </w:tr>
      <w:tr w:rsidR="009C55C9" w:rsidRPr="00DC69FC" w14:paraId="7FB71504" w14:textId="77777777" w:rsidTr="00BF374D">
        <w:trPr>
          <w:trHeight w:val="300"/>
        </w:trPr>
        <w:tc>
          <w:tcPr>
            <w:tcW w:w="6941" w:type="dxa"/>
            <w:shd w:val="clear" w:color="auto" w:fill="auto"/>
            <w:noWrap/>
            <w:vAlign w:val="center"/>
            <w:hideMark/>
          </w:tcPr>
          <w:p w14:paraId="2E3A97FA" w14:textId="77777777" w:rsidR="009C55C9" w:rsidRPr="00DC69FC" w:rsidRDefault="00000000" w:rsidP="00BF374D">
            <w:pPr>
              <w:rPr>
                <w:rFonts w:eastAsia="Times New Roman"/>
                <w:color w:val="0563C1"/>
                <w:u w:val="single"/>
                <w:lang w:eastAsia="en-GB"/>
              </w:rPr>
            </w:pPr>
            <w:hyperlink r:id="rId57" w:history="1">
              <w:r w:rsidR="009C55C9" w:rsidRPr="00DC69FC">
                <w:rPr>
                  <w:rFonts w:eastAsia="Times New Roman"/>
                  <w:color w:val="0563C1"/>
                  <w:u w:val="single"/>
                  <w:lang w:eastAsia="en-GB"/>
                </w:rPr>
                <w:t xml:space="preserve">SSP031 </w:t>
              </w:r>
              <w:proofErr w:type="spellStart"/>
              <w:r w:rsidR="009C55C9" w:rsidRPr="00DC69FC">
                <w:rPr>
                  <w:rFonts w:eastAsia="Times New Roman"/>
                  <w:color w:val="0563C1"/>
                  <w:u w:val="single"/>
                  <w:lang w:eastAsia="en-GB"/>
                </w:rPr>
                <w:t>Sandrena</w:t>
              </w:r>
              <w:proofErr w:type="spellEnd"/>
              <w:r w:rsidR="009C55C9" w:rsidRPr="00DC69FC">
                <w:rPr>
                  <w:rFonts w:eastAsia="Times New Roman"/>
                  <w:color w:val="0563C1"/>
                  <w:u w:val="single"/>
                  <w:lang w:eastAsia="en-GB"/>
                </w:rPr>
                <w:t>® 0.5mg and 1mg gel sachets –  substitution and restriction</w:t>
              </w:r>
            </w:hyperlink>
          </w:p>
        </w:tc>
        <w:tc>
          <w:tcPr>
            <w:tcW w:w="2054" w:type="dxa"/>
            <w:shd w:val="clear" w:color="auto" w:fill="auto"/>
            <w:noWrap/>
            <w:hideMark/>
          </w:tcPr>
          <w:p w14:paraId="18E50B25" w14:textId="77777777" w:rsidR="009C55C9" w:rsidRPr="00DC69FC" w:rsidRDefault="009C55C9" w:rsidP="00BF374D">
            <w:pPr>
              <w:rPr>
                <w:rFonts w:eastAsia="Times New Roman"/>
                <w:lang w:eastAsia="en-GB"/>
              </w:rPr>
            </w:pPr>
            <w:r w:rsidRPr="469BFCBA">
              <w:rPr>
                <w:rFonts w:eastAsia="Times New Roman"/>
                <w:lang w:eastAsia="en-GB"/>
              </w:rPr>
              <w:t>28 October 2022</w:t>
            </w:r>
          </w:p>
        </w:tc>
        <w:tc>
          <w:tcPr>
            <w:tcW w:w="1920" w:type="dxa"/>
            <w:shd w:val="clear" w:color="auto" w:fill="auto"/>
            <w:noWrap/>
            <w:vAlign w:val="center"/>
            <w:hideMark/>
          </w:tcPr>
          <w:p w14:paraId="25E93C32" w14:textId="77777777" w:rsidR="009C55C9" w:rsidRPr="00DC69FC" w:rsidRDefault="00000000" w:rsidP="00BF374D">
            <w:pPr>
              <w:rPr>
                <w:rFonts w:eastAsia="Times New Roman"/>
                <w:color w:val="0563C1"/>
                <w:u w:val="single"/>
                <w:lang w:eastAsia="en-GB"/>
              </w:rPr>
            </w:pPr>
            <w:hyperlink r:id="rId58" w:history="1">
              <w:r w:rsidR="009C55C9" w:rsidRPr="1EA93732">
                <w:rPr>
                  <w:rFonts w:eastAsia="Times New Roman"/>
                  <w:color w:val="0563C1"/>
                  <w:u w:val="single"/>
                  <w:lang w:eastAsia="en-GB"/>
                </w:rPr>
                <w:t>SSP031 guide</w:t>
              </w:r>
            </w:hyperlink>
          </w:p>
        </w:tc>
      </w:tr>
      <w:tr w:rsidR="009C55C9" w:rsidRPr="00DC69FC" w14:paraId="5BD9AC7F" w14:textId="77777777" w:rsidTr="00BF374D">
        <w:trPr>
          <w:trHeight w:val="300"/>
        </w:trPr>
        <w:tc>
          <w:tcPr>
            <w:tcW w:w="6941" w:type="dxa"/>
            <w:shd w:val="clear" w:color="auto" w:fill="auto"/>
            <w:noWrap/>
            <w:vAlign w:val="center"/>
            <w:hideMark/>
          </w:tcPr>
          <w:p w14:paraId="2DAE25E7" w14:textId="77777777" w:rsidR="009C55C9" w:rsidRPr="00DC69FC" w:rsidRDefault="00000000" w:rsidP="00BF374D">
            <w:pPr>
              <w:rPr>
                <w:rFonts w:eastAsia="Times New Roman"/>
                <w:color w:val="0563C1"/>
                <w:u w:val="single"/>
                <w:lang w:eastAsia="en-GB"/>
              </w:rPr>
            </w:pPr>
            <w:hyperlink r:id="rId59">
              <w:r w:rsidR="009C55C9" w:rsidRPr="21D94376">
                <w:rPr>
                  <w:rFonts w:eastAsia="Times New Roman"/>
                  <w:color w:val="0563C1"/>
                  <w:u w:val="single"/>
                  <w:lang w:eastAsia="en-GB"/>
                </w:rPr>
                <w:t>SSP032 Lipitor® 10mg chewable tablets</w:t>
              </w:r>
            </w:hyperlink>
          </w:p>
        </w:tc>
        <w:tc>
          <w:tcPr>
            <w:tcW w:w="2054" w:type="dxa"/>
            <w:shd w:val="clear" w:color="auto" w:fill="auto"/>
            <w:noWrap/>
            <w:vAlign w:val="center"/>
            <w:hideMark/>
          </w:tcPr>
          <w:p w14:paraId="0CF0D4AE" w14:textId="77777777" w:rsidR="009C55C9" w:rsidRPr="00DC69FC" w:rsidRDefault="009C55C9" w:rsidP="00BF374D">
            <w:pPr>
              <w:rPr>
                <w:rFonts w:eastAsia="Times New Roman"/>
                <w:lang w:eastAsia="en-GB"/>
              </w:rPr>
            </w:pPr>
            <w:r>
              <w:rPr>
                <w:rFonts w:eastAsia="Times New Roman"/>
                <w:lang w:eastAsia="en-GB"/>
              </w:rPr>
              <w:t>9</w:t>
            </w:r>
            <w:r w:rsidRPr="469BFCBA">
              <w:rPr>
                <w:rFonts w:eastAsia="Times New Roman"/>
                <w:lang w:eastAsia="en-GB"/>
              </w:rPr>
              <w:t xml:space="preserve"> September 2022</w:t>
            </w:r>
          </w:p>
        </w:tc>
        <w:tc>
          <w:tcPr>
            <w:tcW w:w="1920" w:type="dxa"/>
            <w:shd w:val="clear" w:color="auto" w:fill="auto"/>
            <w:noWrap/>
            <w:vAlign w:val="center"/>
            <w:hideMark/>
          </w:tcPr>
          <w:p w14:paraId="0E1BCED0" w14:textId="77777777" w:rsidR="009C55C9" w:rsidRPr="00DC69FC" w:rsidRDefault="00000000" w:rsidP="00BF374D">
            <w:pPr>
              <w:rPr>
                <w:rFonts w:eastAsia="Times New Roman"/>
                <w:color w:val="0563C1"/>
                <w:u w:val="single"/>
                <w:lang w:eastAsia="en-GB"/>
              </w:rPr>
            </w:pPr>
            <w:hyperlink r:id="rId60">
              <w:r w:rsidR="009C55C9" w:rsidRPr="21D94376">
                <w:rPr>
                  <w:rFonts w:eastAsia="Times New Roman"/>
                  <w:color w:val="0563C1"/>
                  <w:u w:val="single"/>
                  <w:lang w:eastAsia="en-GB"/>
                </w:rPr>
                <w:t>SSP032 guide</w:t>
              </w:r>
            </w:hyperlink>
          </w:p>
        </w:tc>
      </w:tr>
      <w:tr w:rsidR="009C55C9" w:rsidRPr="00DC69FC" w14:paraId="578839CC" w14:textId="77777777" w:rsidTr="00BF374D">
        <w:trPr>
          <w:trHeight w:val="345"/>
        </w:trPr>
        <w:tc>
          <w:tcPr>
            <w:tcW w:w="6941" w:type="dxa"/>
            <w:shd w:val="clear" w:color="auto" w:fill="auto"/>
            <w:noWrap/>
            <w:vAlign w:val="center"/>
          </w:tcPr>
          <w:p w14:paraId="48BB610C" w14:textId="77777777" w:rsidR="009C55C9" w:rsidRDefault="00000000" w:rsidP="00BF374D">
            <w:pPr>
              <w:pStyle w:val="NoSpacing"/>
              <w:rPr>
                <w:u w:val="single"/>
              </w:rPr>
            </w:pPr>
            <w:hyperlink r:id="rId61">
              <w:r w:rsidR="009C55C9" w:rsidRPr="68F90AE5">
                <w:rPr>
                  <w:rFonts w:ascii="Calibri" w:eastAsia="Times New Roman" w:hAnsi="Calibri" w:cs="Calibri"/>
                  <w:color w:val="0563C1"/>
                  <w:u w:val="single"/>
                  <w:lang w:eastAsia="en-GB"/>
                </w:rPr>
                <w:t>SSP034 Combisal®125mcg/25mcg inhalers</w:t>
              </w:r>
            </w:hyperlink>
          </w:p>
        </w:tc>
        <w:tc>
          <w:tcPr>
            <w:tcW w:w="2054" w:type="dxa"/>
            <w:shd w:val="clear" w:color="auto" w:fill="auto"/>
            <w:noWrap/>
            <w:vAlign w:val="center"/>
          </w:tcPr>
          <w:p w14:paraId="5786EC30" w14:textId="77777777" w:rsidR="009C55C9" w:rsidRDefault="009C55C9" w:rsidP="00BF374D">
            <w:pPr>
              <w:pStyle w:val="NoSpacing"/>
              <w:rPr>
                <w:rFonts w:eastAsia="Times New Roman"/>
                <w:lang w:eastAsia="en-GB"/>
              </w:rPr>
            </w:pPr>
            <w:r w:rsidRPr="469BFCBA">
              <w:t>28 September 2022</w:t>
            </w:r>
          </w:p>
        </w:tc>
        <w:tc>
          <w:tcPr>
            <w:tcW w:w="1920" w:type="dxa"/>
            <w:shd w:val="clear" w:color="auto" w:fill="auto"/>
            <w:noWrap/>
            <w:vAlign w:val="center"/>
          </w:tcPr>
          <w:p w14:paraId="6E1FDDAD" w14:textId="77777777" w:rsidR="009C55C9" w:rsidRDefault="00000000" w:rsidP="00BF374D">
            <w:pPr>
              <w:pStyle w:val="NoSpacing"/>
              <w:rPr>
                <w:u w:val="single"/>
              </w:rPr>
            </w:pPr>
            <w:hyperlink r:id="rId62">
              <w:r w:rsidR="009C55C9" w:rsidRPr="68F90AE5">
                <w:rPr>
                  <w:rFonts w:ascii="Calibri" w:eastAsia="Times New Roman" w:hAnsi="Calibri" w:cs="Calibri"/>
                  <w:color w:val="0563C1"/>
                  <w:u w:val="single"/>
                  <w:lang w:eastAsia="en-GB"/>
                </w:rPr>
                <w:t>SSP034 guide</w:t>
              </w:r>
            </w:hyperlink>
          </w:p>
        </w:tc>
      </w:tr>
    </w:tbl>
    <w:p w14:paraId="201E1C01" w14:textId="77777777" w:rsidR="009C55C9" w:rsidRDefault="009C55C9" w:rsidP="009C55C9">
      <w:pPr>
        <w:spacing w:before="240"/>
        <w:rPr>
          <w:b/>
          <w:bCs/>
          <w:color w:val="000000" w:themeColor="text1"/>
          <w:u w:val="single"/>
        </w:rPr>
      </w:pPr>
      <w:r w:rsidRPr="793EF85A">
        <w:rPr>
          <w:b/>
          <w:bCs/>
          <w:color w:val="000000" w:themeColor="text1"/>
          <w:u w:val="single"/>
        </w:rPr>
        <w:t>Expired SSPs</w:t>
      </w:r>
      <w:r w:rsidRPr="6146399F">
        <w:rPr>
          <w:b/>
          <w:bCs/>
          <w:color w:val="000000" w:themeColor="text1"/>
          <w:u w:val="single"/>
        </w:rPr>
        <w:t xml:space="preserve"> (</w:t>
      </w:r>
      <w:r w:rsidRPr="27EA65AE">
        <w:rPr>
          <w:b/>
          <w:bCs/>
          <w:color w:val="000000" w:themeColor="text1"/>
          <w:u w:val="single"/>
        </w:rPr>
        <w:t>2022)</w:t>
      </w:r>
    </w:p>
    <w:p w14:paraId="3E25247C" w14:textId="77777777" w:rsidR="009C55C9" w:rsidRDefault="009C55C9" w:rsidP="009C55C9">
      <w:pPr>
        <w:pStyle w:val="NoSpacing"/>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39"/>
        <w:gridCol w:w="15"/>
        <w:gridCol w:w="1920"/>
      </w:tblGrid>
      <w:tr w:rsidR="009C55C9" w:rsidRPr="00F02CF6" w14:paraId="273FAA25" w14:textId="77777777" w:rsidTr="00BF374D">
        <w:trPr>
          <w:trHeight w:val="300"/>
          <w:tblHeader/>
        </w:trPr>
        <w:tc>
          <w:tcPr>
            <w:tcW w:w="6941" w:type="dxa"/>
            <w:shd w:val="clear" w:color="auto" w:fill="659200"/>
            <w:noWrap/>
            <w:vAlign w:val="center"/>
            <w:hideMark/>
          </w:tcPr>
          <w:p w14:paraId="31F585E2" w14:textId="77777777" w:rsidR="009C55C9" w:rsidRPr="00F02CF6" w:rsidRDefault="009C55C9" w:rsidP="00BF374D">
            <w:pPr>
              <w:rPr>
                <w:rFonts w:eastAsia="Times New Roman"/>
                <w:b/>
                <w:bCs/>
                <w:color w:val="FFFFFF"/>
                <w:lang w:eastAsia="en-GB"/>
              </w:rPr>
            </w:pPr>
            <w:r w:rsidRPr="27F71474">
              <w:rPr>
                <w:rFonts w:eastAsia="Times New Roman"/>
                <w:b/>
                <w:color w:val="FFFFFF" w:themeColor="background1"/>
                <w:lang w:eastAsia="en-GB"/>
              </w:rPr>
              <w:t>SSP</w:t>
            </w:r>
          </w:p>
        </w:tc>
        <w:tc>
          <w:tcPr>
            <w:tcW w:w="2039" w:type="dxa"/>
            <w:shd w:val="clear" w:color="auto" w:fill="659200"/>
            <w:noWrap/>
            <w:vAlign w:val="center"/>
            <w:hideMark/>
          </w:tcPr>
          <w:p w14:paraId="331E0AF7" w14:textId="77777777" w:rsidR="009C55C9" w:rsidRPr="00F02CF6" w:rsidRDefault="009C55C9" w:rsidP="00BF374D">
            <w:pPr>
              <w:rPr>
                <w:rFonts w:eastAsia="Times New Roman"/>
                <w:b/>
                <w:bCs/>
                <w:color w:val="FFFFFF"/>
                <w:lang w:eastAsia="en-GB"/>
              </w:rPr>
            </w:pPr>
            <w:r w:rsidRPr="2547C574">
              <w:rPr>
                <w:rFonts w:eastAsia="Times New Roman"/>
                <w:b/>
                <w:color w:val="FFFFFF" w:themeColor="background1"/>
                <w:lang w:eastAsia="en-GB"/>
              </w:rPr>
              <w:t>Date expired</w:t>
            </w:r>
          </w:p>
        </w:tc>
        <w:tc>
          <w:tcPr>
            <w:tcW w:w="1935" w:type="dxa"/>
            <w:gridSpan w:val="2"/>
            <w:shd w:val="clear" w:color="auto" w:fill="659200"/>
            <w:noWrap/>
            <w:vAlign w:val="center"/>
            <w:hideMark/>
          </w:tcPr>
          <w:p w14:paraId="229773BC" w14:textId="77777777" w:rsidR="009C55C9" w:rsidRPr="00F02CF6" w:rsidRDefault="009C55C9" w:rsidP="00BF374D">
            <w:pPr>
              <w:rPr>
                <w:rFonts w:eastAsia="Times New Roman"/>
                <w:b/>
                <w:bCs/>
                <w:color w:val="FFFFFF"/>
                <w:lang w:eastAsia="en-GB"/>
              </w:rPr>
            </w:pPr>
            <w:r w:rsidRPr="27F71474">
              <w:rPr>
                <w:rFonts w:eastAsia="Times New Roman"/>
                <w:b/>
                <w:color w:val="FFFFFF" w:themeColor="background1"/>
                <w:lang w:eastAsia="en-GB"/>
              </w:rPr>
              <w:t>Supporting Information</w:t>
            </w:r>
          </w:p>
        </w:tc>
      </w:tr>
      <w:tr w:rsidR="009C55C9" w:rsidRPr="00DC69FC" w14:paraId="3D6AFBF4" w14:textId="77777777" w:rsidTr="00BF374D">
        <w:trPr>
          <w:trHeight w:val="300"/>
        </w:trPr>
        <w:tc>
          <w:tcPr>
            <w:tcW w:w="6941" w:type="dxa"/>
            <w:shd w:val="clear" w:color="auto" w:fill="auto"/>
            <w:noWrap/>
            <w:vAlign w:val="center"/>
            <w:hideMark/>
          </w:tcPr>
          <w:p w14:paraId="506F25C8" w14:textId="77777777" w:rsidR="009C55C9" w:rsidRPr="00DC69FC" w:rsidRDefault="00000000" w:rsidP="00BF374D">
            <w:pPr>
              <w:rPr>
                <w:rFonts w:eastAsia="Times New Roman"/>
                <w:color w:val="0563C1"/>
                <w:u w:val="single"/>
                <w:lang w:eastAsia="en-GB"/>
              </w:rPr>
            </w:pPr>
            <w:hyperlink r:id="rId63" w:history="1">
              <w:r w:rsidR="009C55C9" w:rsidRPr="00DC69FC">
                <w:rPr>
                  <w:rFonts w:eastAsia="Times New Roman"/>
                  <w:color w:val="0563C1"/>
                  <w:u w:val="single"/>
                  <w:lang w:eastAsia="en-GB"/>
                </w:rPr>
                <w:t>SSP033 Paracetamol 120mg suppositories</w:t>
              </w:r>
            </w:hyperlink>
          </w:p>
        </w:tc>
        <w:tc>
          <w:tcPr>
            <w:tcW w:w="2054" w:type="dxa"/>
            <w:gridSpan w:val="2"/>
            <w:shd w:val="clear" w:color="auto" w:fill="auto"/>
            <w:noWrap/>
            <w:vAlign w:val="center"/>
            <w:hideMark/>
          </w:tcPr>
          <w:p w14:paraId="5309496A" w14:textId="77777777" w:rsidR="009C55C9" w:rsidRPr="00DC69FC" w:rsidRDefault="009C55C9" w:rsidP="00BF374D">
            <w:pPr>
              <w:rPr>
                <w:rFonts w:eastAsia="Times New Roman"/>
                <w:lang w:eastAsia="en-GB"/>
              </w:rPr>
            </w:pPr>
            <w:r w:rsidRPr="469BFCBA">
              <w:rPr>
                <w:rFonts w:eastAsia="Times New Roman"/>
                <w:lang w:eastAsia="en-GB"/>
              </w:rPr>
              <w:t>26 August 2022</w:t>
            </w:r>
          </w:p>
        </w:tc>
        <w:tc>
          <w:tcPr>
            <w:tcW w:w="1920" w:type="dxa"/>
            <w:shd w:val="clear" w:color="auto" w:fill="auto"/>
            <w:noWrap/>
            <w:vAlign w:val="center"/>
            <w:hideMark/>
          </w:tcPr>
          <w:p w14:paraId="26524698" w14:textId="77777777" w:rsidR="009C55C9" w:rsidRPr="00DC69FC" w:rsidRDefault="00000000" w:rsidP="00BF374D">
            <w:pPr>
              <w:rPr>
                <w:rFonts w:eastAsia="Times New Roman"/>
                <w:color w:val="0563C1"/>
                <w:u w:val="single"/>
                <w:lang w:eastAsia="en-GB"/>
              </w:rPr>
            </w:pPr>
            <w:hyperlink r:id="rId64" w:history="1">
              <w:r w:rsidR="009C55C9" w:rsidRPr="1EA93732">
                <w:rPr>
                  <w:rFonts w:eastAsia="Times New Roman"/>
                  <w:color w:val="0563C1"/>
                  <w:u w:val="single"/>
                  <w:lang w:eastAsia="en-GB"/>
                </w:rPr>
                <w:t>SSP033 guide</w:t>
              </w:r>
            </w:hyperlink>
          </w:p>
        </w:tc>
      </w:tr>
      <w:tr w:rsidR="009C55C9" w:rsidRPr="00DC69FC" w14:paraId="0EF41BDA" w14:textId="77777777" w:rsidTr="00BF374D">
        <w:trPr>
          <w:trHeight w:val="300"/>
        </w:trPr>
        <w:tc>
          <w:tcPr>
            <w:tcW w:w="6941" w:type="dxa"/>
            <w:shd w:val="clear" w:color="auto" w:fill="auto"/>
            <w:noWrap/>
            <w:vAlign w:val="center"/>
            <w:hideMark/>
          </w:tcPr>
          <w:p w14:paraId="4C508519" w14:textId="77777777" w:rsidR="009C55C9" w:rsidRPr="004246A4" w:rsidRDefault="009C55C9" w:rsidP="00BF374D">
            <w:pPr>
              <w:rPr>
                <w:rFonts w:eastAsia="Times New Roman"/>
                <w:color w:val="55318C"/>
                <w:u w:val="single"/>
                <w:lang w:eastAsia="en-GB"/>
              </w:rPr>
            </w:pPr>
            <w:r w:rsidRPr="004246A4">
              <w:rPr>
                <w:rFonts w:eastAsia="Times New Roman"/>
                <w:color w:val="55318C"/>
                <w:u w:val="single"/>
                <w:lang w:eastAsia="en-GB"/>
              </w:rPr>
              <w:t xml:space="preserve">SSP021 </w:t>
            </w:r>
            <w:proofErr w:type="spellStart"/>
            <w:r w:rsidRPr="004246A4">
              <w:rPr>
                <w:rFonts w:eastAsia="Times New Roman"/>
                <w:color w:val="55318C"/>
                <w:u w:val="single"/>
                <w:lang w:eastAsia="en-GB"/>
              </w:rPr>
              <w:t>Premique</w:t>
            </w:r>
            <w:proofErr w:type="spellEnd"/>
            <w:r w:rsidRPr="004246A4">
              <w:rPr>
                <w:rFonts w:eastAsia="Times New Roman"/>
                <w:color w:val="55318C"/>
                <w:u w:val="single"/>
                <w:lang w:eastAsia="en-GB"/>
              </w:rPr>
              <w:t>® low dose 0.3mg/1.5mg modified-release tablets – restriction</w:t>
            </w:r>
          </w:p>
        </w:tc>
        <w:tc>
          <w:tcPr>
            <w:tcW w:w="2054" w:type="dxa"/>
            <w:gridSpan w:val="2"/>
            <w:shd w:val="clear" w:color="auto" w:fill="auto"/>
            <w:noWrap/>
            <w:vAlign w:val="center"/>
            <w:hideMark/>
          </w:tcPr>
          <w:p w14:paraId="480EF888" w14:textId="77777777" w:rsidR="009C55C9" w:rsidRPr="00DC69FC" w:rsidRDefault="009C55C9" w:rsidP="00BF374D">
            <w:pPr>
              <w:rPr>
                <w:rFonts w:eastAsia="Times New Roman"/>
                <w:color w:val="444444"/>
                <w:lang w:eastAsia="en-GB"/>
              </w:rPr>
            </w:pPr>
            <w:r w:rsidRPr="00254419">
              <w:rPr>
                <w:rFonts w:eastAsia="Times New Roman"/>
                <w:color w:val="000000" w:themeColor="text1"/>
                <w:lang w:eastAsia="en-GB"/>
              </w:rPr>
              <w:t>29 July 2022</w:t>
            </w:r>
          </w:p>
        </w:tc>
        <w:tc>
          <w:tcPr>
            <w:tcW w:w="1920" w:type="dxa"/>
            <w:shd w:val="clear" w:color="auto" w:fill="auto"/>
            <w:noWrap/>
            <w:vAlign w:val="center"/>
            <w:hideMark/>
          </w:tcPr>
          <w:p w14:paraId="01615B31" w14:textId="77777777" w:rsidR="009C55C9" w:rsidRPr="00DC69FC" w:rsidRDefault="00000000" w:rsidP="00BF374D">
            <w:pPr>
              <w:rPr>
                <w:rFonts w:eastAsia="Times New Roman"/>
                <w:color w:val="0563C1"/>
                <w:u w:val="single"/>
                <w:lang w:eastAsia="en-GB"/>
              </w:rPr>
            </w:pPr>
            <w:hyperlink r:id="rId65" w:history="1">
              <w:r w:rsidR="009C55C9" w:rsidRPr="1EA93732">
                <w:rPr>
                  <w:rFonts w:eastAsia="Times New Roman"/>
                  <w:color w:val="0563C1"/>
                  <w:u w:val="single"/>
                  <w:lang w:eastAsia="en-GB"/>
                </w:rPr>
                <w:t>SSP021 guide</w:t>
              </w:r>
            </w:hyperlink>
          </w:p>
        </w:tc>
      </w:tr>
      <w:tr w:rsidR="009C55C9" w:rsidRPr="00F02CF6" w14:paraId="4AF90CB1" w14:textId="77777777" w:rsidTr="00BF374D">
        <w:trPr>
          <w:trHeight w:val="300"/>
        </w:trPr>
        <w:tc>
          <w:tcPr>
            <w:tcW w:w="6941" w:type="dxa"/>
            <w:shd w:val="clear" w:color="auto" w:fill="auto"/>
            <w:noWrap/>
            <w:vAlign w:val="center"/>
            <w:hideMark/>
          </w:tcPr>
          <w:p w14:paraId="45DD44C0" w14:textId="77777777" w:rsidR="009C55C9" w:rsidRPr="00F02CF6" w:rsidRDefault="00000000" w:rsidP="00BF374D">
            <w:pPr>
              <w:rPr>
                <w:rFonts w:eastAsia="Times New Roman"/>
                <w:color w:val="0563C1"/>
                <w:u w:val="single"/>
                <w:lang w:eastAsia="en-GB"/>
              </w:rPr>
            </w:pPr>
            <w:hyperlink r:id="rId66">
              <w:r w:rsidR="009C55C9" w:rsidRPr="0AE1B028">
                <w:rPr>
                  <w:rFonts w:eastAsia="Times New Roman"/>
                  <w:color w:val="0563C1"/>
                  <w:u w:val="single"/>
                  <w:lang w:eastAsia="en-GB"/>
                </w:rPr>
                <w:t>SSP017: Lipitor® 20mg chewable tablets</w:t>
              </w:r>
            </w:hyperlink>
          </w:p>
        </w:tc>
        <w:tc>
          <w:tcPr>
            <w:tcW w:w="2039" w:type="dxa"/>
            <w:shd w:val="clear" w:color="auto" w:fill="auto"/>
            <w:noWrap/>
            <w:vAlign w:val="center"/>
            <w:hideMark/>
          </w:tcPr>
          <w:p w14:paraId="54A354D3" w14:textId="77777777" w:rsidR="009C55C9" w:rsidRPr="00F02CF6" w:rsidRDefault="009C55C9" w:rsidP="00BF374D">
            <w:pPr>
              <w:rPr>
                <w:rFonts w:eastAsia="Times New Roman"/>
                <w:color w:val="000000"/>
                <w:lang w:eastAsia="en-GB"/>
              </w:rPr>
            </w:pPr>
            <w:r w:rsidRPr="1EA93732">
              <w:rPr>
                <w:rFonts w:eastAsia="Times New Roman"/>
                <w:color w:val="000000" w:themeColor="text1"/>
                <w:lang w:eastAsia="en-GB"/>
              </w:rPr>
              <w:t>05</w:t>
            </w:r>
            <w:r>
              <w:rPr>
                <w:rFonts w:eastAsia="Times New Roman"/>
                <w:color w:val="000000" w:themeColor="text1"/>
                <w:lang w:eastAsia="en-GB"/>
              </w:rPr>
              <w:t xml:space="preserve"> </w:t>
            </w:r>
            <w:r w:rsidRPr="1EA93732">
              <w:rPr>
                <w:rFonts w:eastAsia="Times New Roman"/>
                <w:color w:val="000000" w:themeColor="text1"/>
                <w:lang w:eastAsia="en-GB"/>
              </w:rPr>
              <w:t>Apr</w:t>
            </w:r>
            <w:r>
              <w:rPr>
                <w:rFonts w:eastAsia="Times New Roman"/>
                <w:color w:val="000000" w:themeColor="text1"/>
                <w:lang w:eastAsia="en-GB"/>
              </w:rPr>
              <w:t>il 20</w:t>
            </w:r>
            <w:r w:rsidRPr="1EA93732">
              <w:rPr>
                <w:rFonts w:eastAsia="Times New Roman"/>
                <w:color w:val="000000" w:themeColor="text1"/>
                <w:lang w:eastAsia="en-GB"/>
              </w:rPr>
              <w:t>22</w:t>
            </w:r>
          </w:p>
        </w:tc>
        <w:tc>
          <w:tcPr>
            <w:tcW w:w="1935" w:type="dxa"/>
            <w:gridSpan w:val="2"/>
            <w:shd w:val="clear" w:color="auto" w:fill="auto"/>
            <w:noWrap/>
            <w:vAlign w:val="center"/>
            <w:hideMark/>
          </w:tcPr>
          <w:p w14:paraId="18FA075C" w14:textId="77777777" w:rsidR="009C55C9" w:rsidRPr="00F02CF6" w:rsidRDefault="00000000" w:rsidP="00BF374D">
            <w:pPr>
              <w:rPr>
                <w:rFonts w:eastAsia="Times New Roman"/>
                <w:color w:val="0563C1"/>
                <w:u w:val="single"/>
                <w:lang w:eastAsia="en-GB"/>
              </w:rPr>
            </w:pPr>
            <w:hyperlink r:id="rId67">
              <w:r w:rsidR="009C55C9" w:rsidRPr="0AE1B028">
                <w:rPr>
                  <w:rFonts w:eastAsia="Times New Roman"/>
                  <w:color w:val="0563C1"/>
                  <w:u w:val="single"/>
                  <w:lang w:eastAsia="en-GB"/>
                </w:rPr>
                <w:t>SSP017 guide</w:t>
              </w:r>
            </w:hyperlink>
          </w:p>
        </w:tc>
      </w:tr>
      <w:tr w:rsidR="009C55C9" w:rsidRPr="00F02CF6" w14:paraId="2FC72317" w14:textId="77777777" w:rsidTr="00BF374D">
        <w:trPr>
          <w:trHeight w:val="300"/>
        </w:trPr>
        <w:tc>
          <w:tcPr>
            <w:tcW w:w="6941" w:type="dxa"/>
            <w:shd w:val="clear" w:color="auto" w:fill="auto"/>
            <w:noWrap/>
            <w:vAlign w:val="center"/>
            <w:hideMark/>
          </w:tcPr>
          <w:p w14:paraId="4F68CBF3" w14:textId="77777777" w:rsidR="009C55C9" w:rsidRPr="00F02CF6" w:rsidRDefault="00000000" w:rsidP="00BF374D">
            <w:pPr>
              <w:rPr>
                <w:rFonts w:eastAsia="Times New Roman"/>
                <w:color w:val="0563C1"/>
                <w:u w:val="single"/>
                <w:lang w:eastAsia="en-GB"/>
              </w:rPr>
            </w:pPr>
            <w:hyperlink r:id="rId68">
              <w:r w:rsidR="009C55C9" w:rsidRPr="0AE1B028">
                <w:rPr>
                  <w:rFonts w:eastAsia="Times New Roman"/>
                  <w:color w:val="0563C1"/>
                  <w:u w:val="single"/>
                  <w:lang w:eastAsia="en-GB"/>
                </w:rPr>
                <w:t xml:space="preserve">SSP014: </w:t>
              </w:r>
              <w:proofErr w:type="spellStart"/>
              <w:r w:rsidR="009C55C9" w:rsidRPr="0AE1B028">
                <w:rPr>
                  <w:rFonts w:eastAsia="Times New Roman"/>
                  <w:color w:val="0563C1"/>
                  <w:u w:val="single"/>
                  <w:lang w:eastAsia="en-GB"/>
                </w:rPr>
                <w:t>Salazopyrin</w:t>
              </w:r>
              <w:proofErr w:type="spellEnd"/>
              <w:r w:rsidR="009C55C9" w:rsidRPr="0AE1B028">
                <w:rPr>
                  <w:rFonts w:eastAsia="Times New Roman"/>
                  <w:color w:val="0563C1"/>
                  <w:u w:val="single"/>
                  <w:lang w:eastAsia="en-GB"/>
                </w:rPr>
                <w:t>® EN-Tabs 500mg</w:t>
              </w:r>
            </w:hyperlink>
          </w:p>
        </w:tc>
        <w:tc>
          <w:tcPr>
            <w:tcW w:w="2039" w:type="dxa"/>
            <w:shd w:val="clear" w:color="auto" w:fill="auto"/>
            <w:noWrap/>
            <w:vAlign w:val="center"/>
            <w:hideMark/>
          </w:tcPr>
          <w:p w14:paraId="02650777" w14:textId="77777777" w:rsidR="009C55C9" w:rsidRPr="00F02CF6" w:rsidRDefault="009C55C9" w:rsidP="00BF374D">
            <w:pPr>
              <w:rPr>
                <w:rFonts w:eastAsia="Times New Roman"/>
                <w:color w:val="000000"/>
                <w:lang w:eastAsia="en-GB"/>
              </w:rPr>
            </w:pPr>
            <w:r w:rsidRPr="1EA93732">
              <w:rPr>
                <w:rFonts w:eastAsia="Times New Roman"/>
                <w:color w:val="000000" w:themeColor="text1"/>
                <w:lang w:eastAsia="en-GB"/>
              </w:rPr>
              <w:t>01</w:t>
            </w:r>
            <w:r>
              <w:rPr>
                <w:rFonts w:eastAsia="Times New Roman"/>
                <w:color w:val="000000" w:themeColor="text1"/>
                <w:lang w:eastAsia="en-GB"/>
              </w:rPr>
              <w:t xml:space="preserve"> </w:t>
            </w:r>
            <w:r w:rsidRPr="1EA93732">
              <w:rPr>
                <w:rFonts w:eastAsia="Times New Roman"/>
                <w:color w:val="000000" w:themeColor="text1"/>
                <w:lang w:eastAsia="en-GB"/>
              </w:rPr>
              <w:t>Apr</w:t>
            </w:r>
            <w:r>
              <w:rPr>
                <w:rFonts w:eastAsia="Times New Roman"/>
                <w:color w:val="000000" w:themeColor="text1"/>
                <w:lang w:eastAsia="en-GB"/>
              </w:rPr>
              <w:t>il 20</w:t>
            </w:r>
            <w:r w:rsidRPr="1EA93732">
              <w:rPr>
                <w:rFonts w:eastAsia="Times New Roman"/>
                <w:color w:val="000000" w:themeColor="text1"/>
                <w:lang w:eastAsia="en-GB"/>
              </w:rPr>
              <w:t>22</w:t>
            </w:r>
          </w:p>
        </w:tc>
        <w:tc>
          <w:tcPr>
            <w:tcW w:w="1935" w:type="dxa"/>
            <w:gridSpan w:val="2"/>
            <w:shd w:val="clear" w:color="auto" w:fill="auto"/>
            <w:noWrap/>
            <w:vAlign w:val="center"/>
            <w:hideMark/>
          </w:tcPr>
          <w:p w14:paraId="78DC2011" w14:textId="77777777" w:rsidR="009C55C9" w:rsidRPr="00F02CF6" w:rsidRDefault="00000000" w:rsidP="00BF374D">
            <w:pPr>
              <w:rPr>
                <w:rFonts w:eastAsia="Times New Roman"/>
                <w:color w:val="0563C1"/>
                <w:u w:val="single"/>
                <w:lang w:eastAsia="en-GB"/>
              </w:rPr>
            </w:pPr>
            <w:hyperlink r:id="rId69">
              <w:r w:rsidR="009C55C9" w:rsidRPr="0AE1B028">
                <w:rPr>
                  <w:rFonts w:eastAsia="Times New Roman"/>
                  <w:color w:val="0563C1"/>
                  <w:u w:val="single"/>
                  <w:lang w:eastAsia="en-GB"/>
                </w:rPr>
                <w:t>SSP014 guide</w:t>
              </w:r>
            </w:hyperlink>
          </w:p>
        </w:tc>
      </w:tr>
      <w:tr w:rsidR="009C55C9" w:rsidRPr="00F02CF6" w14:paraId="58066D75" w14:textId="77777777" w:rsidTr="00BF374D">
        <w:trPr>
          <w:trHeight w:val="300"/>
        </w:trPr>
        <w:tc>
          <w:tcPr>
            <w:tcW w:w="6941" w:type="dxa"/>
            <w:shd w:val="clear" w:color="auto" w:fill="auto"/>
            <w:noWrap/>
            <w:vAlign w:val="center"/>
            <w:hideMark/>
          </w:tcPr>
          <w:p w14:paraId="0599FDF4" w14:textId="77777777" w:rsidR="009C55C9" w:rsidRPr="00F02CF6" w:rsidRDefault="00000000" w:rsidP="00BF374D">
            <w:pPr>
              <w:rPr>
                <w:rFonts w:eastAsia="Times New Roman"/>
                <w:color w:val="0563C1"/>
                <w:u w:val="single"/>
                <w:lang w:eastAsia="en-GB"/>
              </w:rPr>
            </w:pPr>
            <w:hyperlink r:id="rId70">
              <w:r w:rsidR="009C55C9" w:rsidRPr="0AE1B028">
                <w:rPr>
                  <w:rFonts w:eastAsia="Times New Roman"/>
                  <w:color w:val="0563C1"/>
                  <w:u w:val="single"/>
                  <w:lang w:eastAsia="en-GB"/>
                </w:rPr>
                <w:t xml:space="preserve">SSP018: </w:t>
              </w:r>
              <w:proofErr w:type="spellStart"/>
              <w:r w:rsidR="009C55C9" w:rsidRPr="0AE1B028">
                <w:rPr>
                  <w:rFonts w:eastAsia="Times New Roman"/>
                  <w:color w:val="0563C1"/>
                  <w:u w:val="single"/>
                  <w:lang w:eastAsia="en-GB"/>
                </w:rPr>
                <w:t>Salazopyrin</w:t>
              </w:r>
              <w:proofErr w:type="spellEnd"/>
              <w:r w:rsidR="009C55C9" w:rsidRPr="0AE1B028">
                <w:rPr>
                  <w:rFonts w:eastAsia="Times New Roman"/>
                  <w:color w:val="0563C1"/>
                  <w:u w:val="single"/>
                  <w:lang w:eastAsia="en-GB"/>
                </w:rPr>
                <w:t>® 500mg tablets</w:t>
              </w:r>
            </w:hyperlink>
          </w:p>
        </w:tc>
        <w:tc>
          <w:tcPr>
            <w:tcW w:w="2039" w:type="dxa"/>
            <w:shd w:val="clear" w:color="auto" w:fill="auto"/>
            <w:noWrap/>
            <w:vAlign w:val="center"/>
            <w:hideMark/>
          </w:tcPr>
          <w:p w14:paraId="7FB02FE3" w14:textId="77777777" w:rsidR="009C55C9" w:rsidRPr="00F02CF6" w:rsidRDefault="009C55C9" w:rsidP="00BF374D">
            <w:pPr>
              <w:rPr>
                <w:rFonts w:eastAsia="Times New Roman"/>
                <w:color w:val="000000"/>
                <w:lang w:eastAsia="en-GB"/>
              </w:rPr>
            </w:pPr>
            <w:r w:rsidRPr="1EA93732">
              <w:rPr>
                <w:rFonts w:eastAsia="Times New Roman"/>
                <w:color w:val="000000" w:themeColor="text1"/>
                <w:lang w:eastAsia="en-GB"/>
              </w:rPr>
              <w:t>25</w:t>
            </w:r>
            <w:r>
              <w:rPr>
                <w:rFonts w:eastAsia="Times New Roman"/>
                <w:color w:val="000000" w:themeColor="text1"/>
                <w:lang w:eastAsia="en-GB"/>
              </w:rPr>
              <w:t xml:space="preserve"> </w:t>
            </w:r>
            <w:r w:rsidRPr="1EA93732">
              <w:rPr>
                <w:rFonts w:eastAsia="Times New Roman"/>
                <w:color w:val="000000" w:themeColor="text1"/>
                <w:lang w:eastAsia="en-GB"/>
              </w:rPr>
              <w:t>Mar</w:t>
            </w:r>
            <w:r>
              <w:rPr>
                <w:rFonts w:eastAsia="Times New Roman"/>
                <w:color w:val="000000" w:themeColor="text1"/>
                <w:lang w:eastAsia="en-GB"/>
              </w:rPr>
              <w:t>ch 20</w:t>
            </w:r>
            <w:r w:rsidRPr="1EA93732">
              <w:rPr>
                <w:rFonts w:eastAsia="Times New Roman"/>
                <w:color w:val="000000" w:themeColor="text1"/>
                <w:lang w:eastAsia="en-GB"/>
              </w:rPr>
              <w:t>22</w:t>
            </w:r>
          </w:p>
        </w:tc>
        <w:tc>
          <w:tcPr>
            <w:tcW w:w="1935" w:type="dxa"/>
            <w:gridSpan w:val="2"/>
            <w:shd w:val="clear" w:color="auto" w:fill="auto"/>
            <w:noWrap/>
            <w:vAlign w:val="center"/>
            <w:hideMark/>
          </w:tcPr>
          <w:p w14:paraId="252A04CA" w14:textId="77777777" w:rsidR="009C55C9" w:rsidRPr="00F02CF6" w:rsidRDefault="00000000" w:rsidP="00BF374D">
            <w:pPr>
              <w:rPr>
                <w:rFonts w:eastAsia="Times New Roman"/>
                <w:color w:val="0563C1"/>
                <w:u w:val="single"/>
                <w:lang w:eastAsia="en-GB"/>
              </w:rPr>
            </w:pPr>
            <w:hyperlink r:id="rId71">
              <w:r w:rsidR="009C55C9" w:rsidRPr="0AE1B028">
                <w:rPr>
                  <w:rFonts w:eastAsia="Times New Roman"/>
                  <w:color w:val="0563C1"/>
                  <w:u w:val="single"/>
                  <w:lang w:eastAsia="en-GB"/>
                </w:rPr>
                <w:t>SSP018 guide</w:t>
              </w:r>
            </w:hyperlink>
          </w:p>
        </w:tc>
      </w:tr>
      <w:tr w:rsidR="009C55C9" w:rsidRPr="00F02CF6" w14:paraId="71E66D42" w14:textId="77777777" w:rsidTr="00BF374D">
        <w:trPr>
          <w:trHeight w:val="300"/>
        </w:trPr>
        <w:tc>
          <w:tcPr>
            <w:tcW w:w="6941" w:type="dxa"/>
            <w:shd w:val="clear" w:color="auto" w:fill="auto"/>
            <w:noWrap/>
            <w:vAlign w:val="center"/>
            <w:hideMark/>
          </w:tcPr>
          <w:p w14:paraId="09A20490" w14:textId="77777777" w:rsidR="009C55C9" w:rsidRPr="00F02CF6" w:rsidRDefault="00000000" w:rsidP="00BF374D">
            <w:pPr>
              <w:rPr>
                <w:rFonts w:eastAsia="Times New Roman"/>
                <w:color w:val="0563C1"/>
                <w:u w:val="single"/>
                <w:lang w:eastAsia="en-GB"/>
              </w:rPr>
            </w:pPr>
            <w:hyperlink r:id="rId72">
              <w:r w:rsidR="009C55C9" w:rsidRPr="0AE1B028">
                <w:rPr>
                  <w:rFonts w:eastAsia="Times New Roman"/>
                  <w:color w:val="0563C1"/>
                  <w:u w:val="single"/>
                  <w:lang w:eastAsia="en-GB"/>
                </w:rPr>
                <w:t>SSP016: Lipitor® 10mg chewable tablets</w:t>
              </w:r>
            </w:hyperlink>
          </w:p>
        </w:tc>
        <w:tc>
          <w:tcPr>
            <w:tcW w:w="2039" w:type="dxa"/>
            <w:shd w:val="clear" w:color="auto" w:fill="auto"/>
            <w:noWrap/>
            <w:vAlign w:val="center"/>
            <w:hideMark/>
          </w:tcPr>
          <w:p w14:paraId="2795C0BC" w14:textId="77777777" w:rsidR="009C55C9" w:rsidRPr="00F02CF6" w:rsidRDefault="009C55C9" w:rsidP="00BF374D">
            <w:pPr>
              <w:rPr>
                <w:rFonts w:eastAsia="Times New Roman"/>
                <w:color w:val="000000"/>
                <w:lang w:eastAsia="en-GB"/>
              </w:rPr>
            </w:pPr>
            <w:r w:rsidRPr="1EA93732">
              <w:rPr>
                <w:rFonts w:eastAsia="Times New Roman"/>
                <w:color w:val="000000" w:themeColor="text1"/>
                <w:lang w:eastAsia="en-GB"/>
              </w:rPr>
              <w:t>18</w:t>
            </w:r>
            <w:r>
              <w:rPr>
                <w:rFonts w:eastAsia="Times New Roman"/>
                <w:color w:val="000000" w:themeColor="text1"/>
                <w:lang w:eastAsia="en-GB"/>
              </w:rPr>
              <w:t xml:space="preserve"> </w:t>
            </w:r>
            <w:r w:rsidRPr="1EA93732">
              <w:rPr>
                <w:rFonts w:eastAsia="Times New Roman"/>
                <w:color w:val="000000" w:themeColor="text1"/>
                <w:lang w:eastAsia="en-GB"/>
              </w:rPr>
              <w:t>Mar</w:t>
            </w:r>
            <w:r>
              <w:rPr>
                <w:rFonts w:eastAsia="Times New Roman"/>
                <w:color w:val="000000" w:themeColor="text1"/>
                <w:lang w:eastAsia="en-GB"/>
              </w:rPr>
              <w:t xml:space="preserve">ch </w:t>
            </w:r>
            <w:r w:rsidRPr="1EA93732">
              <w:rPr>
                <w:rFonts w:eastAsia="Times New Roman"/>
                <w:color w:val="000000" w:themeColor="text1"/>
                <w:lang w:eastAsia="en-GB"/>
              </w:rPr>
              <w:t>2022</w:t>
            </w:r>
          </w:p>
        </w:tc>
        <w:tc>
          <w:tcPr>
            <w:tcW w:w="1935" w:type="dxa"/>
            <w:gridSpan w:val="2"/>
            <w:shd w:val="clear" w:color="auto" w:fill="auto"/>
            <w:noWrap/>
            <w:vAlign w:val="center"/>
            <w:hideMark/>
          </w:tcPr>
          <w:p w14:paraId="370FBD85" w14:textId="77777777" w:rsidR="009C55C9" w:rsidRPr="00F02CF6" w:rsidRDefault="00000000" w:rsidP="00BF374D">
            <w:pPr>
              <w:rPr>
                <w:rFonts w:eastAsia="Times New Roman"/>
                <w:color w:val="0563C1"/>
                <w:u w:val="single"/>
                <w:lang w:eastAsia="en-GB"/>
              </w:rPr>
            </w:pPr>
            <w:hyperlink r:id="rId73">
              <w:r w:rsidR="009C55C9" w:rsidRPr="0AE1B028">
                <w:rPr>
                  <w:rFonts w:eastAsia="Times New Roman"/>
                  <w:color w:val="0563C1"/>
                  <w:u w:val="single"/>
                  <w:lang w:eastAsia="en-GB"/>
                </w:rPr>
                <w:t>SSP016 guide</w:t>
              </w:r>
            </w:hyperlink>
          </w:p>
        </w:tc>
      </w:tr>
      <w:tr w:rsidR="009C55C9" w:rsidRPr="00F02CF6" w14:paraId="51DEDCF2" w14:textId="77777777" w:rsidTr="00BF374D">
        <w:trPr>
          <w:trHeight w:val="315"/>
        </w:trPr>
        <w:tc>
          <w:tcPr>
            <w:tcW w:w="6941" w:type="dxa"/>
            <w:shd w:val="clear" w:color="auto" w:fill="auto"/>
            <w:noWrap/>
            <w:vAlign w:val="center"/>
            <w:hideMark/>
          </w:tcPr>
          <w:p w14:paraId="2FFA63EE" w14:textId="77777777" w:rsidR="009C55C9" w:rsidRPr="00F02CF6" w:rsidRDefault="00000000" w:rsidP="00BF374D">
            <w:pPr>
              <w:rPr>
                <w:rFonts w:eastAsia="Times New Roman"/>
                <w:color w:val="0563C1"/>
                <w:u w:val="single"/>
                <w:lang w:eastAsia="en-GB"/>
              </w:rPr>
            </w:pPr>
            <w:hyperlink r:id="rId74">
              <w:r w:rsidR="009C55C9" w:rsidRPr="0AE1B028">
                <w:rPr>
                  <w:rFonts w:eastAsia="Times New Roman"/>
                  <w:color w:val="0563C1"/>
                  <w:u w:val="single"/>
                  <w:lang w:eastAsia="en-GB"/>
                </w:rPr>
                <w:t>SSP015: Paracetamol 120mg &amp; 240mg suppositories</w:t>
              </w:r>
            </w:hyperlink>
          </w:p>
        </w:tc>
        <w:tc>
          <w:tcPr>
            <w:tcW w:w="2039" w:type="dxa"/>
            <w:shd w:val="clear" w:color="auto" w:fill="auto"/>
            <w:noWrap/>
            <w:vAlign w:val="center"/>
            <w:hideMark/>
          </w:tcPr>
          <w:p w14:paraId="33D86B1E" w14:textId="77777777" w:rsidR="009C55C9" w:rsidRPr="00F02CF6" w:rsidRDefault="009C55C9" w:rsidP="00BF374D">
            <w:pPr>
              <w:rPr>
                <w:rFonts w:eastAsia="Times New Roman"/>
                <w:color w:val="000000"/>
                <w:lang w:eastAsia="en-GB"/>
              </w:rPr>
            </w:pPr>
            <w:r w:rsidRPr="1EA93732">
              <w:rPr>
                <w:rFonts w:eastAsia="Times New Roman"/>
                <w:color w:val="000000" w:themeColor="text1"/>
                <w:lang w:eastAsia="en-GB"/>
              </w:rPr>
              <w:t>04</w:t>
            </w:r>
            <w:r>
              <w:rPr>
                <w:rFonts w:eastAsia="Times New Roman"/>
                <w:color w:val="000000" w:themeColor="text1"/>
                <w:lang w:eastAsia="en-GB"/>
              </w:rPr>
              <w:t xml:space="preserve"> </w:t>
            </w:r>
            <w:r w:rsidRPr="1EA93732">
              <w:rPr>
                <w:rFonts w:eastAsia="Times New Roman"/>
                <w:color w:val="000000" w:themeColor="text1"/>
                <w:lang w:eastAsia="en-GB"/>
              </w:rPr>
              <w:t>Mar</w:t>
            </w:r>
            <w:r>
              <w:rPr>
                <w:rFonts w:eastAsia="Times New Roman"/>
                <w:color w:val="000000" w:themeColor="text1"/>
                <w:lang w:eastAsia="en-GB"/>
              </w:rPr>
              <w:t>ch 20</w:t>
            </w:r>
            <w:r w:rsidRPr="1EA93732">
              <w:rPr>
                <w:rFonts w:eastAsia="Times New Roman"/>
                <w:color w:val="000000" w:themeColor="text1"/>
                <w:lang w:eastAsia="en-GB"/>
              </w:rPr>
              <w:t>22</w:t>
            </w:r>
          </w:p>
        </w:tc>
        <w:tc>
          <w:tcPr>
            <w:tcW w:w="1935" w:type="dxa"/>
            <w:gridSpan w:val="2"/>
            <w:shd w:val="clear" w:color="auto" w:fill="auto"/>
            <w:noWrap/>
            <w:vAlign w:val="center"/>
            <w:hideMark/>
          </w:tcPr>
          <w:p w14:paraId="10922695" w14:textId="77777777" w:rsidR="009C55C9" w:rsidRPr="00F02CF6" w:rsidRDefault="00000000" w:rsidP="00BF374D">
            <w:pPr>
              <w:rPr>
                <w:rFonts w:eastAsia="Times New Roman"/>
                <w:color w:val="0563C1"/>
                <w:u w:val="single"/>
                <w:lang w:eastAsia="en-GB"/>
              </w:rPr>
            </w:pPr>
            <w:hyperlink r:id="rId75">
              <w:r w:rsidR="009C55C9" w:rsidRPr="0AE1B028">
                <w:rPr>
                  <w:rFonts w:eastAsia="Times New Roman"/>
                  <w:color w:val="0563C1"/>
                  <w:u w:val="single"/>
                  <w:lang w:eastAsia="en-GB"/>
                </w:rPr>
                <w:t>SSP015 guide</w:t>
              </w:r>
            </w:hyperlink>
          </w:p>
        </w:tc>
      </w:tr>
      <w:tr w:rsidR="009C55C9" w:rsidRPr="00F02CF6" w14:paraId="31A76146" w14:textId="77777777" w:rsidTr="00BF374D">
        <w:trPr>
          <w:trHeight w:val="300"/>
        </w:trPr>
        <w:tc>
          <w:tcPr>
            <w:tcW w:w="6941" w:type="dxa"/>
            <w:shd w:val="clear" w:color="auto" w:fill="auto"/>
            <w:noWrap/>
            <w:vAlign w:val="center"/>
            <w:hideMark/>
          </w:tcPr>
          <w:p w14:paraId="6DCF204E" w14:textId="77777777" w:rsidR="009C55C9" w:rsidRPr="00F02CF6" w:rsidRDefault="00000000" w:rsidP="00BF374D">
            <w:pPr>
              <w:rPr>
                <w:rFonts w:eastAsia="Times New Roman"/>
                <w:color w:val="0563C1"/>
                <w:u w:val="single"/>
                <w:lang w:eastAsia="en-GB"/>
              </w:rPr>
            </w:pPr>
            <w:hyperlink r:id="rId76">
              <w:r w:rsidR="009C55C9" w:rsidRPr="0AE1B028">
                <w:rPr>
                  <w:rFonts w:eastAsia="Times New Roman"/>
                  <w:color w:val="0563C1"/>
                  <w:u w:val="single"/>
                  <w:lang w:eastAsia="en-GB"/>
                </w:rPr>
                <w:t>SSP013: Lipitor® 20mg chewable tablets </w:t>
              </w:r>
            </w:hyperlink>
          </w:p>
        </w:tc>
        <w:tc>
          <w:tcPr>
            <w:tcW w:w="2039" w:type="dxa"/>
            <w:shd w:val="clear" w:color="auto" w:fill="auto"/>
            <w:noWrap/>
            <w:vAlign w:val="center"/>
            <w:hideMark/>
          </w:tcPr>
          <w:p w14:paraId="3E173BDC" w14:textId="77777777" w:rsidR="009C55C9" w:rsidRPr="00F02CF6" w:rsidRDefault="009C55C9" w:rsidP="00BF374D">
            <w:pPr>
              <w:rPr>
                <w:rFonts w:eastAsia="Times New Roman"/>
                <w:color w:val="000000"/>
                <w:lang w:eastAsia="en-GB"/>
              </w:rPr>
            </w:pPr>
            <w:r w:rsidRPr="1EA93732">
              <w:rPr>
                <w:rFonts w:eastAsia="Times New Roman"/>
                <w:color w:val="000000" w:themeColor="text1"/>
                <w:lang w:eastAsia="en-GB"/>
              </w:rPr>
              <w:t>12</w:t>
            </w:r>
            <w:r>
              <w:rPr>
                <w:rFonts w:eastAsia="Times New Roman"/>
                <w:color w:val="000000" w:themeColor="text1"/>
                <w:lang w:eastAsia="en-GB"/>
              </w:rPr>
              <w:t xml:space="preserve"> </w:t>
            </w:r>
            <w:r w:rsidRPr="1EA93732">
              <w:rPr>
                <w:rFonts w:eastAsia="Times New Roman"/>
                <w:color w:val="000000" w:themeColor="text1"/>
                <w:lang w:eastAsia="en-GB"/>
              </w:rPr>
              <w:t>Jan</w:t>
            </w:r>
            <w:r>
              <w:rPr>
                <w:rFonts w:eastAsia="Times New Roman"/>
                <w:color w:val="000000" w:themeColor="text1"/>
                <w:lang w:eastAsia="en-GB"/>
              </w:rPr>
              <w:t>uary 20</w:t>
            </w:r>
            <w:r w:rsidRPr="1EA93732">
              <w:rPr>
                <w:rFonts w:eastAsia="Times New Roman"/>
                <w:color w:val="000000" w:themeColor="text1"/>
                <w:lang w:eastAsia="en-GB"/>
              </w:rPr>
              <w:t>22</w:t>
            </w:r>
          </w:p>
        </w:tc>
        <w:tc>
          <w:tcPr>
            <w:tcW w:w="1935" w:type="dxa"/>
            <w:gridSpan w:val="2"/>
            <w:shd w:val="clear" w:color="auto" w:fill="auto"/>
            <w:noWrap/>
            <w:vAlign w:val="center"/>
            <w:hideMark/>
          </w:tcPr>
          <w:p w14:paraId="1C603393" w14:textId="77777777" w:rsidR="009C55C9" w:rsidRPr="00F02CF6" w:rsidRDefault="00000000" w:rsidP="00BF374D">
            <w:pPr>
              <w:rPr>
                <w:rFonts w:eastAsia="Times New Roman"/>
                <w:color w:val="0563C1"/>
                <w:u w:val="single"/>
                <w:lang w:eastAsia="en-GB"/>
              </w:rPr>
            </w:pPr>
            <w:hyperlink r:id="rId77">
              <w:r w:rsidR="009C55C9" w:rsidRPr="0AE1B028">
                <w:rPr>
                  <w:rFonts w:eastAsia="Times New Roman"/>
                  <w:color w:val="0563C1"/>
                  <w:u w:val="single"/>
                  <w:lang w:eastAsia="en-GB"/>
                </w:rPr>
                <w:t>SSP013 guide</w:t>
              </w:r>
            </w:hyperlink>
          </w:p>
        </w:tc>
      </w:tr>
    </w:tbl>
    <w:p w14:paraId="7D4B9038" w14:textId="77777777" w:rsidR="009C55C9" w:rsidRPr="00B45388" w:rsidRDefault="009C55C9" w:rsidP="009C55C9">
      <w:pPr>
        <w:spacing w:before="240"/>
        <w:rPr>
          <w:color w:val="000000" w:themeColor="text1"/>
        </w:rPr>
      </w:pPr>
      <w:r w:rsidRPr="469BFCBA">
        <w:rPr>
          <w:color w:val="000000" w:themeColor="text1"/>
        </w:rPr>
        <w:t xml:space="preserve">Further information on SSPs can be found on PSNC’s </w:t>
      </w:r>
      <w:hyperlink r:id="rId78">
        <w:r w:rsidRPr="469BFCBA">
          <w:rPr>
            <w:rStyle w:val="Hyperlink"/>
          </w:rPr>
          <w:t>Live SSPs</w:t>
        </w:r>
      </w:hyperlink>
      <w:r w:rsidRPr="469BFCBA">
        <w:rPr>
          <w:color w:val="000000" w:themeColor="text1"/>
        </w:rPr>
        <w:t xml:space="preserve"> webpage</w:t>
      </w:r>
      <w:r>
        <w:br/>
      </w:r>
      <w:r>
        <w:br/>
      </w:r>
      <w:r>
        <w:br/>
      </w:r>
      <w:r w:rsidRPr="469BFCBA">
        <w:rPr>
          <w:rFonts w:ascii="Calibri Light" w:eastAsia="Calibri Light" w:hAnsi="Calibri Light" w:cs="Calibri Light"/>
          <w:color w:val="2F5496" w:themeColor="accent1" w:themeShade="BF"/>
          <w:sz w:val="32"/>
          <w:szCs w:val="32"/>
        </w:rPr>
        <w:t>Reminder: New Account Identifier Document for submission of paper prescriptions</w:t>
      </w:r>
    </w:p>
    <w:p w14:paraId="56E8B3B9" w14:textId="77777777" w:rsidR="009C55C9" w:rsidRPr="00B45388" w:rsidRDefault="009C55C9" w:rsidP="009C55C9">
      <w:pPr>
        <w:jc w:val="both"/>
        <w:rPr>
          <w:color w:val="000000" w:themeColor="text1"/>
        </w:rPr>
      </w:pPr>
    </w:p>
    <w:p w14:paraId="384391F4" w14:textId="77777777" w:rsidR="009C55C9" w:rsidRPr="00B45388" w:rsidRDefault="009C55C9" w:rsidP="009C55C9">
      <w:pPr>
        <w:jc w:val="both"/>
        <w:rPr>
          <w:rFonts w:eastAsia="Times New Roman"/>
          <w:color w:val="000000" w:themeColor="text1"/>
        </w:rPr>
      </w:pPr>
      <w:r w:rsidRPr="469BFCBA">
        <w:rPr>
          <w:color w:val="000000" w:themeColor="text1"/>
        </w:rPr>
        <w:t>Pharmacy contractors are reminded that from August 2022 (for July 2022 prescriptions), pharmacy contractors no longer need to print and submit a paper copy of their completed FP34C declaration made through the </w:t>
      </w:r>
      <w:hyperlink r:id="rId79">
        <w:r w:rsidRPr="469BFCBA">
          <w:rPr>
            <w:rStyle w:val="Hyperlink"/>
            <w:b/>
            <w:bCs/>
            <w:color w:val="000000" w:themeColor="text1"/>
          </w:rPr>
          <w:t>Manage Your Service (MYS) portal</w:t>
        </w:r>
      </w:hyperlink>
      <w:r w:rsidRPr="469BFCBA">
        <w:rPr>
          <w:color w:val="000000" w:themeColor="text1"/>
        </w:rPr>
        <w:t> when submitting their paper prescription bundle to the NHS Business Services Authority (NHSBSA).</w:t>
      </w:r>
    </w:p>
    <w:p w14:paraId="13431E00" w14:textId="77777777" w:rsidR="009C55C9" w:rsidRPr="00B45388" w:rsidRDefault="009C55C9" w:rsidP="009C55C9">
      <w:pPr>
        <w:pStyle w:val="NormalWeb"/>
        <w:shd w:val="clear" w:color="auto" w:fill="FFFFFF"/>
        <w:jc w:val="both"/>
        <w:rPr>
          <w:rFonts w:asciiTheme="minorHAnsi" w:hAnsiTheme="minorHAnsi" w:cstheme="minorHAnsi"/>
          <w:color w:val="000000" w:themeColor="text1"/>
          <w:sz w:val="22"/>
          <w:szCs w:val="22"/>
        </w:rPr>
      </w:pPr>
    </w:p>
    <w:p w14:paraId="10E2B01B" w14:textId="77777777" w:rsidR="009C55C9" w:rsidRPr="00B45388" w:rsidRDefault="009C55C9" w:rsidP="009C55C9">
      <w:pPr>
        <w:pStyle w:val="NormalWeb"/>
        <w:shd w:val="clear" w:color="auto" w:fill="FFFFFF" w:themeFill="background1"/>
        <w:jc w:val="both"/>
        <w:rPr>
          <w:rFonts w:asciiTheme="minorHAnsi" w:hAnsiTheme="minorHAnsi" w:cstheme="minorBidi"/>
          <w:color w:val="000000" w:themeColor="text1"/>
          <w:sz w:val="22"/>
          <w:szCs w:val="22"/>
        </w:rPr>
      </w:pPr>
      <w:r w:rsidRPr="68F90AE5">
        <w:rPr>
          <w:rFonts w:asciiTheme="minorHAnsi" w:hAnsiTheme="minorHAnsi" w:cstheme="minorBidi"/>
          <w:color w:val="000000" w:themeColor="text1"/>
          <w:sz w:val="22"/>
          <w:szCs w:val="22"/>
        </w:rPr>
        <w:t>Instead, NHSBSA will post out a paper Account Identifier Document, along with the red separators and pharmacy address labels each month. The Account Identifier Document should be placed alongside the paper prescription bundle before it is dispatched for payment to the relevant pricing division of NHSBSA. The Account Identifier Document will allow the NHSBSA to easily identify the pharmacy that has submitted the prescription bundle, which will help to speed up prescription processing. If the Account Identifier Document is lost or misplaced, contractors will still be able to download and print another copy from MYS. The July 2022 Drug Tariff was updated to reflect this change.</w:t>
      </w:r>
    </w:p>
    <w:p w14:paraId="638AC7EF" w14:textId="77777777" w:rsidR="009C55C9" w:rsidRPr="00B45388" w:rsidRDefault="009C55C9" w:rsidP="009C55C9">
      <w:pPr>
        <w:pStyle w:val="NormalWeb"/>
        <w:shd w:val="clear" w:color="auto" w:fill="FFFFFF" w:themeFill="background1"/>
        <w:jc w:val="both"/>
        <w:rPr>
          <w:rFonts w:asciiTheme="minorHAnsi" w:hAnsiTheme="minorHAnsi" w:cstheme="minorBidi"/>
          <w:color w:val="000000" w:themeColor="text1"/>
          <w:sz w:val="22"/>
          <w:szCs w:val="22"/>
        </w:rPr>
      </w:pPr>
    </w:p>
    <w:p w14:paraId="5E250AA4" w14:textId="77777777" w:rsidR="009C55C9" w:rsidRPr="00B45388" w:rsidRDefault="009C55C9" w:rsidP="009C55C9">
      <w:pPr>
        <w:pStyle w:val="NormalWeb"/>
        <w:shd w:val="clear" w:color="auto" w:fill="FFFFFF" w:themeFill="background1"/>
        <w:jc w:val="both"/>
        <w:rPr>
          <w:rFonts w:asciiTheme="minorHAnsi" w:hAnsiTheme="minorHAnsi" w:cstheme="minorBidi"/>
          <w:color w:val="000000" w:themeColor="text1"/>
          <w:sz w:val="22"/>
          <w:szCs w:val="22"/>
        </w:rPr>
      </w:pPr>
      <w:r w:rsidRPr="68F90AE5">
        <w:rPr>
          <w:rFonts w:asciiTheme="minorHAnsi" w:hAnsiTheme="minorHAnsi" w:cstheme="minorBidi"/>
          <w:color w:val="000000" w:themeColor="text1"/>
          <w:sz w:val="22"/>
          <w:szCs w:val="22"/>
        </w:rPr>
        <w:t>Contractors must continue to submit their FP34C declaration via MYS by the 5th day of the following month in which the supply was made. NHSBSA uses the figures submitted electronically through MYS to calculate pharmacy payments including advance payments.</w:t>
      </w:r>
    </w:p>
    <w:p w14:paraId="4E162838" w14:textId="77777777" w:rsidR="009C55C9" w:rsidRPr="00B45388" w:rsidRDefault="009C55C9" w:rsidP="009C55C9">
      <w:pPr>
        <w:pStyle w:val="NormalWeb"/>
        <w:shd w:val="clear" w:color="auto" w:fill="FFFFFF" w:themeFill="background1"/>
        <w:jc w:val="both"/>
        <w:rPr>
          <w:rFonts w:asciiTheme="minorHAnsi" w:hAnsiTheme="minorHAnsi" w:cstheme="minorBidi"/>
          <w:color w:val="000000" w:themeColor="text1"/>
          <w:sz w:val="22"/>
          <w:szCs w:val="22"/>
        </w:rPr>
      </w:pPr>
    </w:p>
    <w:p w14:paraId="4311C2BC" w14:textId="77777777" w:rsidR="009C55C9" w:rsidRPr="00B45388" w:rsidRDefault="009C55C9" w:rsidP="009C55C9">
      <w:pPr>
        <w:pStyle w:val="NormalWeb"/>
        <w:shd w:val="clear" w:color="auto" w:fill="FFFFFF" w:themeFill="background1"/>
        <w:jc w:val="both"/>
        <w:rPr>
          <w:rFonts w:asciiTheme="minorHAnsi" w:hAnsiTheme="minorHAnsi" w:cstheme="minorBidi"/>
          <w:color w:val="000000" w:themeColor="text1"/>
          <w:sz w:val="22"/>
          <w:szCs w:val="22"/>
        </w:rPr>
      </w:pPr>
      <w:r w:rsidRPr="68F90AE5">
        <w:rPr>
          <w:rFonts w:asciiTheme="minorHAnsi" w:hAnsiTheme="minorHAnsi" w:cstheme="minorBidi"/>
          <w:color w:val="000000" w:themeColor="text1"/>
          <w:sz w:val="22"/>
          <w:szCs w:val="22"/>
        </w:rPr>
        <w:t>The Account Identifier Document allows contractors to submit their paper prescription bundle to NHSBSA in advance of submitting their FP34C declaration through MYS. This will enable contractors who submit their EPS claims up to and including the 5th of the following month, to include the latest EPS figures in their MYS FP34C declaration to be submitted by the 5th. This will mean that declared EPS item totals better reflect the actual EPS item totals submitted for payment by the 5th of the following month. Any discrepancies between the declared item totals and the actual item totals can impact on the calculation of advance payments.</w:t>
      </w:r>
    </w:p>
    <w:p w14:paraId="1B6890B3" w14:textId="77777777" w:rsidR="009C55C9" w:rsidRDefault="009C55C9" w:rsidP="009C55C9">
      <w:pPr>
        <w:pStyle w:val="NoSpacing"/>
      </w:pPr>
      <w:r>
        <w:br/>
      </w:r>
    </w:p>
    <w:p w14:paraId="1583D3CF" w14:textId="77777777" w:rsidR="009C55C9" w:rsidRDefault="009C55C9" w:rsidP="009C55C9">
      <w:pPr>
        <w:pStyle w:val="NoSpacing"/>
        <w:jc w:val="both"/>
        <w:rPr>
          <w:rFonts w:ascii="Calibri Light" w:eastAsia="Calibri Light" w:hAnsi="Calibri Light" w:cs="Calibri Light"/>
          <w:color w:val="2F5496" w:themeColor="accent1" w:themeShade="BF"/>
          <w:sz w:val="32"/>
          <w:szCs w:val="32"/>
        </w:rPr>
      </w:pPr>
      <w:r>
        <w:rPr>
          <w:rFonts w:ascii="Calibri Light" w:eastAsia="Calibri Light" w:hAnsi="Calibri Light" w:cs="Calibri Light"/>
          <w:color w:val="2F5496" w:themeColor="accent1" w:themeShade="BF"/>
          <w:sz w:val="32"/>
          <w:szCs w:val="32"/>
        </w:rPr>
        <w:t xml:space="preserve">Reminder: </w:t>
      </w:r>
      <w:r w:rsidRPr="00A00B34">
        <w:rPr>
          <w:rFonts w:ascii="Calibri Light" w:eastAsia="Calibri Light" w:hAnsi="Calibri Light" w:cs="Calibri Light"/>
          <w:color w:val="2F5496" w:themeColor="accent1" w:themeShade="BF"/>
          <w:sz w:val="32"/>
          <w:szCs w:val="32"/>
        </w:rPr>
        <w:t xml:space="preserve">Referred back and disallowed items </w:t>
      </w:r>
      <w:r>
        <w:rPr>
          <w:rFonts w:ascii="Calibri Light" w:eastAsia="Calibri Light" w:hAnsi="Calibri Light" w:cs="Calibri Light"/>
          <w:color w:val="2F5496" w:themeColor="accent1" w:themeShade="BF"/>
          <w:sz w:val="32"/>
          <w:szCs w:val="32"/>
        </w:rPr>
        <w:t xml:space="preserve">are </w:t>
      </w:r>
      <w:r w:rsidRPr="00A00B34">
        <w:rPr>
          <w:rFonts w:ascii="Calibri Light" w:eastAsia="Calibri Light" w:hAnsi="Calibri Light" w:cs="Calibri Light"/>
          <w:color w:val="2F5496" w:themeColor="accent1" w:themeShade="BF"/>
          <w:sz w:val="32"/>
          <w:szCs w:val="32"/>
        </w:rPr>
        <w:t>going fully digital via MYS from July 2022</w:t>
      </w:r>
    </w:p>
    <w:p w14:paraId="7D616930" w14:textId="77777777" w:rsidR="009C55C9" w:rsidRPr="00D207FA" w:rsidRDefault="009C55C9" w:rsidP="009C55C9">
      <w:pPr>
        <w:pStyle w:val="NoSpacing"/>
        <w:jc w:val="both"/>
        <w:rPr>
          <w:rFonts w:eastAsia="Calibri"/>
          <w:color w:val="000000" w:themeColor="text1"/>
        </w:rPr>
      </w:pPr>
    </w:p>
    <w:p w14:paraId="1D0D5119" w14:textId="77777777" w:rsidR="009C55C9" w:rsidRPr="00B45388" w:rsidRDefault="009C55C9" w:rsidP="009C55C9">
      <w:pPr>
        <w:pStyle w:val="NormalWeb"/>
        <w:jc w:val="both"/>
        <w:rPr>
          <w:rFonts w:asciiTheme="minorHAnsi" w:eastAsia="Times New Roman" w:hAnsiTheme="minorHAnsi" w:cstheme="minorBidi"/>
          <w:color w:val="000000" w:themeColor="text1"/>
          <w:sz w:val="22"/>
          <w:szCs w:val="22"/>
          <w:lang w:bidi="ar-SA"/>
        </w:rPr>
      </w:pPr>
      <w:r w:rsidRPr="3D2E65D9">
        <w:rPr>
          <w:rStyle w:val="Strong"/>
          <w:rFonts w:asciiTheme="minorHAnsi" w:hAnsiTheme="minorHAnsi" w:cstheme="minorBidi"/>
          <w:color w:val="000000" w:themeColor="text1"/>
          <w:sz w:val="22"/>
          <w:szCs w:val="22"/>
        </w:rPr>
        <w:t xml:space="preserve">Pharmacy contractors </w:t>
      </w:r>
      <w:r>
        <w:rPr>
          <w:rStyle w:val="Strong"/>
          <w:rFonts w:asciiTheme="minorHAnsi" w:hAnsiTheme="minorHAnsi" w:cstheme="minorBidi"/>
          <w:color w:val="000000" w:themeColor="text1"/>
          <w:sz w:val="22"/>
          <w:szCs w:val="22"/>
        </w:rPr>
        <w:t>are</w:t>
      </w:r>
      <w:r w:rsidRPr="3D2E65D9">
        <w:rPr>
          <w:rStyle w:val="Strong"/>
          <w:rFonts w:asciiTheme="minorHAnsi" w:hAnsiTheme="minorHAnsi" w:cstheme="minorBidi"/>
          <w:color w:val="000000" w:themeColor="text1"/>
          <w:sz w:val="22"/>
          <w:szCs w:val="22"/>
        </w:rPr>
        <w:t xml:space="preserve"> reminded that, from July 2022 (for the dispensing month of June 2022), all new prescription returns/referred back items and disallowed items will be received through the </w:t>
      </w:r>
      <w:hyperlink r:id="rId80">
        <w:r w:rsidRPr="3D2E65D9">
          <w:rPr>
            <w:rStyle w:val="Hyperlink"/>
            <w:rFonts w:asciiTheme="minorHAnsi" w:hAnsiTheme="minorHAnsi" w:cstheme="minorBidi"/>
            <w:b/>
            <w:bCs/>
            <w:color w:val="000000" w:themeColor="text1"/>
            <w:sz w:val="22"/>
            <w:szCs w:val="22"/>
          </w:rPr>
          <w:t>Manage Your Services (MYS)</w:t>
        </w:r>
      </w:hyperlink>
      <w:r w:rsidRPr="3D2E65D9">
        <w:rPr>
          <w:rStyle w:val="Strong"/>
          <w:rFonts w:asciiTheme="minorHAnsi" w:hAnsiTheme="minorHAnsi" w:cstheme="minorBidi"/>
          <w:color w:val="000000" w:themeColor="text1"/>
          <w:sz w:val="22"/>
          <w:szCs w:val="22"/>
        </w:rPr>
        <w:t> portal and MYS will be the only route available to view and submit required information for all these items.</w:t>
      </w:r>
    </w:p>
    <w:p w14:paraId="22ECECE6" w14:textId="77777777" w:rsidR="009C55C9" w:rsidRPr="00B45388" w:rsidRDefault="009C55C9" w:rsidP="009C55C9">
      <w:pPr>
        <w:pStyle w:val="NormalWeb"/>
        <w:jc w:val="both"/>
        <w:rPr>
          <w:rFonts w:asciiTheme="minorHAnsi" w:hAnsiTheme="minorHAnsi" w:cstheme="minorHAnsi"/>
          <w:color w:val="000000" w:themeColor="text1"/>
          <w:sz w:val="22"/>
          <w:szCs w:val="22"/>
        </w:rPr>
      </w:pPr>
    </w:p>
    <w:p w14:paraId="7648EB99" w14:textId="77777777" w:rsidR="009C55C9" w:rsidRPr="00B45388" w:rsidRDefault="009C55C9" w:rsidP="009C55C9">
      <w:pPr>
        <w:pStyle w:val="NormalWeb"/>
        <w:jc w:val="both"/>
        <w:rPr>
          <w:rFonts w:asciiTheme="minorHAnsi" w:hAnsiTheme="minorHAnsi" w:cstheme="minorBidi"/>
          <w:color w:val="000000" w:themeColor="text1"/>
          <w:sz w:val="22"/>
          <w:szCs w:val="22"/>
        </w:rPr>
      </w:pPr>
      <w:r w:rsidRPr="70BAE658">
        <w:rPr>
          <w:rFonts w:asciiTheme="minorHAnsi" w:hAnsiTheme="minorHAnsi" w:cstheme="minorBidi"/>
          <w:color w:val="000000" w:themeColor="text1"/>
          <w:sz w:val="22"/>
          <w:szCs w:val="22"/>
        </w:rPr>
        <w:t xml:space="preserve">From July 2022, the NHS Business Services Authority (NHSBSA) </w:t>
      </w:r>
      <w:r>
        <w:rPr>
          <w:rFonts w:asciiTheme="minorHAnsi" w:hAnsiTheme="minorHAnsi" w:cstheme="minorBidi"/>
          <w:color w:val="000000" w:themeColor="text1"/>
          <w:sz w:val="22"/>
          <w:szCs w:val="22"/>
        </w:rPr>
        <w:t xml:space="preserve">will send </w:t>
      </w:r>
      <w:r w:rsidRPr="70BAE658">
        <w:rPr>
          <w:rFonts w:asciiTheme="minorHAnsi" w:hAnsiTheme="minorHAnsi" w:cstheme="minorBidi"/>
          <w:color w:val="000000" w:themeColor="text1"/>
          <w:sz w:val="22"/>
          <w:szCs w:val="22"/>
        </w:rPr>
        <w:t xml:space="preserve">out a notification email to the pharmacy </w:t>
      </w:r>
      <w:proofErr w:type="spellStart"/>
      <w:r w:rsidRPr="70BAE658">
        <w:rPr>
          <w:rFonts w:asciiTheme="minorHAnsi" w:hAnsiTheme="minorHAnsi" w:cstheme="minorBidi"/>
          <w:color w:val="000000" w:themeColor="text1"/>
          <w:sz w:val="22"/>
          <w:szCs w:val="22"/>
        </w:rPr>
        <w:t>NHSmail</w:t>
      </w:r>
      <w:proofErr w:type="spellEnd"/>
      <w:r w:rsidRPr="70BAE658">
        <w:rPr>
          <w:rFonts w:asciiTheme="minorHAnsi" w:hAnsiTheme="minorHAnsi" w:cstheme="minorBidi"/>
          <w:color w:val="000000" w:themeColor="text1"/>
          <w:sz w:val="22"/>
          <w:szCs w:val="22"/>
        </w:rPr>
        <w:t xml:space="preserve"> account if any new referred back or disallowed items have been generated for the contractor to complete on their MYS account. Contractors can view any referred back items for completion by </w:t>
      </w:r>
      <w:r w:rsidRPr="70BAE658">
        <w:rPr>
          <w:rFonts w:asciiTheme="minorHAnsi" w:hAnsiTheme="minorHAnsi" w:cstheme="minorBidi"/>
          <w:color w:val="000000" w:themeColor="text1"/>
          <w:sz w:val="22"/>
          <w:szCs w:val="22"/>
        </w:rPr>
        <w:lastRenderedPageBreak/>
        <w:t>checking the ‘Unpaid items’ tab on MYS landing page.</w:t>
      </w:r>
    </w:p>
    <w:p w14:paraId="668347B0" w14:textId="77777777" w:rsidR="009C55C9" w:rsidRPr="00B45388" w:rsidRDefault="009C55C9" w:rsidP="009C55C9">
      <w:pPr>
        <w:pStyle w:val="NormalWeb"/>
        <w:jc w:val="both"/>
        <w:rPr>
          <w:rFonts w:asciiTheme="minorHAnsi" w:hAnsiTheme="minorHAnsi" w:cstheme="minorHAnsi"/>
          <w:color w:val="000000" w:themeColor="text1"/>
          <w:sz w:val="22"/>
          <w:szCs w:val="22"/>
        </w:rPr>
      </w:pPr>
    </w:p>
    <w:p w14:paraId="5562158F" w14:textId="77777777" w:rsidR="009C55C9" w:rsidRPr="00B45388" w:rsidRDefault="009C55C9" w:rsidP="009C55C9">
      <w:pPr>
        <w:pStyle w:val="NormalWeb"/>
        <w:jc w:val="both"/>
        <w:rPr>
          <w:rFonts w:asciiTheme="minorHAnsi" w:hAnsiTheme="minorHAnsi" w:cstheme="minorHAnsi"/>
          <w:color w:val="000000" w:themeColor="text1"/>
          <w:sz w:val="22"/>
          <w:szCs w:val="22"/>
        </w:rPr>
      </w:pPr>
      <w:r w:rsidRPr="00B45388">
        <w:rPr>
          <w:rStyle w:val="Strong"/>
          <w:rFonts w:asciiTheme="minorHAnsi" w:hAnsiTheme="minorHAnsi" w:cstheme="minorHAnsi"/>
          <w:color w:val="000000" w:themeColor="text1"/>
          <w:sz w:val="22"/>
          <w:szCs w:val="22"/>
        </w:rPr>
        <w:t>It is important to note that prescription returns/referred back items via MYS are only held in the system for a period of 18 months</w:t>
      </w:r>
      <w:r w:rsidRPr="00B45388">
        <w:rPr>
          <w:rFonts w:asciiTheme="minorHAnsi" w:hAnsiTheme="minorHAnsi" w:cstheme="minorHAnsi"/>
          <w:color w:val="000000" w:themeColor="text1"/>
          <w:sz w:val="22"/>
          <w:szCs w:val="22"/>
        </w:rPr>
        <w:t> from the date they are first sent to the pharmacy for action; if contractors have not completed and returned any outstanding referred backs before this deadline has passed, the referred back items will be deleted from system.</w:t>
      </w:r>
    </w:p>
    <w:p w14:paraId="2EE1FAFF" w14:textId="77777777" w:rsidR="009C55C9" w:rsidRPr="00B45388" w:rsidRDefault="009C55C9" w:rsidP="009C55C9">
      <w:pPr>
        <w:pStyle w:val="NormalWeb"/>
        <w:jc w:val="both"/>
        <w:rPr>
          <w:rFonts w:asciiTheme="minorHAnsi" w:hAnsiTheme="minorHAnsi" w:cstheme="minorHAnsi"/>
          <w:color w:val="000000" w:themeColor="text1"/>
          <w:sz w:val="22"/>
          <w:szCs w:val="22"/>
        </w:rPr>
      </w:pPr>
    </w:p>
    <w:p w14:paraId="2E66DFA1" w14:textId="77777777" w:rsidR="009C55C9" w:rsidRPr="00B45388" w:rsidRDefault="009C55C9" w:rsidP="009C55C9">
      <w:pPr>
        <w:pStyle w:val="NormalWeb"/>
        <w:jc w:val="both"/>
        <w:rPr>
          <w:rFonts w:asciiTheme="minorHAnsi" w:hAnsiTheme="minorHAnsi" w:cstheme="minorHAnsi"/>
          <w:color w:val="000000" w:themeColor="text1"/>
          <w:sz w:val="22"/>
          <w:szCs w:val="22"/>
        </w:rPr>
      </w:pPr>
      <w:r w:rsidRPr="00B45388">
        <w:rPr>
          <w:rFonts w:asciiTheme="minorHAnsi" w:hAnsiTheme="minorHAnsi" w:cstheme="minorHAnsi"/>
          <w:color w:val="000000" w:themeColor="text1"/>
          <w:sz w:val="22"/>
          <w:szCs w:val="22"/>
        </w:rPr>
        <w:t>The last paper referred back and disallowed items sent in the post to those contractors still using the paper-based route relate</w:t>
      </w:r>
      <w:r>
        <w:rPr>
          <w:rFonts w:asciiTheme="minorHAnsi" w:hAnsiTheme="minorHAnsi" w:cstheme="minorHAnsi"/>
          <w:color w:val="000000" w:themeColor="text1"/>
          <w:sz w:val="22"/>
          <w:szCs w:val="22"/>
        </w:rPr>
        <w:t>d</w:t>
      </w:r>
      <w:r w:rsidRPr="00B45388">
        <w:rPr>
          <w:rFonts w:asciiTheme="minorHAnsi" w:hAnsiTheme="minorHAnsi" w:cstheme="minorHAnsi"/>
          <w:color w:val="000000" w:themeColor="text1"/>
          <w:sz w:val="22"/>
          <w:szCs w:val="22"/>
        </w:rPr>
        <w:t xml:space="preserve"> to prescriptions dispensed in May 2022. The NHSBSA will continue to process any paper referred back items that were sent out before the switchover. Contractors with paper referred back items from previous months should aim to complete the required information and return these to the NHSBSA together with their monthly prescription bundle as soon as possible to avoid any delays to payment. Prescription returns will be processed in line with the guidance for their original submission method and will be priced using the Drug Tariff relevant to the dispensing month in which the prescription return is received by the NHSBSA.</w:t>
      </w:r>
    </w:p>
    <w:p w14:paraId="3B9DF8E8" w14:textId="77777777" w:rsidR="009C55C9" w:rsidRPr="00B45388" w:rsidRDefault="009C55C9" w:rsidP="009C55C9">
      <w:pPr>
        <w:pStyle w:val="NormalWeb"/>
        <w:jc w:val="both"/>
        <w:rPr>
          <w:rFonts w:asciiTheme="minorHAnsi" w:hAnsiTheme="minorHAnsi" w:cstheme="minorHAnsi"/>
          <w:color w:val="000000" w:themeColor="text1"/>
          <w:sz w:val="22"/>
          <w:szCs w:val="22"/>
        </w:rPr>
      </w:pPr>
    </w:p>
    <w:p w14:paraId="3662B8D2" w14:textId="77777777" w:rsidR="009C55C9" w:rsidRPr="00B45388" w:rsidRDefault="009C55C9" w:rsidP="009C55C9">
      <w:pPr>
        <w:pStyle w:val="NormalWeb"/>
        <w:jc w:val="both"/>
        <w:rPr>
          <w:rFonts w:asciiTheme="minorHAnsi" w:hAnsiTheme="minorHAnsi" w:cstheme="minorHAnsi"/>
          <w:color w:val="000000" w:themeColor="text1"/>
          <w:sz w:val="22"/>
          <w:szCs w:val="22"/>
        </w:rPr>
      </w:pPr>
      <w:r w:rsidRPr="00B45388">
        <w:rPr>
          <w:rFonts w:asciiTheme="minorHAnsi" w:hAnsiTheme="minorHAnsi" w:cstheme="minorHAnsi"/>
          <w:color w:val="000000" w:themeColor="text1"/>
          <w:sz w:val="22"/>
          <w:szCs w:val="22"/>
        </w:rPr>
        <w:t>Using MYS for receiving digital referred back and disallowed items allows contractor to:</w:t>
      </w:r>
    </w:p>
    <w:p w14:paraId="04591048" w14:textId="77777777" w:rsidR="009C55C9" w:rsidRPr="00B45388" w:rsidRDefault="009C55C9" w:rsidP="00AF46FC">
      <w:pPr>
        <w:numPr>
          <w:ilvl w:val="0"/>
          <w:numId w:val="10"/>
        </w:numPr>
        <w:spacing w:before="100" w:beforeAutospacing="1" w:after="100" w:afterAutospacing="1" w:line="240" w:lineRule="auto"/>
        <w:jc w:val="both"/>
        <w:rPr>
          <w:rFonts w:cstheme="minorHAnsi"/>
          <w:color w:val="000000" w:themeColor="text1"/>
        </w:rPr>
      </w:pPr>
      <w:r w:rsidRPr="00B45388">
        <w:rPr>
          <w:rFonts w:cstheme="minorHAnsi"/>
          <w:color w:val="000000" w:themeColor="text1"/>
        </w:rPr>
        <w:t>receive these items sooner and removes the risk of paper returns getting lost in transit;</w:t>
      </w:r>
    </w:p>
    <w:p w14:paraId="67D25247" w14:textId="77777777" w:rsidR="009C55C9" w:rsidRPr="00B45388" w:rsidRDefault="009C55C9" w:rsidP="00AF46FC">
      <w:pPr>
        <w:numPr>
          <w:ilvl w:val="0"/>
          <w:numId w:val="10"/>
        </w:numPr>
        <w:spacing w:before="100" w:beforeAutospacing="1" w:after="100" w:afterAutospacing="1" w:line="240" w:lineRule="auto"/>
        <w:jc w:val="both"/>
        <w:rPr>
          <w:rFonts w:cstheme="minorHAnsi"/>
          <w:color w:val="000000" w:themeColor="text1"/>
        </w:rPr>
      </w:pPr>
      <w:r w:rsidRPr="00B45388">
        <w:rPr>
          <w:rFonts w:cstheme="minorHAnsi"/>
          <w:color w:val="000000" w:themeColor="text1"/>
        </w:rPr>
        <w:t>provide information required to processes referred back items faster;</w:t>
      </w:r>
    </w:p>
    <w:p w14:paraId="0AAB4982" w14:textId="77777777" w:rsidR="009C55C9" w:rsidRPr="00B45388" w:rsidRDefault="009C55C9" w:rsidP="00AF46FC">
      <w:pPr>
        <w:numPr>
          <w:ilvl w:val="0"/>
          <w:numId w:val="10"/>
        </w:numPr>
        <w:spacing w:before="100" w:beforeAutospacing="1" w:after="100" w:afterAutospacing="1" w:line="240" w:lineRule="auto"/>
        <w:jc w:val="both"/>
        <w:rPr>
          <w:rFonts w:cstheme="minorHAnsi"/>
          <w:color w:val="000000" w:themeColor="text1"/>
        </w:rPr>
      </w:pPr>
      <w:r w:rsidRPr="00B45388">
        <w:rPr>
          <w:rFonts w:cstheme="minorHAnsi"/>
          <w:color w:val="000000" w:themeColor="text1"/>
        </w:rPr>
        <w:t>submit a challenge for any disallowed items electronically;</w:t>
      </w:r>
    </w:p>
    <w:p w14:paraId="682FC04A" w14:textId="77777777" w:rsidR="009C55C9" w:rsidRPr="00B45388" w:rsidRDefault="009C55C9" w:rsidP="00AF46FC">
      <w:pPr>
        <w:numPr>
          <w:ilvl w:val="0"/>
          <w:numId w:val="10"/>
        </w:numPr>
        <w:spacing w:before="100" w:beforeAutospacing="1" w:after="100" w:afterAutospacing="1" w:line="240" w:lineRule="auto"/>
        <w:jc w:val="both"/>
        <w:rPr>
          <w:rFonts w:cstheme="minorHAnsi"/>
          <w:color w:val="000000" w:themeColor="text1"/>
        </w:rPr>
      </w:pPr>
      <w:r w:rsidRPr="00B45388">
        <w:rPr>
          <w:rFonts w:cstheme="minorHAnsi"/>
          <w:color w:val="000000" w:themeColor="text1"/>
        </w:rPr>
        <w:t>track the progress of any referred back items throughout until the point they are processed; and</w:t>
      </w:r>
    </w:p>
    <w:p w14:paraId="0AF0BC57" w14:textId="77777777" w:rsidR="009C55C9" w:rsidRPr="00B45388" w:rsidRDefault="009C55C9" w:rsidP="00AF46FC">
      <w:pPr>
        <w:numPr>
          <w:ilvl w:val="0"/>
          <w:numId w:val="10"/>
        </w:numPr>
        <w:spacing w:before="100" w:beforeAutospacing="1" w:after="100" w:afterAutospacing="1" w:line="240" w:lineRule="auto"/>
        <w:jc w:val="both"/>
        <w:rPr>
          <w:rFonts w:cstheme="minorHAnsi"/>
          <w:color w:val="000000" w:themeColor="text1"/>
        </w:rPr>
      </w:pPr>
      <w:r w:rsidRPr="00B45388">
        <w:rPr>
          <w:rFonts w:cstheme="minorHAnsi"/>
          <w:color w:val="000000" w:themeColor="text1"/>
        </w:rPr>
        <w:t>generate monthly reports showing the status of any referred back items.</w:t>
      </w:r>
    </w:p>
    <w:p w14:paraId="507606D5" w14:textId="77777777" w:rsidR="009C55C9" w:rsidRPr="00B45388" w:rsidRDefault="009C55C9" w:rsidP="009C55C9">
      <w:pPr>
        <w:pStyle w:val="NormalWeb"/>
        <w:jc w:val="both"/>
        <w:rPr>
          <w:rFonts w:ascii="UbuntuRegular" w:hAnsi="UbuntuRegular"/>
          <w:color w:val="000000" w:themeColor="text1"/>
          <w:sz w:val="27"/>
          <w:szCs w:val="27"/>
        </w:rPr>
      </w:pPr>
      <w:r>
        <w:br/>
      </w:r>
      <w:r w:rsidRPr="6B314986">
        <w:rPr>
          <w:rFonts w:asciiTheme="minorHAnsi" w:hAnsiTheme="minorHAnsi" w:cstheme="minorBidi"/>
          <w:color w:val="000000" w:themeColor="text1"/>
          <w:sz w:val="22"/>
          <w:szCs w:val="22"/>
        </w:rPr>
        <w:t>For more information on referred back items please refer to PSNC’s webpage on </w:t>
      </w:r>
      <w:hyperlink r:id="rId81">
        <w:r w:rsidRPr="6B314986">
          <w:rPr>
            <w:rStyle w:val="Hyperlink"/>
            <w:rFonts w:asciiTheme="minorHAnsi" w:hAnsiTheme="minorHAnsi" w:cstheme="minorBidi"/>
            <w:color w:val="000000" w:themeColor="text1"/>
            <w:sz w:val="22"/>
            <w:szCs w:val="22"/>
          </w:rPr>
          <w:t>Prescription returns</w:t>
        </w:r>
      </w:hyperlink>
      <w:r w:rsidRPr="6B314986">
        <w:rPr>
          <w:rFonts w:asciiTheme="minorHAnsi" w:hAnsiTheme="minorHAnsi" w:cstheme="minorBidi"/>
          <w:color w:val="000000" w:themeColor="text1"/>
          <w:sz w:val="22"/>
          <w:szCs w:val="22"/>
        </w:rPr>
        <w:t> and </w:t>
      </w:r>
      <w:hyperlink r:id="rId82">
        <w:r w:rsidRPr="6B314986">
          <w:rPr>
            <w:rStyle w:val="Hyperlink"/>
            <w:rFonts w:asciiTheme="minorHAnsi" w:hAnsiTheme="minorHAnsi" w:cstheme="minorBidi"/>
            <w:color w:val="000000" w:themeColor="text1"/>
            <w:sz w:val="22"/>
            <w:szCs w:val="22"/>
          </w:rPr>
          <w:t>PSNC Briefing 020/22: Understanding prescription returns and disallowed items</w:t>
        </w:r>
      </w:hyperlink>
      <w:r w:rsidRPr="6B314986">
        <w:rPr>
          <w:rFonts w:asciiTheme="minorHAnsi" w:hAnsiTheme="minorHAnsi" w:cstheme="minorBidi"/>
          <w:color w:val="000000" w:themeColor="text1"/>
          <w:sz w:val="22"/>
          <w:szCs w:val="22"/>
        </w:rPr>
        <w:t>.</w:t>
      </w:r>
    </w:p>
    <w:p w14:paraId="5AF1002E" w14:textId="77777777" w:rsidR="009C55C9" w:rsidRDefault="009C55C9" w:rsidP="009C55C9">
      <w:pPr>
        <w:pStyle w:val="NoSpacing"/>
      </w:pPr>
    </w:p>
    <w:p w14:paraId="6AA0C6A4" w14:textId="77777777" w:rsidR="009C55C9" w:rsidRPr="001701A0" w:rsidRDefault="009C55C9" w:rsidP="009C55C9">
      <w:pPr>
        <w:pStyle w:val="NoSpacing"/>
      </w:pPr>
    </w:p>
    <w:p w14:paraId="34F16AEE" w14:textId="77777777" w:rsidR="009C55C9" w:rsidRDefault="009C55C9" w:rsidP="009C55C9">
      <w:pPr>
        <w:pStyle w:val="NormalWeb"/>
        <w:jc w:val="both"/>
        <w:rPr>
          <w:rFonts w:asciiTheme="minorHAnsi" w:hAnsiTheme="minorHAnsi" w:cstheme="minorHAnsi"/>
          <w:color w:val="444444"/>
          <w:sz w:val="22"/>
          <w:szCs w:val="22"/>
        </w:rPr>
      </w:pPr>
      <w:r w:rsidRPr="004B722F">
        <w:rPr>
          <w:rFonts w:ascii="Calibri Light" w:eastAsia="Calibri Light" w:hAnsi="Calibri Light" w:cs="Calibri Light"/>
          <w:color w:val="2F5496" w:themeColor="accent1" w:themeShade="BF"/>
          <w:sz w:val="32"/>
          <w:szCs w:val="32"/>
          <w:lang w:bidi="ar-SA"/>
        </w:rPr>
        <w:t>RTEC FAQs</w:t>
      </w:r>
    </w:p>
    <w:p w14:paraId="2C9FEEC6" w14:textId="77777777" w:rsidR="009C55C9" w:rsidRDefault="009C55C9" w:rsidP="009C55C9">
      <w:pPr>
        <w:pStyle w:val="NoSpacing"/>
        <w:jc w:val="both"/>
        <w:rPr>
          <w:rFonts w:ascii="Calibri Light" w:eastAsia="Calibri" w:hAnsi="Calibri Light" w:cs="Calibri Light"/>
          <w:color w:val="000000" w:themeColor="text1"/>
          <w:lang w:bidi="en-US"/>
        </w:rPr>
      </w:pPr>
    </w:p>
    <w:p w14:paraId="0E97F242" w14:textId="77777777" w:rsidR="009C55C9" w:rsidRPr="00B45388" w:rsidRDefault="009C55C9" w:rsidP="009C55C9">
      <w:pPr>
        <w:pStyle w:val="NormalWeb"/>
        <w:jc w:val="both"/>
        <w:rPr>
          <w:rFonts w:asciiTheme="minorHAnsi" w:eastAsia="Times New Roman" w:hAnsiTheme="minorHAnsi" w:cstheme="minorHAnsi"/>
          <w:color w:val="000000" w:themeColor="text1"/>
          <w:sz w:val="22"/>
          <w:szCs w:val="22"/>
          <w:lang w:bidi="ar-SA"/>
        </w:rPr>
      </w:pPr>
      <w:r w:rsidRPr="00B45388">
        <w:rPr>
          <w:rFonts w:asciiTheme="minorHAnsi" w:hAnsiTheme="minorHAnsi" w:cstheme="minorHAnsi"/>
          <w:color w:val="000000" w:themeColor="text1"/>
          <w:sz w:val="22"/>
          <w:szCs w:val="22"/>
        </w:rPr>
        <w:t>Following the rollout of the Department for Work and Pensions (DWP) functionality for </w:t>
      </w:r>
      <w:hyperlink r:id="rId83" w:history="1">
        <w:r w:rsidRPr="00B45388">
          <w:rPr>
            <w:rStyle w:val="Hyperlink"/>
            <w:rFonts w:asciiTheme="minorHAnsi" w:hAnsiTheme="minorHAnsi" w:cstheme="minorHAnsi"/>
            <w:color w:val="000000" w:themeColor="text1"/>
            <w:sz w:val="22"/>
            <w:szCs w:val="22"/>
          </w:rPr>
          <w:t>Real Time Exemption Checking (RTEC)</w:t>
        </w:r>
      </w:hyperlink>
      <w:r w:rsidRPr="00B45388">
        <w:rPr>
          <w:rFonts w:asciiTheme="minorHAnsi" w:hAnsiTheme="minorHAnsi" w:cstheme="minorHAnsi"/>
          <w:color w:val="000000" w:themeColor="text1"/>
          <w:sz w:val="22"/>
          <w:szCs w:val="22"/>
        </w:rPr>
        <w:t>, PSNC received many queries from contractors. A sample of these questions is included further below.</w:t>
      </w:r>
    </w:p>
    <w:p w14:paraId="763576A9" w14:textId="77777777" w:rsidR="009C55C9" w:rsidRPr="00B45388" w:rsidRDefault="009C55C9" w:rsidP="009C55C9">
      <w:pPr>
        <w:pStyle w:val="NormalWeb"/>
        <w:jc w:val="both"/>
        <w:rPr>
          <w:rStyle w:val="Strong"/>
          <w:rFonts w:asciiTheme="minorHAnsi" w:hAnsiTheme="minorHAnsi" w:cstheme="minorHAnsi"/>
          <w:color w:val="000000" w:themeColor="text1"/>
          <w:sz w:val="22"/>
          <w:szCs w:val="22"/>
        </w:rPr>
      </w:pPr>
    </w:p>
    <w:p w14:paraId="7C16236F" w14:textId="77777777" w:rsidR="009C55C9" w:rsidRPr="00B45388" w:rsidRDefault="009C55C9" w:rsidP="009C55C9">
      <w:pPr>
        <w:pStyle w:val="NormalWeb"/>
        <w:jc w:val="both"/>
        <w:rPr>
          <w:rFonts w:asciiTheme="minorHAnsi" w:hAnsiTheme="minorHAnsi" w:cstheme="minorHAnsi"/>
          <w:color w:val="000000" w:themeColor="text1"/>
          <w:sz w:val="22"/>
          <w:szCs w:val="22"/>
        </w:rPr>
      </w:pPr>
      <w:r w:rsidRPr="00B45388">
        <w:rPr>
          <w:rStyle w:val="Strong"/>
          <w:rFonts w:asciiTheme="minorHAnsi" w:hAnsiTheme="minorHAnsi" w:cstheme="minorHAnsi"/>
          <w:color w:val="000000" w:themeColor="text1"/>
          <w:sz w:val="22"/>
          <w:szCs w:val="22"/>
        </w:rPr>
        <w:t>Overview</w:t>
      </w:r>
    </w:p>
    <w:p w14:paraId="785A44D8" w14:textId="77777777" w:rsidR="009C55C9" w:rsidRPr="00B45388" w:rsidRDefault="009C55C9" w:rsidP="009C55C9">
      <w:pPr>
        <w:pStyle w:val="NormalWeb"/>
        <w:jc w:val="both"/>
        <w:rPr>
          <w:rFonts w:asciiTheme="minorHAnsi" w:hAnsiTheme="minorHAnsi" w:cstheme="minorHAnsi"/>
          <w:color w:val="000000" w:themeColor="text1"/>
          <w:sz w:val="22"/>
          <w:szCs w:val="22"/>
        </w:rPr>
      </w:pPr>
      <w:r w:rsidRPr="00B45388">
        <w:rPr>
          <w:rFonts w:asciiTheme="minorHAnsi" w:hAnsiTheme="minorHAnsi" w:cstheme="minorHAnsi"/>
          <w:color w:val="000000" w:themeColor="text1"/>
          <w:sz w:val="22"/>
          <w:szCs w:val="22"/>
        </w:rPr>
        <w:t>RTEC allows pharmacy teams to check digitally if patients are eligible for free NHS prescriptions because they hold a specific exemption. The rollout of the DWP inclusion in RTEC means patients found to be exempt via RTEC no longer need to complete an exemption declaration on an EPS token, saving pharmacy teams and patient’s time.</w:t>
      </w:r>
    </w:p>
    <w:p w14:paraId="3A10057C" w14:textId="77777777" w:rsidR="009C55C9" w:rsidRPr="00B45388" w:rsidRDefault="009C55C9" w:rsidP="009C55C9">
      <w:pPr>
        <w:pStyle w:val="NormalWeb"/>
        <w:jc w:val="both"/>
        <w:rPr>
          <w:rStyle w:val="Strong"/>
          <w:rFonts w:asciiTheme="minorHAnsi" w:hAnsiTheme="minorHAnsi" w:cstheme="minorHAnsi"/>
          <w:color w:val="000000" w:themeColor="text1"/>
          <w:sz w:val="22"/>
          <w:szCs w:val="22"/>
        </w:rPr>
      </w:pPr>
    </w:p>
    <w:p w14:paraId="13AF38FF" w14:textId="77777777" w:rsidR="009C55C9" w:rsidRPr="00B45388" w:rsidRDefault="009C55C9" w:rsidP="009C55C9">
      <w:pPr>
        <w:pStyle w:val="NormalWeb"/>
        <w:jc w:val="both"/>
        <w:rPr>
          <w:rFonts w:asciiTheme="minorHAnsi" w:hAnsiTheme="minorHAnsi" w:cstheme="minorBidi"/>
          <w:color w:val="000000" w:themeColor="text1"/>
          <w:sz w:val="22"/>
          <w:szCs w:val="22"/>
        </w:rPr>
      </w:pPr>
      <w:r w:rsidRPr="4B8FB91E">
        <w:rPr>
          <w:rStyle w:val="Strong"/>
          <w:rFonts w:asciiTheme="minorHAnsi" w:hAnsiTheme="minorHAnsi" w:cstheme="minorBidi"/>
          <w:color w:val="000000" w:themeColor="text1"/>
          <w:sz w:val="22"/>
          <w:szCs w:val="22"/>
        </w:rPr>
        <w:t>FAQs</w:t>
      </w:r>
    </w:p>
    <w:p w14:paraId="442A4509" w14:textId="77777777" w:rsidR="009C55C9" w:rsidRPr="00B45388" w:rsidRDefault="009C55C9" w:rsidP="009C55C9">
      <w:pPr>
        <w:pStyle w:val="NormalWeb"/>
        <w:jc w:val="both"/>
        <w:rPr>
          <w:rStyle w:val="Strong"/>
          <w:rFonts w:asciiTheme="minorHAnsi" w:hAnsiTheme="minorHAnsi" w:cstheme="minorBidi"/>
          <w:color w:val="000000" w:themeColor="text1"/>
          <w:sz w:val="22"/>
          <w:szCs w:val="22"/>
        </w:rPr>
      </w:pPr>
      <w:r w:rsidRPr="2DD548FA">
        <w:rPr>
          <w:rStyle w:val="Strong"/>
          <w:rFonts w:asciiTheme="minorHAnsi" w:hAnsiTheme="minorHAnsi" w:cstheme="minorBidi"/>
          <w:color w:val="000000" w:themeColor="text1"/>
          <w:sz w:val="22"/>
          <w:szCs w:val="22"/>
        </w:rPr>
        <w:t>Q. The patient believes they need to pay the patient prescription charge, but our PMR system’s RTEC has stamped the prescription ‘exempt’. What should I do?</w:t>
      </w:r>
    </w:p>
    <w:p w14:paraId="24A73F2A" w14:textId="77777777" w:rsidR="009C55C9" w:rsidRPr="00B45388" w:rsidRDefault="009C55C9" w:rsidP="009C55C9">
      <w:pPr>
        <w:pStyle w:val="NormalWeb"/>
        <w:jc w:val="both"/>
        <w:rPr>
          <w:rFonts w:asciiTheme="minorHAnsi" w:hAnsiTheme="minorHAnsi" w:cstheme="minorHAnsi"/>
          <w:color w:val="000000" w:themeColor="text1"/>
          <w:sz w:val="22"/>
          <w:szCs w:val="22"/>
        </w:rPr>
      </w:pPr>
      <w:r w:rsidRPr="00B45388">
        <w:rPr>
          <w:rFonts w:asciiTheme="minorHAnsi" w:hAnsiTheme="minorHAnsi" w:cstheme="minorHAnsi"/>
          <w:color w:val="000000" w:themeColor="text1"/>
          <w:sz w:val="22"/>
          <w:szCs w:val="22"/>
        </w:rPr>
        <w:t>Those prescriptions stamped ‘exempt’ by the RTEC will be treated as exempt by the NHS Business Services Authority (NHSBSA) regardless of the information written onto the paper EPS token. There is no need for the pharmacy team to collect a prescription charge from this patient.</w:t>
      </w:r>
    </w:p>
    <w:p w14:paraId="3F2F0061" w14:textId="77777777" w:rsidR="009C55C9" w:rsidRPr="00B45388" w:rsidRDefault="009C55C9" w:rsidP="009C55C9">
      <w:pPr>
        <w:pStyle w:val="NormalWeb"/>
        <w:jc w:val="both"/>
        <w:rPr>
          <w:rStyle w:val="Strong"/>
          <w:rFonts w:asciiTheme="minorHAnsi" w:hAnsiTheme="minorHAnsi" w:cstheme="minorHAnsi"/>
          <w:color w:val="000000" w:themeColor="text1"/>
          <w:sz w:val="22"/>
          <w:szCs w:val="22"/>
        </w:rPr>
      </w:pPr>
    </w:p>
    <w:p w14:paraId="092E6614" w14:textId="77777777" w:rsidR="009C55C9" w:rsidRPr="00B45388" w:rsidRDefault="009C55C9" w:rsidP="009C55C9">
      <w:pPr>
        <w:pStyle w:val="NormalWeb"/>
        <w:jc w:val="both"/>
        <w:rPr>
          <w:rFonts w:asciiTheme="minorHAnsi" w:hAnsiTheme="minorHAnsi" w:cstheme="minorBidi"/>
          <w:color w:val="000000" w:themeColor="text1"/>
          <w:sz w:val="22"/>
          <w:szCs w:val="22"/>
        </w:rPr>
      </w:pPr>
      <w:r w:rsidRPr="2DD548FA">
        <w:rPr>
          <w:rStyle w:val="Strong"/>
          <w:rFonts w:asciiTheme="minorHAnsi" w:hAnsiTheme="minorHAnsi" w:cstheme="minorBidi"/>
          <w:color w:val="000000" w:themeColor="text1"/>
          <w:sz w:val="22"/>
          <w:szCs w:val="22"/>
        </w:rPr>
        <w:t xml:space="preserve">Q. Will a patient receive a penalty notice charge if their prescription was stamped ‘RTEC </w:t>
      </w:r>
      <w:proofErr w:type="spellStart"/>
      <w:r w:rsidRPr="2DD548FA">
        <w:rPr>
          <w:rStyle w:val="Strong"/>
          <w:rFonts w:asciiTheme="minorHAnsi" w:hAnsiTheme="minorHAnsi" w:cstheme="minorBidi"/>
          <w:color w:val="000000" w:themeColor="text1"/>
          <w:sz w:val="22"/>
          <w:szCs w:val="22"/>
        </w:rPr>
        <w:t>yes’</w:t>
      </w:r>
      <w:proofErr w:type="spellEnd"/>
      <w:r w:rsidRPr="2DD548FA">
        <w:rPr>
          <w:rStyle w:val="Strong"/>
          <w:rFonts w:asciiTheme="minorHAnsi" w:hAnsiTheme="minorHAnsi" w:cstheme="minorBidi"/>
          <w:color w:val="000000" w:themeColor="text1"/>
          <w:sz w:val="22"/>
          <w:szCs w:val="22"/>
        </w:rPr>
        <w:t xml:space="preserve"> during the RTEC check and the EPS prescription is submitted to NHSBSA?</w:t>
      </w:r>
    </w:p>
    <w:p w14:paraId="540EC2C3" w14:textId="77777777" w:rsidR="009C55C9" w:rsidRPr="00B45388" w:rsidRDefault="009C55C9" w:rsidP="009C55C9">
      <w:pPr>
        <w:pStyle w:val="NormalWeb"/>
        <w:jc w:val="both"/>
        <w:rPr>
          <w:rFonts w:asciiTheme="minorHAnsi" w:hAnsiTheme="minorHAnsi" w:cstheme="minorHAnsi"/>
          <w:color w:val="000000" w:themeColor="text1"/>
          <w:sz w:val="22"/>
          <w:szCs w:val="22"/>
        </w:rPr>
      </w:pPr>
      <w:r w:rsidRPr="00B45388">
        <w:rPr>
          <w:rFonts w:asciiTheme="minorHAnsi" w:hAnsiTheme="minorHAnsi" w:cstheme="minorHAnsi"/>
          <w:color w:val="000000" w:themeColor="text1"/>
          <w:sz w:val="22"/>
          <w:szCs w:val="22"/>
        </w:rPr>
        <w:t>No. Prescriptions stamped exempt by the RTEC check do not require investigation for potential charge notices.</w:t>
      </w:r>
    </w:p>
    <w:p w14:paraId="5552A734" w14:textId="77777777" w:rsidR="009C55C9" w:rsidRPr="00B45388" w:rsidRDefault="009C55C9" w:rsidP="009C55C9">
      <w:pPr>
        <w:pStyle w:val="NormalWeb"/>
        <w:jc w:val="both"/>
        <w:rPr>
          <w:rStyle w:val="Strong"/>
          <w:rFonts w:asciiTheme="minorHAnsi" w:hAnsiTheme="minorHAnsi" w:cstheme="minorHAnsi"/>
          <w:color w:val="000000" w:themeColor="text1"/>
          <w:sz w:val="22"/>
          <w:szCs w:val="22"/>
        </w:rPr>
      </w:pPr>
    </w:p>
    <w:p w14:paraId="5EE5531A" w14:textId="77777777" w:rsidR="009C55C9" w:rsidRPr="00B45388" w:rsidRDefault="009C55C9" w:rsidP="009C55C9">
      <w:pPr>
        <w:pStyle w:val="NormalWeb"/>
        <w:jc w:val="both"/>
        <w:rPr>
          <w:rFonts w:asciiTheme="minorHAnsi" w:hAnsiTheme="minorHAnsi" w:cstheme="minorBidi"/>
          <w:color w:val="000000" w:themeColor="text1"/>
          <w:sz w:val="22"/>
          <w:szCs w:val="22"/>
        </w:rPr>
      </w:pPr>
      <w:r w:rsidRPr="0A3E3C04">
        <w:rPr>
          <w:rStyle w:val="Strong"/>
          <w:rFonts w:asciiTheme="minorHAnsi" w:hAnsiTheme="minorHAnsi" w:cstheme="minorBidi"/>
          <w:color w:val="000000" w:themeColor="text1"/>
          <w:sz w:val="22"/>
          <w:szCs w:val="22"/>
        </w:rPr>
        <w:t>Q. Do I need to submit EPS tokens for prescriptions with an RTEC exemption?</w:t>
      </w:r>
    </w:p>
    <w:p w14:paraId="1EB1E4CA" w14:textId="77777777" w:rsidR="009C55C9" w:rsidRPr="00B45388" w:rsidRDefault="009C55C9" w:rsidP="009C55C9">
      <w:pPr>
        <w:pStyle w:val="NormalWeb"/>
        <w:jc w:val="both"/>
        <w:rPr>
          <w:rFonts w:asciiTheme="minorHAnsi" w:hAnsiTheme="minorHAnsi" w:cstheme="minorHAnsi"/>
          <w:color w:val="000000" w:themeColor="text1"/>
          <w:sz w:val="22"/>
          <w:szCs w:val="22"/>
        </w:rPr>
      </w:pPr>
      <w:r w:rsidRPr="00B45388">
        <w:rPr>
          <w:rFonts w:asciiTheme="minorHAnsi" w:hAnsiTheme="minorHAnsi" w:cstheme="minorHAnsi"/>
          <w:color w:val="000000" w:themeColor="text1"/>
          <w:sz w:val="22"/>
          <w:szCs w:val="22"/>
        </w:rPr>
        <w:t>No. The PMR system can apply the RTEC information into the EPS prescription message and those tokens will not need to be posted to the NHSBSA for exemption related reasons.</w:t>
      </w:r>
    </w:p>
    <w:p w14:paraId="29A2D2C8" w14:textId="77777777" w:rsidR="009C55C9" w:rsidRPr="00B45388" w:rsidRDefault="009C55C9" w:rsidP="009C55C9">
      <w:pPr>
        <w:pStyle w:val="NormalWeb"/>
        <w:jc w:val="both"/>
        <w:rPr>
          <w:rStyle w:val="Strong"/>
          <w:rFonts w:asciiTheme="minorHAnsi" w:hAnsiTheme="minorHAnsi" w:cstheme="minorHAnsi"/>
          <w:color w:val="000000" w:themeColor="text1"/>
          <w:sz w:val="22"/>
          <w:szCs w:val="22"/>
        </w:rPr>
      </w:pPr>
    </w:p>
    <w:p w14:paraId="667CFB60" w14:textId="77777777" w:rsidR="009C55C9" w:rsidRPr="00B45388" w:rsidRDefault="009C55C9" w:rsidP="009C55C9">
      <w:pPr>
        <w:pStyle w:val="NormalWeb"/>
        <w:jc w:val="both"/>
        <w:rPr>
          <w:rStyle w:val="Strong"/>
          <w:rFonts w:asciiTheme="minorHAnsi" w:hAnsiTheme="minorHAnsi" w:cstheme="minorHAnsi"/>
          <w:color w:val="000000" w:themeColor="text1"/>
          <w:sz w:val="22"/>
          <w:szCs w:val="22"/>
        </w:rPr>
      </w:pPr>
      <w:r w:rsidRPr="00B45388">
        <w:rPr>
          <w:rStyle w:val="Strong"/>
          <w:rFonts w:asciiTheme="minorHAnsi" w:hAnsiTheme="minorHAnsi" w:cstheme="minorHAnsi"/>
          <w:color w:val="000000" w:themeColor="text1"/>
          <w:sz w:val="22"/>
          <w:szCs w:val="22"/>
        </w:rPr>
        <w:t xml:space="preserve">Q. Our PMR system performs the RTEC check earlier during the dispensing process and ‘RTEC </w:t>
      </w:r>
      <w:proofErr w:type="spellStart"/>
      <w:r w:rsidRPr="00B45388">
        <w:rPr>
          <w:rStyle w:val="Strong"/>
          <w:rFonts w:asciiTheme="minorHAnsi" w:hAnsiTheme="minorHAnsi" w:cstheme="minorHAnsi"/>
          <w:color w:val="000000" w:themeColor="text1"/>
          <w:sz w:val="22"/>
          <w:szCs w:val="22"/>
        </w:rPr>
        <w:t>yes’</w:t>
      </w:r>
      <w:proofErr w:type="spellEnd"/>
      <w:r w:rsidRPr="00B45388">
        <w:rPr>
          <w:rStyle w:val="Strong"/>
          <w:rFonts w:asciiTheme="minorHAnsi" w:hAnsiTheme="minorHAnsi" w:cstheme="minorHAnsi"/>
          <w:color w:val="000000" w:themeColor="text1"/>
          <w:sz w:val="22"/>
          <w:szCs w:val="22"/>
        </w:rPr>
        <w:t xml:space="preserve"> was confirmed </w:t>
      </w:r>
    </w:p>
    <w:p w14:paraId="63C47EF8" w14:textId="77777777" w:rsidR="009C55C9" w:rsidRPr="00B45388" w:rsidRDefault="009C55C9" w:rsidP="009C55C9">
      <w:pPr>
        <w:pStyle w:val="NormalWeb"/>
        <w:jc w:val="both"/>
        <w:rPr>
          <w:rFonts w:asciiTheme="minorHAnsi" w:hAnsiTheme="minorHAnsi" w:cstheme="minorBidi"/>
          <w:color w:val="000000" w:themeColor="text1"/>
          <w:sz w:val="22"/>
          <w:szCs w:val="22"/>
        </w:rPr>
      </w:pPr>
      <w:r w:rsidRPr="0926008D">
        <w:rPr>
          <w:rStyle w:val="Strong"/>
          <w:rFonts w:asciiTheme="minorHAnsi" w:hAnsiTheme="minorHAnsi" w:cstheme="minorBidi"/>
          <w:color w:val="000000" w:themeColor="text1"/>
          <w:sz w:val="22"/>
          <w:szCs w:val="22"/>
        </w:rPr>
        <w:t>on the prescription? Is there a need to check later if there is a gap between dispensing and supply?</w:t>
      </w:r>
    </w:p>
    <w:p w14:paraId="0447DBEB" w14:textId="77777777" w:rsidR="009C55C9" w:rsidRPr="00B45388" w:rsidRDefault="009C55C9" w:rsidP="009C55C9">
      <w:pPr>
        <w:pStyle w:val="NormalWeb"/>
        <w:jc w:val="both"/>
        <w:rPr>
          <w:rFonts w:asciiTheme="minorHAnsi" w:hAnsiTheme="minorHAnsi" w:cstheme="minorHAnsi"/>
          <w:color w:val="000000" w:themeColor="text1"/>
          <w:sz w:val="22"/>
          <w:szCs w:val="22"/>
        </w:rPr>
      </w:pPr>
      <w:r w:rsidRPr="00B45388">
        <w:rPr>
          <w:rFonts w:asciiTheme="minorHAnsi" w:hAnsiTheme="minorHAnsi" w:cstheme="minorHAnsi"/>
          <w:color w:val="000000" w:themeColor="text1"/>
          <w:sz w:val="22"/>
          <w:szCs w:val="22"/>
        </w:rPr>
        <w:t>No. There is no requirement to check a prescription twice, i.e. a second time after RTEC was applied onto the prescription. If necessary, you may inform the patient that an RTEC check was performed earlier during the dispensing process which ‘stamped’ the prescription as exempt.</w:t>
      </w:r>
    </w:p>
    <w:p w14:paraId="53CC8875" w14:textId="77777777" w:rsidR="009C55C9" w:rsidRPr="00B45388" w:rsidRDefault="009C55C9" w:rsidP="009C55C9">
      <w:pPr>
        <w:pStyle w:val="NormalWeb"/>
        <w:jc w:val="both"/>
        <w:rPr>
          <w:rFonts w:asciiTheme="minorHAnsi" w:hAnsiTheme="minorHAnsi" w:cstheme="minorHAnsi"/>
          <w:color w:val="000000" w:themeColor="text1"/>
          <w:sz w:val="22"/>
          <w:szCs w:val="22"/>
        </w:rPr>
      </w:pPr>
    </w:p>
    <w:p w14:paraId="689BD248" w14:textId="77777777" w:rsidR="009C55C9" w:rsidRPr="00B45388" w:rsidRDefault="00000000" w:rsidP="009C55C9">
      <w:pPr>
        <w:pStyle w:val="NormalWeb"/>
        <w:jc w:val="both"/>
        <w:rPr>
          <w:rFonts w:asciiTheme="minorHAnsi" w:hAnsiTheme="minorHAnsi" w:cstheme="minorHAnsi"/>
          <w:color w:val="000000" w:themeColor="text1"/>
          <w:sz w:val="22"/>
          <w:szCs w:val="22"/>
        </w:rPr>
      </w:pPr>
      <w:hyperlink r:id="rId84" w:history="1">
        <w:r w:rsidR="009C55C9" w:rsidRPr="00B45388">
          <w:rPr>
            <w:rStyle w:val="Hyperlink"/>
            <w:rFonts w:asciiTheme="minorHAnsi" w:hAnsiTheme="minorHAnsi" w:cstheme="minorHAnsi"/>
            <w:color w:val="000000" w:themeColor="text1"/>
            <w:sz w:val="22"/>
            <w:szCs w:val="22"/>
          </w:rPr>
          <w:t>Read additional FAQs within the RTEC FAQ factsheet</w:t>
        </w:r>
      </w:hyperlink>
    </w:p>
    <w:p w14:paraId="3CDF15EF" w14:textId="77777777" w:rsidR="009C55C9" w:rsidRPr="00A7149F" w:rsidRDefault="009C55C9" w:rsidP="009C55C9">
      <w:pPr>
        <w:pStyle w:val="NoSpacing"/>
        <w:jc w:val="both"/>
        <w:rPr>
          <w:rFonts w:ascii="Calibri Light" w:eastAsia="Calibri" w:hAnsi="Calibri Light" w:cs="Calibri Light"/>
          <w:color w:val="000000" w:themeColor="text1"/>
          <w:lang w:bidi="en-US"/>
        </w:rPr>
      </w:pPr>
    </w:p>
    <w:p w14:paraId="55593C60" w14:textId="77777777" w:rsidR="009C55C9" w:rsidRPr="00623DED" w:rsidRDefault="009C55C9" w:rsidP="009C55C9">
      <w:pPr>
        <w:pStyle w:val="NoSpacing"/>
        <w:jc w:val="both"/>
        <w:rPr>
          <w:rFonts w:ascii="Calibri Light" w:eastAsia="Calibri" w:hAnsi="Calibri Light" w:cs="Calibri Light"/>
          <w:color w:val="2F5496" w:themeColor="accent1" w:themeShade="BF"/>
          <w:lang w:bidi="en-US"/>
        </w:rPr>
      </w:pPr>
    </w:p>
    <w:p w14:paraId="5B6E24D0" w14:textId="77777777" w:rsidR="009C55C9" w:rsidRDefault="009C55C9" w:rsidP="009C55C9">
      <w:pPr>
        <w:pStyle w:val="NoSpacing"/>
        <w:jc w:val="both"/>
        <w:rPr>
          <w:rFonts w:ascii="Calibri Light" w:eastAsia="Calibri" w:hAnsi="Calibri Light" w:cs="Calibri Light"/>
          <w:color w:val="2F5496" w:themeColor="accent1" w:themeShade="BF"/>
          <w:sz w:val="32"/>
          <w:szCs w:val="32"/>
          <w:lang w:bidi="en-US"/>
        </w:rPr>
      </w:pPr>
      <w:r>
        <w:rPr>
          <w:rFonts w:ascii="Calibri Light" w:eastAsia="Calibri" w:hAnsi="Calibri Light" w:cs="Calibri Light"/>
          <w:color w:val="2F5496" w:themeColor="accent1" w:themeShade="BF"/>
          <w:sz w:val="32"/>
          <w:szCs w:val="32"/>
          <w:lang w:bidi="en-US"/>
        </w:rPr>
        <w:t xml:space="preserve">Three products </w:t>
      </w:r>
      <w:r w:rsidRPr="1EA93732">
        <w:rPr>
          <w:rFonts w:ascii="Calibri Light" w:eastAsia="Calibri" w:hAnsi="Calibri Light" w:cs="Calibri Light"/>
          <w:color w:val="2F5496" w:themeColor="accent1" w:themeShade="BF"/>
          <w:sz w:val="32"/>
          <w:szCs w:val="32"/>
          <w:lang w:bidi="en-US"/>
        </w:rPr>
        <w:t xml:space="preserve">reclassified as special </w:t>
      </w:r>
      <w:r w:rsidRPr="1F6BFE92">
        <w:rPr>
          <w:rFonts w:ascii="Calibri Light" w:eastAsia="Calibri" w:hAnsi="Calibri Light" w:cs="Calibri Light"/>
          <w:color w:val="2F5496" w:themeColor="accent1" w:themeShade="BF"/>
          <w:sz w:val="32"/>
          <w:szCs w:val="32"/>
          <w:lang w:bidi="en-US"/>
        </w:rPr>
        <w:t>containers</w:t>
      </w:r>
      <w:r w:rsidRPr="1EA93732">
        <w:rPr>
          <w:rFonts w:ascii="Calibri Light" w:eastAsia="Calibri" w:hAnsi="Calibri Light" w:cs="Calibri Light"/>
          <w:color w:val="2F5496" w:themeColor="accent1" w:themeShade="BF"/>
          <w:sz w:val="32"/>
          <w:szCs w:val="32"/>
          <w:lang w:bidi="en-US"/>
        </w:rPr>
        <w:t xml:space="preserve"> from </w:t>
      </w:r>
      <w:r>
        <w:rPr>
          <w:rFonts w:ascii="Calibri Light" w:eastAsia="Calibri" w:hAnsi="Calibri Light" w:cs="Calibri Light"/>
          <w:color w:val="2F5496" w:themeColor="accent1" w:themeShade="BF"/>
          <w:sz w:val="32"/>
          <w:szCs w:val="32"/>
          <w:lang w:bidi="en-US"/>
        </w:rPr>
        <w:t>September</w:t>
      </w:r>
      <w:r w:rsidRPr="1EA93732">
        <w:rPr>
          <w:rFonts w:ascii="Calibri Light" w:eastAsia="Calibri" w:hAnsi="Calibri Light" w:cs="Calibri Light"/>
          <w:color w:val="2F5496" w:themeColor="accent1" w:themeShade="BF"/>
          <w:sz w:val="32"/>
          <w:szCs w:val="32"/>
          <w:lang w:bidi="en-US"/>
        </w:rPr>
        <w:t xml:space="preserve"> 2022 </w:t>
      </w:r>
    </w:p>
    <w:p w14:paraId="2B8715A8" w14:textId="77777777" w:rsidR="009C55C9" w:rsidRDefault="009C55C9" w:rsidP="009C55C9">
      <w:pPr>
        <w:jc w:val="both"/>
      </w:pPr>
      <w:bookmarkStart w:id="0" w:name="_Contractor_Notice:_Electronic"/>
      <w:bookmarkStart w:id="1" w:name="_Contractor_Notice_–"/>
      <w:bookmarkStart w:id="2" w:name="_Update_summary_of"/>
      <w:bookmarkEnd w:id="0"/>
      <w:bookmarkEnd w:id="1"/>
      <w:bookmarkEnd w:id="2"/>
    </w:p>
    <w:p w14:paraId="78569C8E" w14:textId="77777777" w:rsidR="009C55C9" w:rsidRDefault="009C55C9" w:rsidP="009C55C9">
      <w:pPr>
        <w:rPr>
          <w:color w:val="000000" w:themeColor="text1"/>
        </w:rPr>
      </w:pPr>
      <w:r w:rsidRPr="469BFCBA">
        <w:t>Following representations from PSNC, the Department of Health of Social Care (DHSC) has re-determined the special container status of the following products to be supplied as complete packs:</w:t>
      </w:r>
    </w:p>
    <w:p w14:paraId="2DC0DB37" w14:textId="77777777" w:rsidR="009C55C9" w:rsidRDefault="009C55C9" w:rsidP="00AF46FC">
      <w:pPr>
        <w:pStyle w:val="ListParagraph"/>
        <w:widowControl w:val="0"/>
        <w:numPr>
          <w:ilvl w:val="0"/>
          <w:numId w:val="21"/>
        </w:numPr>
        <w:autoSpaceDE w:val="0"/>
        <w:autoSpaceDN w:val="0"/>
        <w:spacing w:after="0" w:line="240" w:lineRule="auto"/>
        <w:contextualSpacing w:val="0"/>
        <w:rPr>
          <w:rFonts w:eastAsiaTheme="minorEastAsia"/>
          <w:color w:val="000000" w:themeColor="text1"/>
        </w:rPr>
      </w:pPr>
      <w:proofErr w:type="spellStart"/>
      <w:r w:rsidRPr="469BFCBA">
        <w:t>Cycloserine</w:t>
      </w:r>
      <w:proofErr w:type="spellEnd"/>
      <w:r w:rsidRPr="469BFCBA">
        <w:t xml:space="preserve"> 250mg capsules</w:t>
      </w:r>
    </w:p>
    <w:p w14:paraId="5AA6888C" w14:textId="77777777" w:rsidR="009C55C9" w:rsidRDefault="009C55C9" w:rsidP="00AF46FC">
      <w:pPr>
        <w:pStyle w:val="ListParagraph"/>
        <w:widowControl w:val="0"/>
        <w:numPr>
          <w:ilvl w:val="0"/>
          <w:numId w:val="21"/>
        </w:numPr>
        <w:autoSpaceDE w:val="0"/>
        <w:autoSpaceDN w:val="0"/>
        <w:spacing w:after="0" w:line="240" w:lineRule="auto"/>
        <w:contextualSpacing w:val="0"/>
        <w:rPr>
          <w:rFonts w:eastAsiaTheme="minorEastAsia"/>
          <w:color w:val="000000" w:themeColor="text1"/>
        </w:rPr>
      </w:pPr>
      <w:proofErr w:type="spellStart"/>
      <w:r w:rsidRPr="469BFCBA">
        <w:t>Efmody</w:t>
      </w:r>
      <w:proofErr w:type="spellEnd"/>
      <w:r w:rsidRPr="469BFCBA">
        <w:t xml:space="preserve"> 5mg modified-release capsules</w:t>
      </w:r>
    </w:p>
    <w:p w14:paraId="41D14C35" w14:textId="77777777" w:rsidR="009C55C9" w:rsidRDefault="009C55C9" w:rsidP="00AF46FC">
      <w:pPr>
        <w:pStyle w:val="ListParagraph"/>
        <w:widowControl w:val="0"/>
        <w:numPr>
          <w:ilvl w:val="0"/>
          <w:numId w:val="21"/>
        </w:numPr>
        <w:autoSpaceDE w:val="0"/>
        <w:autoSpaceDN w:val="0"/>
        <w:spacing w:after="0" w:line="240" w:lineRule="auto"/>
        <w:contextualSpacing w:val="0"/>
        <w:rPr>
          <w:rFonts w:eastAsiaTheme="minorEastAsia"/>
          <w:color w:val="000000" w:themeColor="text1"/>
        </w:rPr>
      </w:pPr>
      <w:proofErr w:type="spellStart"/>
      <w:r w:rsidRPr="469BFCBA">
        <w:t>Efmody</w:t>
      </w:r>
      <w:proofErr w:type="spellEnd"/>
      <w:r w:rsidRPr="469BFCBA">
        <w:t xml:space="preserve"> 10mg modified-release capsules</w:t>
      </w:r>
    </w:p>
    <w:p w14:paraId="156575EF" w14:textId="77777777" w:rsidR="009C55C9" w:rsidRDefault="009C55C9" w:rsidP="009C55C9">
      <w:pPr>
        <w:rPr>
          <w:color w:val="000000" w:themeColor="text1"/>
        </w:rPr>
      </w:pPr>
    </w:p>
    <w:p w14:paraId="7069FBC8" w14:textId="77777777" w:rsidR="009C55C9" w:rsidRDefault="009C55C9" w:rsidP="009C55C9">
      <w:pPr>
        <w:rPr>
          <w:color w:val="000000" w:themeColor="text1"/>
        </w:rPr>
      </w:pPr>
      <w:r w:rsidRPr="469BFCBA">
        <w:t xml:space="preserve">From September 2022, these products have been re-classified as special containers as they meet the relevant criteria as set out in Part II Clause 10B of the Tariff. </w:t>
      </w:r>
    </w:p>
    <w:p w14:paraId="2CED1D12" w14:textId="77777777" w:rsidR="009C55C9" w:rsidRDefault="009C55C9" w:rsidP="009C55C9">
      <w:pPr>
        <w:pStyle w:val="NoSpacing"/>
        <w:jc w:val="both"/>
        <w:rPr>
          <w:color w:val="000000" w:themeColor="text1"/>
        </w:rPr>
      </w:pPr>
    </w:p>
    <w:p w14:paraId="1F81074B" w14:textId="77777777" w:rsidR="009C55C9" w:rsidRPr="00D303D2" w:rsidRDefault="009C55C9" w:rsidP="009C55C9">
      <w:pPr>
        <w:pStyle w:val="NoSpacing"/>
        <w:jc w:val="both"/>
        <w:rPr>
          <w:rFonts w:eastAsiaTheme="minorEastAsia"/>
          <w:color w:val="000000" w:themeColor="text1"/>
          <w:highlight w:val="yellow"/>
          <w:u w:val="single"/>
        </w:rPr>
      </w:pPr>
      <w:r w:rsidRPr="469BFCBA">
        <w:t xml:space="preserve">Since August 2019, </w:t>
      </w:r>
      <w:r w:rsidRPr="469BFCBA">
        <w:rPr>
          <w:rFonts w:eastAsiaTheme="minorEastAsia"/>
        </w:rPr>
        <w:t>PSNC’s Dispensing &amp; Supply team</w:t>
      </w:r>
      <w:r w:rsidRPr="469BFCBA">
        <w:t xml:space="preserve"> has reviewed over </w:t>
      </w:r>
      <w:r w:rsidRPr="469BFCBA">
        <w:rPr>
          <w:b/>
          <w:bCs/>
        </w:rPr>
        <w:t>4,000</w:t>
      </w:r>
      <w:r w:rsidRPr="469BFCBA">
        <w:t xml:space="preserve"> products against Drug Tariff special container criteria. </w:t>
      </w:r>
      <w:r w:rsidRPr="469BFCBA">
        <w:rPr>
          <w:rFonts w:eastAsiaTheme="minorEastAsia"/>
          <w:lang w:val="en-US"/>
        </w:rPr>
        <w:t>The three main criteria under which PSNC has focused its attention are drugs that are considered hygroscopic, viscous external preparations and those packaged into containers from which it is not practical to dispense the exact quantity.</w:t>
      </w:r>
      <w:r w:rsidRPr="469BFCBA">
        <w:t xml:space="preserve"> Of those checked, PSNC has identified and submitted applications for</w:t>
      </w:r>
      <w:r w:rsidRPr="469BFCBA">
        <w:rPr>
          <w:b/>
          <w:bCs/>
        </w:rPr>
        <w:t xml:space="preserve"> 885 </w:t>
      </w:r>
      <w:r w:rsidRPr="469BFCBA">
        <w:t xml:space="preserve">products that appear to meet one or more of the special container criteria but are not annotated as such in the Drug Tariff and/or the </w:t>
      </w:r>
      <w:proofErr w:type="spellStart"/>
      <w:r w:rsidRPr="469BFCBA">
        <w:t>dm+d</w:t>
      </w:r>
      <w:proofErr w:type="spellEnd"/>
      <w:r w:rsidRPr="469BFCBA">
        <w:t xml:space="preserve">. </w:t>
      </w:r>
      <w:r w:rsidRPr="469BFCBA">
        <w:rPr>
          <w:rFonts w:eastAsiaTheme="minorEastAsia"/>
        </w:rPr>
        <w:t>See our page on ‘</w:t>
      </w:r>
      <w:hyperlink r:id="rId85">
        <w:r w:rsidRPr="469BFCBA">
          <w:rPr>
            <w:rStyle w:val="Hyperlink"/>
            <w:rFonts w:eastAsiaTheme="minorEastAsia"/>
            <w:i/>
            <w:iCs/>
            <w:color w:val="auto"/>
          </w:rPr>
          <w:t>Notice of changes to special container status of products’</w:t>
        </w:r>
      </w:hyperlink>
      <w:r w:rsidRPr="469BFCBA">
        <w:rPr>
          <w:rStyle w:val="Hyperlink"/>
          <w:rFonts w:eastAsiaTheme="minorEastAsia"/>
          <w:color w:val="auto"/>
        </w:rPr>
        <w:t>.</w:t>
      </w:r>
      <w:r w:rsidRPr="469BFCBA">
        <w:t xml:space="preserve"> </w:t>
      </w:r>
    </w:p>
    <w:p w14:paraId="34019439" w14:textId="77777777" w:rsidR="009C55C9" w:rsidRPr="00D303D2" w:rsidRDefault="009C55C9" w:rsidP="009C55C9">
      <w:pPr>
        <w:pStyle w:val="NoSpacing"/>
        <w:jc w:val="both"/>
        <w:rPr>
          <w:color w:val="000000" w:themeColor="text1"/>
          <w:highlight w:val="yellow"/>
        </w:rPr>
      </w:pPr>
    </w:p>
    <w:p w14:paraId="3BA02F97" w14:textId="77777777" w:rsidR="009C55C9" w:rsidRDefault="009C55C9" w:rsidP="009C55C9">
      <w:pPr>
        <w:pStyle w:val="NoSpacing"/>
        <w:jc w:val="both"/>
        <w:rPr>
          <w:color w:val="000000" w:themeColor="text1"/>
        </w:rPr>
      </w:pPr>
      <w:r w:rsidRPr="469BFCBA">
        <w:t xml:space="preserve">The table below provides latest information on the number of products that have been submitted to DHSC and NHSBSA for further investigation and the status of these applications. </w:t>
      </w:r>
    </w:p>
    <w:p w14:paraId="0B4E8861" w14:textId="77777777" w:rsidR="009C55C9" w:rsidRDefault="009C55C9" w:rsidP="009C55C9">
      <w:pPr>
        <w:jc w:val="both"/>
        <w:rPr>
          <w:sz w:val="18"/>
          <w:szCs w:val="18"/>
        </w:rPr>
      </w:pPr>
    </w:p>
    <w:tbl>
      <w:tblPr>
        <w:tblW w:w="10482"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260"/>
        <w:gridCol w:w="1736"/>
        <w:gridCol w:w="2162"/>
        <w:gridCol w:w="2162"/>
        <w:gridCol w:w="2162"/>
      </w:tblGrid>
      <w:tr w:rsidR="009C55C9" w:rsidRPr="001C3932" w14:paraId="6C5833A9" w14:textId="77777777" w:rsidTr="00BF374D">
        <w:trPr>
          <w:trHeight w:val="1200"/>
          <w:tblHeader/>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5ED2A084" w14:textId="77777777" w:rsidR="009C55C9" w:rsidRPr="001C3932" w:rsidRDefault="009C55C9" w:rsidP="00BF374D">
            <w:pPr>
              <w:pStyle w:val="NoSpacing"/>
              <w:spacing w:line="259" w:lineRule="auto"/>
              <w:jc w:val="center"/>
              <w:rPr>
                <w:rFonts w:eastAsiaTheme="minorEastAsia"/>
                <w:b/>
                <w:color w:val="FFFFFF" w:themeColor="background1"/>
              </w:rPr>
            </w:pPr>
            <w:r w:rsidRPr="6F2E9004">
              <w:rPr>
                <w:rFonts w:eastAsiaTheme="minorEastAsia"/>
                <w:b/>
                <w:color w:val="FFFFFF" w:themeColor="background1"/>
              </w:rPr>
              <w:t>Special container criteria</w:t>
            </w:r>
          </w:p>
        </w:tc>
        <w:tc>
          <w:tcPr>
            <w:tcW w:w="1736" w:type="dxa"/>
            <w:tcBorders>
              <w:top w:val="single" w:sz="6" w:space="0" w:color="auto"/>
              <w:left w:val="nil"/>
              <w:bottom w:val="single" w:sz="6" w:space="0" w:color="auto"/>
              <w:right w:val="single" w:sz="6" w:space="0" w:color="auto"/>
            </w:tcBorders>
            <w:shd w:val="clear" w:color="auto" w:fill="65922E"/>
            <w:vAlign w:val="center"/>
          </w:tcPr>
          <w:p w14:paraId="5164D965" w14:textId="77777777" w:rsidR="009C55C9" w:rsidRPr="001C3932" w:rsidRDefault="009C55C9" w:rsidP="00BF374D">
            <w:pPr>
              <w:pStyle w:val="NoSpacing"/>
              <w:spacing w:line="259" w:lineRule="auto"/>
              <w:jc w:val="center"/>
              <w:rPr>
                <w:b/>
                <w:color w:val="FFFFFF" w:themeColor="background1"/>
              </w:rPr>
            </w:pPr>
            <w:r w:rsidRPr="3BA20F85">
              <w:rPr>
                <w:b/>
                <w:color w:val="FFFFFF" w:themeColor="background1"/>
              </w:rPr>
              <w:t>Number of products checked</w:t>
            </w:r>
          </w:p>
        </w:tc>
        <w:tc>
          <w:tcPr>
            <w:tcW w:w="2162" w:type="dxa"/>
            <w:tcBorders>
              <w:top w:val="single" w:sz="6" w:space="0" w:color="auto"/>
              <w:left w:val="nil"/>
              <w:bottom w:val="single" w:sz="6" w:space="0" w:color="auto"/>
              <w:right w:val="single" w:sz="6" w:space="0" w:color="auto"/>
            </w:tcBorders>
            <w:shd w:val="clear" w:color="auto" w:fill="65922E"/>
            <w:vAlign w:val="center"/>
          </w:tcPr>
          <w:p w14:paraId="24F4D1AF" w14:textId="77777777" w:rsidR="009C55C9" w:rsidRPr="001C3932" w:rsidRDefault="009C55C9" w:rsidP="00BF374D">
            <w:pPr>
              <w:pStyle w:val="NoSpacing"/>
              <w:spacing w:line="259" w:lineRule="auto"/>
              <w:jc w:val="center"/>
              <w:rPr>
                <w:b/>
                <w:color w:val="FFFFFF" w:themeColor="background1"/>
              </w:rPr>
            </w:pPr>
            <w:r w:rsidRPr="3BA20F85">
              <w:rPr>
                <w:b/>
                <w:color w:val="FFFFFF" w:themeColor="background1"/>
              </w:rPr>
              <w:t>Number of products applied for</w:t>
            </w:r>
          </w:p>
        </w:tc>
        <w:tc>
          <w:tcPr>
            <w:tcW w:w="2162" w:type="dxa"/>
            <w:tcBorders>
              <w:top w:val="single" w:sz="6" w:space="0" w:color="auto"/>
              <w:left w:val="nil"/>
              <w:bottom w:val="single" w:sz="6" w:space="0" w:color="auto"/>
              <w:right w:val="single" w:sz="4" w:space="0" w:color="auto"/>
            </w:tcBorders>
            <w:shd w:val="clear" w:color="auto" w:fill="65922E"/>
            <w:vAlign w:val="center"/>
          </w:tcPr>
          <w:p w14:paraId="5F1CDFD1" w14:textId="77777777" w:rsidR="009C55C9" w:rsidRPr="001C3932" w:rsidRDefault="009C55C9" w:rsidP="00BF374D">
            <w:pPr>
              <w:pStyle w:val="NoSpacing"/>
              <w:spacing w:line="259" w:lineRule="auto"/>
              <w:jc w:val="center"/>
              <w:rPr>
                <w:b/>
                <w:color w:val="FFFFFF" w:themeColor="background1"/>
              </w:rPr>
            </w:pPr>
            <w:r w:rsidRPr="3BA20F85">
              <w:rPr>
                <w:b/>
                <w:color w:val="FFFFFF" w:themeColor="background1"/>
              </w:rPr>
              <w:t>Number of products currently in discussion with DHSC or under review with NHSBSA</w:t>
            </w:r>
          </w:p>
        </w:tc>
        <w:tc>
          <w:tcPr>
            <w:tcW w:w="2162" w:type="dxa"/>
            <w:tcBorders>
              <w:top w:val="single" w:sz="6" w:space="0" w:color="auto"/>
              <w:left w:val="single" w:sz="4" w:space="0" w:color="auto"/>
              <w:bottom w:val="single" w:sz="6" w:space="0" w:color="auto"/>
              <w:right w:val="single" w:sz="6" w:space="0" w:color="auto"/>
            </w:tcBorders>
            <w:shd w:val="clear" w:color="auto" w:fill="65922E"/>
            <w:vAlign w:val="center"/>
          </w:tcPr>
          <w:p w14:paraId="71C34C6F" w14:textId="77777777" w:rsidR="009C55C9" w:rsidRPr="001C3932" w:rsidRDefault="009C55C9" w:rsidP="00BF374D">
            <w:pPr>
              <w:pStyle w:val="NoSpacing"/>
              <w:spacing w:line="259" w:lineRule="auto"/>
              <w:jc w:val="center"/>
              <w:rPr>
                <w:b/>
                <w:color w:val="FFFFFF" w:themeColor="background1"/>
              </w:rPr>
            </w:pPr>
            <w:r w:rsidRPr="3BA20F85">
              <w:rPr>
                <w:b/>
                <w:color w:val="FFFFFF" w:themeColor="background1"/>
              </w:rPr>
              <w:t>Number of products agreed by DHSC as meeting criteria</w:t>
            </w:r>
          </w:p>
        </w:tc>
      </w:tr>
      <w:tr w:rsidR="009C55C9" w:rsidRPr="001C3932" w14:paraId="640E5A36" w14:textId="77777777" w:rsidTr="00BF374D">
        <w:trPr>
          <w:trHeight w:val="653"/>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0EC2C59F" w14:textId="77777777" w:rsidR="009C55C9" w:rsidRPr="001C3932" w:rsidRDefault="009C55C9" w:rsidP="00BF374D">
            <w:pPr>
              <w:pStyle w:val="NoSpacing"/>
              <w:spacing w:line="259" w:lineRule="auto"/>
              <w:jc w:val="center"/>
              <w:rPr>
                <w:rFonts w:eastAsiaTheme="minorEastAsia"/>
                <w:b/>
                <w:color w:val="FFFFFF" w:themeColor="background1"/>
              </w:rPr>
            </w:pPr>
            <w:r w:rsidRPr="6F2E9004">
              <w:rPr>
                <w:rFonts w:eastAsiaTheme="minorEastAsia"/>
                <w:b/>
                <w:color w:val="FFFFFF" w:themeColor="background1"/>
              </w:rPr>
              <w:t>Effervescent or hygroscopic*</w:t>
            </w:r>
          </w:p>
        </w:tc>
        <w:tc>
          <w:tcPr>
            <w:tcW w:w="1736" w:type="dxa"/>
            <w:tcBorders>
              <w:top w:val="single" w:sz="6" w:space="0" w:color="auto"/>
              <w:left w:val="nil"/>
              <w:bottom w:val="single" w:sz="6" w:space="0" w:color="auto"/>
              <w:right w:val="single" w:sz="6" w:space="0" w:color="auto"/>
            </w:tcBorders>
            <w:shd w:val="clear" w:color="auto" w:fill="auto"/>
            <w:vAlign w:val="center"/>
          </w:tcPr>
          <w:p w14:paraId="6124158A" w14:textId="77777777" w:rsidR="009C55C9" w:rsidRPr="00937FB7" w:rsidRDefault="009C55C9" w:rsidP="00BF374D">
            <w:pPr>
              <w:pStyle w:val="NoSpacing"/>
              <w:spacing w:line="259" w:lineRule="auto"/>
              <w:jc w:val="center"/>
              <w:rPr>
                <w:color w:val="000000" w:themeColor="text1"/>
              </w:rPr>
            </w:pPr>
            <w:r w:rsidRPr="7C007E7A">
              <w:rPr>
                <w:color w:val="000000" w:themeColor="text1"/>
              </w:rPr>
              <w:t>269</w:t>
            </w:r>
          </w:p>
        </w:tc>
        <w:tc>
          <w:tcPr>
            <w:tcW w:w="2162" w:type="dxa"/>
            <w:tcBorders>
              <w:top w:val="single" w:sz="6" w:space="0" w:color="auto"/>
              <w:left w:val="nil"/>
              <w:bottom w:val="single" w:sz="6" w:space="0" w:color="auto"/>
              <w:right w:val="single" w:sz="6" w:space="0" w:color="auto"/>
            </w:tcBorders>
            <w:shd w:val="clear" w:color="auto" w:fill="auto"/>
            <w:vAlign w:val="center"/>
          </w:tcPr>
          <w:p w14:paraId="405B327D" w14:textId="77777777" w:rsidR="009C55C9" w:rsidRPr="00937FB7" w:rsidRDefault="009C55C9" w:rsidP="00BF374D">
            <w:pPr>
              <w:pStyle w:val="NoSpacing"/>
              <w:spacing w:line="259" w:lineRule="auto"/>
              <w:jc w:val="center"/>
              <w:rPr>
                <w:color w:val="000000" w:themeColor="text1"/>
              </w:rPr>
            </w:pPr>
            <w:r w:rsidRPr="1EA93732">
              <w:rPr>
                <w:color w:val="000000" w:themeColor="text1"/>
              </w:rPr>
              <w:t>230</w:t>
            </w:r>
          </w:p>
        </w:tc>
        <w:tc>
          <w:tcPr>
            <w:tcW w:w="2162" w:type="dxa"/>
            <w:tcBorders>
              <w:top w:val="single" w:sz="6" w:space="0" w:color="auto"/>
              <w:left w:val="nil"/>
              <w:bottom w:val="single" w:sz="6" w:space="0" w:color="auto"/>
              <w:right w:val="single" w:sz="4" w:space="0" w:color="auto"/>
            </w:tcBorders>
            <w:shd w:val="clear" w:color="auto" w:fill="auto"/>
            <w:vAlign w:val="center"/>
          </w:tcPr>
          <w:p w14:paraId="05ACB9B5" w14:textId="77777777" w:rsidR="009C55C9" w:rsidRPr="00937FB7" w:rsidRDefault="009C55C9" w:rsidP="00BF374D">
            <w:pPr>
              <w:pStyle w:val="NoSpacing"/>
              <w:spacing w:line="259" w:lineRule="auto"/>
              <w:jc w:val="center"/>
              <w:rPr>
                <w:color w:val="000000" w:themeColor="text1"/>
              </w:rPr>
            </w:pPr>
            <w:r w:rsidRPr="1EA93732">
              <w:rPr>
                <w:color w:val="000000" w:themeColor="text1"/>
              </w:rPr>
              <w:t>17</w:t>
            </w:r>
            <w:r>
              <w:rPr>
                <w:color w:val="000000" w:themeColor="text1"/>
              </w:rPr>
              <w:t>7</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4E5D157E" w14:textId="77777777" w:rsidR="009C55C9" w:rsidRPr="00937FB7" w:rsidRDefault="009C55C9" w:rsidP="00BF374D">
            <w:pPr>
              <w:pStyle w:val="NoSpacing"/>
              <w:spacing w:line="259" w:lineRule="auto"/>
              <w:jc w:val="center"/>
              <w:rPr>
                <w:color w:val="000000" w:themeColor="text1"/>
              </w:rPr>
            </w:pPr>
            <w:r w:rsidRPr="1EA93732">
              <w:rPr>
                <w:color w:val="000000" w:themeColor="text1"/>
              </w:rPr>
              <w:t>3</w:t>
            </w:r>
            <w:r>
              <w:rPr>
                <w:color w:val="000000" w:themeColor="text1"/>
              </w:rPr>
              <w:t>6</w:t>
            </w:r>
          </w:p>
        </w:tc>
      </w:tr>
      <w:tr w:rsidR="009C55C9" w:rsidRPr="001C3932" w14:paraId="73729EA2" w14:textId="77777777" w:rsidTr="00BF374D">
        <w:trPr>
          <w:trHeight w:val="818"/>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15A7C8D9" w14:textId="77777777" w:rsidR="009C55C9" w:rsidRPr="001C3932" w:rsidRDefault="009C55C9" w:rsidP="00BF374D">
            <w:pPr>
              <w:pStyle w:val="NoSpacing"/>
              <w:spacing w:line="259" w:lineRule="auto"/>
              <w:jc w:val="center"/>
              <w:rPr>
                <w:rFonts w:eastAsiaTheme="minorEastAsia"/>
                <w:b/>
                <w:color w:val="FFFFFF" w:themeColor="background1"/>
              </w:rPr>
            </w:pPr>
            <w:r w:rsidRPr="6F2E9004">
              <w:rPr>
                <w:rFonts w:eastAsiaTheme="minorEastAsia"/>
                <w:b/>
                <w:color w:val="FFFFFF" w:themeColor="background1"/>
              </w:rPr>
              <w:lastRenderedPageBreak/>
              <w:t>Viscous external preparations*</w:t>
            </w:r>
          </w:p>
        </w:tc>
        <w:tc>
          <w:tcPr>
            <w:tcW w:w="1736" w:type="dxa"/>
            <w:tcBorders>
              <w:top w:val="single" w:sz="6" w:space="0" w:color="auto"/>
              <w:left w:val="nil"/>
              <w:bottom w:val="single" w:sz="6" w:space="0" w:color="auto"/>
              <w:right w:val="single" w:sz="6" w:space="0" w:color="auto"/>
            </w:tcBorders>
            <w:shd w:val="clear" w:color="auto" w:fill="auto"/>
            <w:vAlign w:val="center"/>
          </w:tcPr>
          <w:p w14:paraId="60D0F0A4" w14:textId="77777777" w:rsidR="009C55C9" w:rsidRPr="00937FB7" w:rsidRDefault="009C55C9" w:rsidP="00BF374D">
            <w:pPr>
              <w:pStyle w:val="NoSpacing"/>
              <w:spacing w:line="259" w:lineRule="auto"/>
              <w:jc w:val="center"/>
              <w:rPr>
                <w:color w:val="000000" w:themeColor="text1"/>
              </w:rPr>
            </w:pPr>
            <w:r w:rsidRPr="7C007E7A">
              <w:rPr>
                <w:color w:val="000000" w:themeColor="text1"/>
              </w:rPr>
              <w:t>89</w:t>
            </w:r>
            <w:r>
              <w:rPr>
                <w:color w:val="000000" w:themeColor="text1"/>
              </w:rPr>
              <w:t>5</w:t>
            </w:r>
          </w:p>
        </w:tc>
        <w:tc>
          <w:tcPr>
            <w:tcW w:w="2162" w:type="dxa"/>
            <w:tcBorders>
              <w:top w:val="single" w:sz="6" w:space="0" w:color="auto"/>
              <w:left w:val="nil"/>
              <w:bottom w:val="single" w:sz="6" w:space="0" w:color="auto"/>
              <w:right w:val="single" w:sz="6" w:space="0" w:color="auto"/>
            </w:tcBorders>
            <w:shd w:val="clear" w:color="auto" w:fill="auto"/>
            <w:vAlign w:val="center"/>
          </w:tcPr>
          <w:p w14:paraId="4AACAC2D" w14:textId="77777777" w:rsidR="009C55C9" w:rsidRPr="00937FB7" w:rsidRDefault="009C55C9" w:rsidP="00BF374D">
            <w:pPr>
              <w:pStyle w:val="NoSpacing"/>
              <w:spacing w:line="259" w:lineRule="auto"/>
              <w:jc w:val="center"/>
              <w:rPr>
                <w:color w:val="000000" w:themeColor="text1"/>
              </w:rPr>
            </w:pPr>
            <w:r w:rsidRPr="7C007E7A">
              <w:rPr>
                <w:color w:val="000000" w:themeColor="text1"/>
              </w:rPr>
              <w:t>136</w:t>
            </w:r>
          </w:p>
        </w:tc>
        <w:tc>
          <w:tcPr>
            <w:tcW w:w="2162" w:type="dxa"/>
            <w:tcBorders>
              <w:top w:val="single" w:sz="6" w:space="0" w:color="auto"/>
              <w:left w:val="nil"/>
              <w:bottom w:val="single" w:sz="6" w:space="0" w:color="auto"/>
              <w:right w:val="single" w:sz="4" w:space="0" w:color="auto"/>
            </w:tcBorders>
            <w:shd w:val="clear" w:color="auto" w:fill="auto"/>
            <w:vAlign w:val="center"/>
          </w:tcPr>
          <w:p w14:paraId="5D562A10" w14:textId="77777777" w:rsidR="009C55C9" w:rsidRPr="00937FB7" w:rsidRDefault="009C55C9" w:rsidP="00BF374D">
            <w:pPr>
              <w:pStyle w:val="NoSpacing"/>
              <w:spacing w:line="259" w:lineRule="auto"/>
              <w:jc w:val="center"/>
              <w:rPr>
                <w:color w:val="000000" w:themeColor="text1"/>
              </w:rPr>
            </w:pPr>
            <w:r w:rsidRPr="7C007E7A">
              <w:rPr>
                <w:color w:val="000000" w:themeColor="text1"/>
              </w:rPr>
              <w:t>124</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4D98A158" w14:textId="77777777" w:rsidR="009C55C9" w:rsidRPr="00937FB7" w:rsidRDefault="009C55C9" w:rsidP="00BF374D">
            <w:pPr>
              <w:pStyle w:val="NoSpacing"/>
              <w:spacing w:line="259" w:lineRule="auto"/>
              <w:jc w:val="center"/>
              <w:rPr>
                <w:color w:val="000000" w:themeColor="text1"/>
              </w:rPr>
            </w:pPr>
            <w:r w:rsidRPr="7C007E7A">
              <w:rPr>
                <w:color w:val="000000" w:themeColor="text1"/>
              </w:rPr>
              <w:t>12</w:t>
            </w:r>
          </w:p>
        </w:tc>
      </w:tr>
      <w:tr w:rsidR="009C55C9" w:rsidRPr="001C3932" w14:paraId="60DEF372" w14:textId="77777777" w:rsidTr="00BF374D">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0F3C9BC0" w14:textId="77777777" w:rsidR="009C55C9" w:rsidRPr="001C3932" w:rsidRDefault="009C55C9" w:rsidP="00BF374D">
            <w:pPr>
              <w:pStyle w:val="NoSpacing"/>
              <w:spacing w:line="259" w:lineRule="auto"/>
              <w:jc w:val="center"/>
              <w:rPr>
                <w:rFonts w:eastAsiaTheme="minorEastAsia"/>
                <w:b/>
                <w:color w:val="FFFFFF" w:themeColor="background1"/>
              </w:rPr>
            </w:pPr>
            <w:r w:rsidRPr="6F2E9004">
              <w:rPr>
                <w:rFonts w:eastAsiaTheme="minorEastAsia"/>
                <w:b/>
                <w:color w:val="FFFFFF" w:themeColor="background1"/>
              </w:rPr>
              <w:t>Packaged in a container from which it is not practicable to dispense exact quantity*</w:t>
            </w:r>
          </w:p>
        </w:tc>
        <w:tc>
          <w:tcPr>
            <w:tcW w:w="1736" w:type="dxa"/>
            <w:tcBorders>
              <w:top w:val="single" w:sz="6" w:space="0" w:color="auto"/>
              <w:left w:val="nil"/>
              <w:bottom w:val="single" w:sz="6" w:space="0" w:color="auto"/>
              <w:right w:val="single" w:sz="6" w:space="0" w:color="auto"/>
            </w:tcBorders>
            <w:shd w:val="clear" w:color="auto" w:fill="auto"/>
            <w:vAlign w:val="center"/>
          </w:tcPr>
          <w:p w14:paraId="232FC1A2" w14:textId="77777777" w:rsidR="009C55C9" w:rsidRPr="00937FB7" w:rsidRDefault="009C55C9" w:rsidP="00BF374D">
            <w:pPr>
              <w:pStyle w:val="NoSpacing"/>
              <w:spacing w:line="259" w:lineRule="auto"/>
              <w:jc w:val="center"/>
              <w:rPr>
                <w:color w:val="000000" w:themeColor="text1"/>
              </w:rPr>
            </w:pPr>
            <w:r w:rsidRPr="7C007E7A">
              <w:rPr>
                <w:color w:val="000000" w:themeColor="text1"/>
              </w:rPr>
              <w:t>30</w:t>
            </w:r>
            <w:r>
              <w:rPr>
                <w:color w:val="000000" w:themeColor="text1"/>
              </w:rPr>
              <w:t>28</w:t>
            </w:r>
          </w:p>
        </w:tc>
        <w:tc>
          <w:tcPr>
            <w:tcW w:w="2162" w:type="dxa"/>
            <w:tcBorders>
              <w:top w:val="single" w:sz="6" w:space="0" w:color="auto"/>
              <w:left w:val="nil"/>
              <w:bottom w:val="single" w:sz="6" w:space="0" w:color="auto"/>
              <w:right w:val="single" w:sz="6" w:space="0" w:color="auto"/>
            </w:tcBorders>
            <w:shd w:val="clear" w:color="auto" w:fill="auto"/>
            <w:vAlign w:val="center"/>
          </w:tcPr>
          <w:p w14:paraId="7A24361F" w14:textId="77777777" w:rsidR="009C55C9" w:rsidRPr="00937FB7" w:rsidRDefault="009C55C9" w:rsidP="00BF374D">
            <w:pPr>
              <w:pStyle w:val="NoSpacing"/>
              <w:spacing w:line="259" w:lineRule="auto"/>
              <w:jc w:val="center"/>
              <w:rPr>
                <w:color w:val="000000" w:themeColor="text1"/>
              </w:rPr>
            </w:pPr>
            <w:r w:rsidRPr="7C007E7A">
              <w:rPr>
                <w:color w:val="000000" w:themeColor="text1"/>
              </w:rPr>
              <w:t>506</w:t>
            </w:r>
          </w:p>
        </w:tc>
        <w:tc>
          <w:tcPr>
            <w:tcW w:w="2162" w:type="dxa"/>
            <w:tcBorders>
              <w:top w:val="single" w:sz="6" w:space="0" w:color="auto"/>
              <w:left w:val="nil"/>
              <w:bottom w:val="single" w:sz="6" w:space="0" w:color="auto"/>
              <w:right w:val="single" w:sz="4" w:space="0" w:color="auto"/>
            </w:tcBorders>
            <w:shd w:val="clear" w:color="auto" w:fill="auto"/>
            <w:vAlign w:val="center"/>
          </w:tcPr>
          <w:p w14:paraId="5A3D2E09" w14:textId="77777777" w:rsidR="009C55C9" w:rsidRPr="00937FB7" w:rsidRDefault="009C55C9" w:rsidP="00BF374D">
            <w:pPr>
              <w:pStyle w:val="NoSpacing"/>
              <w:spacing w:line="259" w:lineRule="auto"/>
              <w:jc w:val="center"/>
              <w:rPr>
                <w:color w:val="000000" w:themeColor="text1"/>
              </w:rPr>
            </w:pPr>
            <w:r w:rsidRPr="7C007E7A">
              <w:rPr>
                <w:color w:val="000000" w:themeColor="text1"/>
              </w:rPr>
              <w:t>44</w:t>
            </w:r>
            <w:r>
              <w:rPr>
                <w:color w:val="000000" w:themeColor="text1"/>
              </w:rPr>
              <w:t>3</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781BE2F6" w14:textId="77777777" w:rsidR="009C55C9" w:rsidRPr="00937FB7" w:rsidRDefault="009C55C9" w:rsidP="00BF374D">
            <w:pPr>
              <w:pStyle w:val="NoSpacing"/>
              <w:spacing w:line="259" w:lineRule="auto"/>
              <w:jc w:val="center"/>
              <w:rPr>
                <w:color w:val="000000" w:themeColor="text1"/>
              </w:rPr>
            </w:pPr>
            <w:r>
              <w:rPr>
                <w:color w:val="000000" w:themeColor="text1"/>
              </w:rPr>
              <w:t>80</w:t>
            </w:r>
          </w:p>
        </w:tc>
      </w:tr>
      <w:tr w:rsidR="009C55C9" w:rsidRPr="001C3932" w14:paraId="50248D02" w14:textId="77777777" w:rsidTr="00BF374D">
        <w:trPr>
          <w:trHeight w:val="621"/>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642E54D2" w14:textId="77777777" w:rsidR="009C55C9" w:rsidRPr="001C3932" w:rsidRDefault="009C55C9" w:rsidP="00BF374D">
            <w:pPr>
              <w:pStyle w:val="NoSpacing"/>
              <w:spacing w:line="259" w:lineRule="auto"/>
              <w:jc w:val="center"/>
              <w:rPr>
                <w:rFonts w:eastAsiaTheme="minorEastAsia"/>
                <w:b/>
                <w:color w:val="FFFFFF" w:themeColor="background1"/>
              </w:rPr>
            </w:pPr>
            <w:r w:rsidRPr="6F2E9004">
              <w:rPr>
                <w:rFonts w:eastAsiaTheme="minorEastAsia"/>
                <w:b/>
                <w:color w:val="FFFFFF" w:themeColor="background1"/>
              </w:rPr>
              <w:t>Total</w:t>
            </w:r>
          </w:p>
        </w:tc>
        <w:tc>
          <w:tcPr>
            <w:tcW w:w="1736" w:type="dxa"/>
            <w:tcBorders>
              <w:top w:val="single" w:sz="6" w:space="0" w:color="auto"/>
              <w:left w:val="nil"/>
              <w:bottom w:val="single" w:sz="6" w:space="0" w:color="auto"/>
              <w:right w:val="single" w:sz="6" w:space="0" w:color="auto"/>
            </w:tcBorders>
            <w:shd w:val="clear" w:color="auto" w:fill="auto"/>
            <w:vAlign w:val="center"/>
          </w:tcPr>
          <w:p w14:paraId="6078F885" w14:textId="77777777" w:rsidR="009C55C9" w:rsidRPr="00933240" w:rsidRDefault="009C55C9" w:rsidP="00BF374D">
            <w:pPr>
              <w:pStyle w:val="NoSpacing"/>
              <w:spacing w:line="259" w:lineRule="auto"/>
              <w:jc w:val="center"/>
              <w:rPr>
                <w:b/>
                <w:color w:val="000000" w:themeColor="text1"/>
              </w:rPr>
            </w:pPr>
            <w:r w:rsidRPr="7C007E7A">
              <w:rPr>
                <w:b/>
                <w:color w:val="000000" w:themeColor="text1"/>
              </w:rPr>
              <w:t>4,1</w:t>
            </w:r>
            <w:r>
              <w:rPr>
                <w:b/>
                <w:color w:val="000000" w:themeColor="text1"/>
              </w:rPr>
              <w:t>92</w:t>
            </w:r>
          </w:p>
        </w:tc>
        <w:tc>
          <w:tcPr>
            <w:tcW w:w="2162" w:type="dxa"/>
            <w:tcBorders>
              <w:top w:val="single" w:sz="6" w:space="0" w:color="auto"/>
              <w:left w:val="nil"/>
              <w:bottom w:val="single" w:sz="6" w:space="0" w:color="auto"/>
              <w:right w:val="single" w:sz="6" w:space="0" w:color="auto"/>
            </w:tcBorders>
            <w:shd w:val="clear" w:color="auto" w:fill="auto"/>
            <w:vAlign w:val="center"/>
          </w:tcPr>
          <w:p w14:paraId="1BE2E64D" w14:textId="77777777" w:rsidR="009C55C9" w:rsidRPr="00933240" w:rsidRDefault="009C55C9" w:rsidP="00BF374D">
            <w:pPr>
              <w:pStyle w:val="NoSpacing"/>
              <w:spacing w:line="259" w:lineRule="auto"/>
              <w:jc w:val="center"/>
              <w:rPr>
                <w:b/>
                <w:bCs/>
                <w:color w:val="000000" w:themeColor="text1"/>
              </w:rPr>
            </w:pPr>
            <w:r w:rsidRPr="1EA93732">
              <w:rPr>
                <w:b/>
                <w:bCs/>
                <w:color w:val="000000" w:themeColor="text1"/>
              </w:rPr>
              <w:t>8</w:t>
            </w:r>
            <w:r>
              <w:rPr>
                <w:b/>
                <w:bCs/>
                <w:color w:val="000000" w:themeColor="text1"/>
              </w:rPr>
              <w:t>85</w:t>
            </w:r>
          </w:p>
        </w:tc>
        <w:tc>
          <w:tcPr>
            <w:tcW w:w="2162" w:type="dxa"/>
            <w:tcBorders>
              <w:top w:val="single" w:sz="6" w:space="0" w:color="auto"/>
              <w:left w:val="nil"/>
              <w:bottom w:val="single" w:sz="6" w:space="0" w:color="auto"/>
              <w:right w:val="single" w:sz="4" w:space="0" w:color="auto"/>
            </w:tcBorders>
            <w:shd w:val="clear" w:color="auto" w:fill="auto"/>
            <w:vAlign w:val="center"/>
          </w:tcPr>
          <w:p w14:paraId="6AA9E599" w14:textId="77777777" w:rsidR="009C55C9" w:rsidRPr="00933240" w:rsidRDefault="009C55C9" w:rsidP="00BF374D">
            <w:pPr>
              <w:pStyle w:val="NoSpacing"/>
              <w:spacing w:line="259" w:lineRule="auto"/>
              <w:jc w:val="center"/>
              <w:rPr>
                <w:b/>
                <w:bCs/>
                <w:color w:val="000000" w:themeColor="text1"/>
              </w:rPr>
            </w:pPr>
            <w:r w:rsidRPr="1EA93732">
              <w:rPr>
                <w:b/>
                <w:bCs/>
                <w:color w:val="000000" w:themeColor="text1"/>
              </w:rPr>
              <w:t>7</w:t>
            </w:r>
            <w:r>
              <w:rPr>
                <w:b/>
                <w:bCs/>
                <w:color w:val="000000" w:themeColor="text1"/>
              </w:rPr>
              <w:t>57</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12D9FF51" w14:textId="77777777" w:rsidR="009C55C9" w:rsidRPr="00933240" w:rsidRDefault="009C55C9" w:rsidP="00BF374D">
            <w:pPr>
              <w:pStyle w:val="NoSpacing"/>
              <w:spacing w:line="259" w:lineRule="auto"/>
              <w:jc w:val="center"/>
              <w:rPr>
                <w:b/>
                <w:bCs/>
                <w:color w:val="000000" w:themeColor="text1"/>
              </w:rPr>
            </w:pPr>
            <w:r w:rsidRPr="1EA93732">
              <w:rPr>
                <w:b/>
                <w:bCs/>
                <w:color w:val="000000" w:themeColor="text1"/>
              </w:rPr>
              <w:t>12</w:t>
            </w:r>
            <w:r>
              <w:rPr>
                <w:b/>
                <w:bCs/>
                <w:color w:val="000000" w:themeColor="text1"/>
              </w:rPr>
              <w:t>8</w:t>
            </w:r>
          </w:p>
        </w:tc>
      </w:tr>
    </w:tbl>
    <w:p w14:paraId="2542639D" w14:textId="77777777" w:rsidR="009C55C9" w:rsidRPr="00D303D2" w:rsidRDefault="009C55C9" w:rsidP="009C55C9">
      <w:pPr>
        <w:pStyle w:val="NoSpacing"/>
        <w:spacing w:line="259" w:lineRule="auto"/>
      </w:pPr>
    </w:p>
    <w:p w14:paraId="7EF4485C" w14:textId="77777777" w:rsidR="009C55C9" w:rsidRPr="00AF6350" w:rsidRDefault="009C55C9" w:rsidP="009C55C9">
      <w:pPr>
        <w:pStyle w:val="NoSpacing"/>
        <w:spacing w:line="259" w:lineRule="auto"/>
        <w:rPr>
          <w:rFonts w:eastAsiaTheme="minorEastAsia"/>
          <w:i/>
          <w:iCs/>
          <w:color w:val="000000" w:themeColor="text1"/>
          <w:sz w:val="20"/>
          <w:szCs w:val="20"/>
        </w:rPr>
      </w:pPr>
      <w:r w:rsidRPr="00AF6350">
        <w:rPr>
          <w:rFonts w:eastAsiaTheme="minorEastAsia"/>
          <w:i/>
          <w:iCs/>
          <w:color w:val="000000" w:themeColor="text1"/>
          <w:sz w:val="20"/>
          <w:szCs w:val="20"/>
        </w:rPr>
        <w:t xml:space="preserve">*Please note some products may have been applied for under more than one criteria </w:t>
      </w:r>
    </w:p>
    <w:p w14:paraId="7C88F8D0" w14:textId="77777777" w:rsidR="009C55C9" w:rsidRPr="00AF6350" w:rsidRDefault="009C55C9" w:rsidP="009C55C9">
      <w:pPr>
        <w:pStyle w:val="NoSpacing"/>
        <w:spacing w:line="259" w:lineRule="auto"/>
        <w:rPr>
          <w:rFonts w:eastAsiaTheme="minorEastAsia"/>
          <w:color w:val="000000" w:themeColor="text1"/>
          <w:sz w:val="20"/>
          <w:szCs w:val="20"/>
        </w:rPr>
      </w:pPr>
    </w:p>
    <w:p w14:paraId="2DBE4C75" w14:textId="77777777" w:rsidR="009C55C9" w:rsidRPr="00D303D2" w:rsidRDefault="009C55C9" w:rsidP="009C55C9">
      <w:pPr>
        <w:pStyle w:val="NoSpacing"/>
        <w:spacing w:line="259" w:lineRule="auto"/>
        <w:jc w:val="both"/>
        <w:rPr>
          <w:rFonts w:eastAsiaTheme="minorEastAsia"/>
          <w:color w:val="000000" w:themeColor="text1"/>
        </w:rPr>
      </w:pPr>
      <w:r w:rsidRPr="469BFCBA">
        <w:rPr>
          <w:rFonts w:eastAsiaTheme="minorEastAsia"/>
        </w:rPr>
        <w:t>PSNC has submitted a paper to DHSC setting out its concerns relating to the current processes for determining the special container status of products and included proposals to facilitate more accurate assessment of products against the relevant Drug Tariff criteria.</w:t>
      </w:r>
    </w:p>
    <w:p w14:paraId="7887F8F2" w14:textId="77777777" w:rsidR="009C55C9" w:rsidRPr="00E633AA" w:rsidRDefault="009C55C9" w:rsidP="009C55C9">
      <w:pPr>
        <w:pStyle w:val="NoSpacing"/>
        <w:spacing w:line="259" w:lineRule="auto"/>
        <w:rPr>
          <w:rFonts w:eastAsiaTheme="minorEastAsia"/>
          <w:b/>
          <w:bCs/>
        </w:rPr>
      </w:pPr>
    </w:p>
    <w:p w14:paraId="136650F5" w14:textId="77777777" w:rsidR="009C55C9" w:rsidRPr="00E633AA" w:rsidRDefault="009C55C9" w:rsidP="009C55C9">
      <w:pPr>
        <w:pStyle w:val="NoSpacing"/>
        <w:spacing w:line="259" w:lineRule="auto"/>
        <w:rPr>
          <w:rFonts w:ascii="Calibri Light" w:eastAsia="Calibri Light" w:hAnsi="Calibri Light" w:cs="Calibri Light"/>
          <w:b/>
          <w:bCs/>
          <w:color w:val="1F487C"/>
        </w:rPr>
      </w:pPr>
    </w:p>
    <w:p w14:paraId="573C6FFD" w14:textId="77777777" w:rsidR="009C55C9" w:rsidRDefault="009C55C9" w:rsidP="009C55C9">
      <w:pPr>
        <w:pStyle w:val="NoSpacing"/>
        <w:rPr>
          <w:rFonts w:ascii="Calibri Light" w:eastAsia="Calibri" w:hAnsi="Calibri Light" w:cs="Calibri Light"/>
          <w:color w:val="2F5496" w:themeColor="accent1" w:themeShade="BF"/>
          <w:sz w:val="32"/>
          <w:szCs w:val="32"/>
          <w:lang w:bidi="en-US"/>
        </w:rPr>
      </w:pPr>
      <w:r>
        <w:rPr>
          <w:rFonts w:ascii="Calibri Light" w:eastAsia="Calibri" w:hAnsi="Calibri Light" w:cs="Calibri Light"/>
          <w:color w:val="2F5496" w:themeColor="accent1" w:themeShade="BF"/>
          <w:sz w:val="32"/>
          <w:szCs w:val="32"/>
          <w:lang w:bidi="en-US"/>
        </w:rPr>
        <w:t>43</w:t>
      </w:r>
      <w:r w:rsidRPr="00DE0794">
        <w:rPr>
          <w:rFonts w:ascii="Calibri Light" w:eastAsia="Calibri" w:hAnsi="Calibri Light" w:cs="Calibri Light"/>
          <w:color w:val="2F5496" w:themeColor="accent1" w:themeShade="BF"/>
          <w:sz w:val="32"/>
          <w:szCs w:val="32"/>
          <w:lang w:bidi="en-US"/>
        </w:rPr>
        <w:t xml:space="preserve"> products added to the Discount Not Deducted (DND) list </w:t>
      </w:r>
      <w:r>
        <w:rPr>
          <w:rFonts w:ascii="Calibri Light" w:eastAsia="Calibri" w:hAnsi="Calibri Light" w:cs="Calibri Light"/>
          <w:color w:val="2F5496" w:themeColor="accent1" w:themeShade="BF"/>
          <w:sz w:val="32"/>
          <w:szCs w:val="32"/>
          <w:lang w:bidi="en-US"/>
        </w:rPr>
        <w:t>in</w:t>
      </w:r>
      <w:r w:rsidRPr="00DE0794">
        <w:rPr>
          <w:rFonts w:ascii="Calibri Light" w:eastAsia="Calibri" w:hAnsi="Calibri Light" w:cs="Calibri Light"/>
          <w:color w:val="2F5496" w:themeColor="accent1" w:themeShade="BF"/>
          <w:sz w:val="32"/>
          <w:szCs w:val="32"/>
          <w:lang w:bidi="en-US"/>
        </w:rPr>
        <w:t xml:space="preserve"> August</w:t>
      </w:r>
      <w:r>
        <w:rPr>
          <w:rFonts w:ascii="Calibri Light" w:eastAsia="Calibri" w:hAnsi="Calibri Light" w:cs="Calibri Light"/>
          <w:color w:val="2F5496" w:themeColor="accent1" w:themeShade="BF"/>
          <w:sz w:val="32"/>
          <w:szCs w:val="32"/>
          <w:lang w:bidi="en-US"/>
        </w:rPr>
        <w:t xml:space="preserve"> &amp; September</w:t>
      </w:r>
      <w:r w:rsidRPr="00DE0794">
        <w:rPr>
          <w:rFonts w:ascii="Calibri Light" w:eastAsia="Calibri" w:hAnsi="Calibri Light" w:cs="Calibri Light"/>
          <w:color w:val="2F5496" w:themeColor="accent1" w:themeShade="BF"/>
          <w:sz w:val="32"/>
          <w:szCs w:val="32"/>
          <w:lang w:bidi="en-US"/>
        </w:rPr>
        <w:t xml:space="preserve"> 2022</w:t>
      </w:r>
    </w:p>
    <w:p w14:paraId="44A12476" w14:textId="77777777" w:rsidR="009C55C9" w:rsidRPr="0030204E" w:rsidRDefault="009C55C9" w:rsidP="009C55C9">
      <w:pPr>
        <w:pStyle w:val="NoSpacing"/>
        <w:rPr>
          <w:rFonts w:ascii="Calibri Light" w:eastAsia="Calibri Light" w:hAnsi="Calibri Light" w:cs="Calibri Light"/>
        </w:rPr>
      </w:pPr>
    </w:p>
    <w:p w14:paraId="75009DC1" w14:textId="77777777" w:rsidR="009C55C9" w:rsidRDefault="009C55C9" w:rsidP="009C55C9">
      <w:pPr>
        <w:jc w:val="both"/>
      </w:pPr>
      <w:bookmarkStart w:id="3" w:name="_Over_450_products"/>
      <w:bookmarkStart w:id="4" w:name="_Market_movements_with"/>
      <w:bookmarkStart w:id="5" w:name="supply"/>
      <w:bookmarkEnd w:id="3"/>
      <w:bookmarkEnd w:id="4"/>
      <w:r w:rsidRPr="469BFCBA">
        <w:t>Following applications made by PSNC to the Department of Health and Social Care (DHSC) and the NHS Business Services Authority (NHSBSA), a further 4</w:t>
      </w:r>
      <w:r>
        <w:t>3</w:t>
      </w:r>
      <w:r w:rsidRPr="469BFCBA">
        <w:t xml:space="preserve"> new products entered the list of ‘Drugs for which Discount is Not Deducted’ (DND) in Part II of the Drug Tariff in August and September:</w:t>
      </w:r>
    </w:p>
    <w:p w14:paraId="33B0DB9E" w14:textId="77777777" w:rsidR="009C55C9" w:rsidRDefault="009C55C9" w:rsidP="009C55C9">
      <w:pPr>
        <w:jc w:val="both"/>
      </w:pPr>
    </w:p>
    <w:p w14:paraId="22E60275" w14:textId="77777777" w:rsidR="009C55C9" w:rsidRDefault="009C55C9" w:rsidP="009C55C9">
      <w:pPr>
        <w:jc w:val="both"/>
      </w:pPr>
      <w:r>
        <w:t>15</w:t>
      </w:r>
      <w:r w:rsidRPr="469BFCBA">
        <w:t xml:space="preserve"> products added to DND list on 1 September 2022:</w:t>
      </w:r>
    </w:p>
    <w:p w14:paraId="6CF915F9" w14:textId="77777777" w:rsidR="009C55C9" w:rsidRDefault="009C55C9" w:rsidP="00AF46FC">
      <w:pPr>
        <w:pStyle w:val="NoSpacing"/>
        <w:numPr>
          <w:ilvl w:val="0"/>
          <w:numId w:val="20"/>
        </w:numPr>
        <w:rPr>
          <w:color w:val="000000" w:themeColor="text1"/>
          <w:lang w:eastAsia="en-GB"/>
        </w:rPr>
      </w:pPr>
      <w:r w:rsidRPr="469BFCBA">
        <w:rPr>
          <w:lang w:eastAsia="en-GB"/>
        </w:rPr>
        <w:t>Acetylcysteine 200mg oral powder sachets</w:t>
      </w:r>
    </w:p>
    <w:p w14:paraId="2ACCD8A3" w14:textId="77777777" w:rsidR="009C55C9" w:rsidRDefault="009C55C9" w:rsidP="00AF46FC">
      <w:pPr>
        <w:pStyle w:val="NoSpacing"/>
        <w:numPr>
          <w:ilvl w:val="0"/>
          <w:numId w:val="20"/>
        </w:numPr>
        <w:rPr>
          <w:color w:val="000000" w:themeColor="text1"/>
          <w:lang w:eastAsia="en-GB"/>
        </w:rPr>
      </w:pPr>
      <w:proofErr w:type="spellStart"/>
      <w:r w:rsidRPr="469BFCBA">
        <w:rPr>
          <w:lang w:eastAsia="en-GB"/>
        </w:rPr>
        <w:t>Alzest</w:t>
      </w:r>
      <w:proofErr w:type="spellEnd"/>
      <w:r w:rsidRPr="469BFCBA">
        <w:rPr>
          <w:lang w:eastAsia="en-GB"/>
        </w:rPr>
        <w:t xml:space="preserve"> 13.3mg/24hours transdermal patches</w:t>
      </w:r>
    </w:p>
    <w:p w14:paraId="0F9F9D57" w14:textId="77777777" w:rsidR="009C55C9" w:rsidRDefault="009C55C9" w:rsidP="00AF46FC">
      <w:pPr>
        <w:pStyle w:val="NoSpacing"/>
        <w:numPr>
          <w:ilvl w:val="0"/>
          <w:numId w:val="20"/>
        </w:numPr>
        <w:rPr>
          <w:color w:val="000000" w:themeColor="text1"/>
          <w:lang w:eastAsia="en-GB"/>
        </w:rPr>
      </w:pPr>
      <w:proofErr w:type="spellStart"/>
      <w:r w:rsidRPr="469BFCBA">
        <w:rPr>
          <w:lang w:eastAsia="en-GB"/>
        </w:rPr>
        <w:t>Brilique</w:t>
      </w:r>
      <w:proofErr w:type="spellEnd"/>
      <w:r w:rsidRPr="469BFCBA">
        <w:rPr>
          <w:lang w:eastAsia="en-GB"/>
        </w:rPr>
        <w:t xml:space="preserve"> 60mg tablets</w:t>
      </w:r>
    </w:p>
    <w:p w14:paraId="7963C7F4" w14:textId="77777777" w:rsidR="009C55C9" w:rsidRDefault="009C55C9" w:rsidP="00AF46FC">
      <w:pPr>
        <w:pStyle w:val="NoSpacing"/>
        <w:numPr>
          <w:ilvl w:val="0"/>
          <w:numId w:val="20"/>
        </w:numPr>
        <w:rPr>
          <w:color w:val="000000" w:themeColor="text1"/>
          <w:lang w:eastAsia="en-GB"/>
        </w:rPr>
      </w:pPr>
      <w:proofErr w:type="spellStart"/>
      <w:r w:rsidRPr="469BFCBA">
        <w:rPr>
          <w:lang w:eastAsia="en-GB"/>
        </w:rPr>
        <w:t>Brilique</w:t>
      </w:r>
      <w:proofErr w:type="spellEnd"/>
      <w:r w:rsidRPr="469BFCBA">
        <w:rPr>
          <w:lang w:eastAsia="en-GB"/>
        </w:rPr>
        <w:t xml:space="preserve"> 90mg </w:t>
      </w:r>
      <w:proofErr w:type="spellStart"/>
      <w:r w:rsidRPr="469BFCBA">
        <w:rPr>
          <w:lang w:eastAsia="en-GB"/>
        </w:rPr>
        <w:t>orodispersible</w:t>
      </w:r>
      <w:proofErr w:type="spellEnd"/>
      <w:r w:rsidRPr="469BFCBA">
        <w:rPr>
          <w:lang w:eastAsia="en-GB"/>
        </w:rPr>
        <w:t xml:space="preserve"> tablets</w:t>
      </w:r>
    </w:p>
    <w:p w14:paraId="03FAC212" w14:textId="77777777" w:rsidR="009C55C9" w:rsidRDefault="009C55C9" w:rsidP="00AF46FC">
      <w:pPr>
        <w:pStyle w:val="NoSpacing"/>
        <w:numPr>
          <w:ilvl w:val="0"/>
          <w:numId w:val="20"/>
        </w:numPr>
        <w:rPr>
          <w:color w:val="000000" w:themeColor="text1"/>
          <w:lang w:eastAsia="en-GB"/>
        </w:rPr>
      </w:pPr>
      <w:proofErr w:type="spellStart"/>
      <w:r w:rsidRPr="469BFCBA">
        <w:rPr>
          <w:lang w:eastAsia="en-GB"/>
        </w:rPr>
        <w:t>Brilique</w:t>
      </w:r>
      <w:proofErr w:type="spellEnd"/>
      <w:r w:rsidRPr="469BFCBA">
        <w:rPr>
          <w:lang w:eastAsia="en-GB"/>
        </w:rPr>
        <w:t xml:space="preserve"> 90mg tablets</w:t>
      </w:r>
    </w:p>
    <w:p w14:paraId="45F3EBB4" w14:textId="77777777" w:rsidR="009C55C9" w:rsidRDefault="009C55C9" w:rsidP="00AF46FC">
      <w:pPr>
        <w:pStyle w:val="NoSpacing"/>
        <w:numPr>
          <w:ilvl w:val="0"/>
          <w:numId w:val="20"/>
        </w:numPr>
        <w:rPr>
          <w:color w:val="000000" w:themeColor="text1"/>
          <w:lang w:eastAsia="en-GB"/>
        </w:rPr>
      </w:pPr>
      <w:r w:rsidRPr="469BFCBA">
        <w:rPr>
          <w:lang w:eastAsia="en-GB"/>
        </w:rPr>
        <w:t>Creon 25000 gastro-resistant capsules</w:t>
      </w:r>
    </w:p>
    <w:p w14:paraId="39A636F3" w14:textId="77777777" w:rsidR="009C55C9" w:rsidRDefault="009C55C9" w:rsidP="00AF46FC">
      <w:pPr>
        <w:pStyle w:val="NoSpacing"/>
        <w:numPr>
          <w:ilvl w:val="0"/>
          <w:numId w:val="20"/>
        </w:numPr>
        <w:rPr>
          <w:color w:val="000000" w:themeColor="text1"/>
          <w:lang w:val="it-IT" w:eastAsia="en-GB"/>
        </w:rPr>
      </w:pPr>
      <w:r w:rsidRPr="469BFCBA">
        <w:rPr>
          <w:lang w:val="it-IT" w:eastAsia="en-GB"/>
        </w:rPr>
        <w:t>Creon Micro Pancreatin 60.12mg gastro-resistant granules</w:t>
      </w:r>
    </w:p>
    <w:p w14:paraId="3896EAF5" w14:textId="77777777" w:rsidR="009C55C9" w:rsidRDefault="009C55C9" w:rsidP="00AF46FC">
      <w:pPr>
        <w:pStyle w:val="NoSpacing"/>
        <w:numPr>
          <w:ilvl w:val="0"/>
          <w:numId w:val="20"/>
        </w:numPr>
        <w:rPr>
          <w:color w:val="000000" w:themeColor="text1"/>
          <w:lang w:eastAsia="en-GB"/>
        </w:rPr>
      </w:pPr>
      <w:r w:rsidRPr="469BFCBA">
        <w:rPr>
          <w:lang w:eastAsia="en-GB"/>
        </w:rPr>
        <w:t>Hydrocortisone 2.5% cream</w:t>
      </w:r>
    </w:p>
    <w:p w14:paraId="10C09B50" w14:textId="77777777" w:rsidR="009C55C9" w:rsidRDefault="009C55C9" w:rsidP="00AF46FC">
      <w:pPr>
        <w:pStyle w:val="NoSpacing"/>
        <w:numPr>
          <w:ilvl w:val="0"/>
          <w:numId w:val="20"/>
        </w:numPr>
        <w:rPr>
          <w:color w:val="000000" w:themeColor="text1"/>
          <w:lang w:eastAsia="en-GB"/>
        </w:rPr>
      </w:pPr>
      <w:r w:rsidRPr="469BFCBA">
        <w:rPr>
          <w:lang w:eastAsia="en-GB"/>
        </w:rPr>
        <w:t>Hydrocortisone 2.5% ointment</w:t>
      </w:r>
    </w:p>
    <w:p w14:paraId="48130B87" w14:textId="77777777" w:rsidR="009C55C9" w:rsidRDefault="009C55C9" w:rsidP="00AF46FC">
      <w:pPr>
        <w:pStyle w:val="NoSpacing"/>
        <w:numPr>
          <w:ilvl w:val="0"/>
          <w:numId w:val="20"/>
        </w:numPr>
        <w:rPr>
          <w:color w:val="000000" w:themeColor="text1"/>
          <w:lang w:eastAsia="en-GB"/>
        </w:rPr>
      </w:pPr>
      <w:proofErr w:type="spellStart"/>
      <w:r w:rsidRPr="469BFCBA">
        <w:rPr>
          <w:lang w:eastAsia="en-GB"/>
        </w:rPr>
        <w:t>Icosapent</w:t>
      </w:r>
      <w:proofErr w:type="spellEnd"/>
      <w:r w:rsidRPr="469BFCBA">
        <w:rPr>
          <w:lang w:eastAsia="en-GB"/>
        </w:rPr>
        <w:t xml:space="preserve"> 998mg capsules</w:t>
      </w:r>
    </w:p>
    <w:p w14:paraId="1DAE0E1D" w14:textId="77777777" w:rsidR="009C55C9" w:rsidRDefault="009C55C9" w:rsidP="00AF46FC">
      <w:pPr>
        <w:pStyle w:val="NoSpacing"/>
        <w:numPr>
          <w:ilvl w:val="0"/>
          <w:numId w:val="20"/>
        </w:numPr>
        <w:rPr>
          <w:color w:val="000000" w:themeColor="text1"/>
          <w:lang w:eastAsia="en-GB"/>
        </w:rPr>
      </w:pPr>
      <w:r w:rsidRPr="469BFCBA">
        <w:rPr>
          <w:lang w:eastAsia="en-GB"/>
        </w:rPr>
        <w:t>Imiquimod 5% cream 250mg sachets</w:t>
      </w:r>
    </w:p>
    <w:p w14:paraId="396040BB" w14:textId="77777777" w:rsidR="009C55C9" w:rsidRDefault="009C55C9" w:rsidP="00AF46FC">
      <w:pPr>
        <w:pStyle w:val="NoSpacing"/>
        <w:numPr>
          <w:ilvl w:val="0"/>
          <w:numId w:val="20"/>
        </w:numPr>
        <w:rPr>
          <w:color w:val="000000" w:themeColor="text1"/>
          <w:lang w:eastAsia="en-GB"/>
        </w:rPr>
      </w:pPr>
      <w:r w:rsidRPr="469BFCBA">
        <w:rPr>
          <w:lang w:eastAsia="en-GB"/>
        </w:rPr>
        <w:t>Valsartan 40mg tablets</w:t>
      </w:r>
    </w:p>
    <w:p w14:paraId="3CA029BD" w14:textId="77777777" w:rsidR="009C55C9" w:rsidRDefault="009C55C9" w:rsidP="00AF46FC">
      <w:pPr>
        <w:pStyle w:val="NoSpacing"/>
        <w:numPr>
          <w:ilvl w:val="0"/>
          <w:numId w:val="20"/>
        </w:numPr>
        <w:rPr>
          <w:color w:val="000000" w:themeColor="text1"/>
          <w:lang w:eastAsia="en-GB"/>
        </w:rPr>
      </w:pPr>
      <w:r w:rsidRPr="469BFCBA">
        <w:rPr>
          <w:lang w:eastAsia="en-GB"/>
        </w:rPr>
        <w:t>Voriconazole 100mg tablets</w:t>
      </w:r>
    </w:p>
    <w:p w14:paraId="676E0F66" w14:textId="77777777" w:rsidR="009C55C9" w:rsidRDefault="009C55C9" w:rsidP="00AF46FC">
      <w:pPr>
        <w:pStyle w:val="NoSpacing"/>
        <w:numPr>
          <w:ilvl w:val="0"/>
          <w:numId w:val="20"/>
        </w:numPr>
        <w:rPr>
          <w:color w:val="000000" w:themeColor="text1"/>
          <w:lang w:eastAsia="en-GB"/>
        </w:rPr>
      </w:pPr>
      <w:r w:rsidRPr="469BFCBA">
        <w:rPr>
          <w:lang w:eastAsia="en-GB"/>
        </w:rPr>
        <w:t>Voriconazole 50mg tablets</w:t>
      </w:r>
    </w:p>
    <w:p w14:paraId="0451B0CC" w14:textId="77777777" w:rsidR="009C55C9" w:rsidRDefault="009C55C9" w:rsidP="00AF46FC">
      <w:pPr>
        <w:pStyle w:val="NoSpacing"/>
        <w:numPr>
          <w:ilvl w:val="0"/>
          <w:numId w:val="20"/>
        </w:numPr>
        <w:rPr>
          <w:color w:val="000000" w:themeColor="text1"/>
          <w:lang w:eastAsia="en-GB"/>
        </w:rPr>
      </w:pPr>
      <w:proofErr w:type="spellStart"/>
      <w:r w:rsidRPr="469BFCBA">
        <w:rPr>
          <w:lang w:eastAsia="en-GB"/>
        </w:rPr>
        <w:t>Zyclara</w:t>
      </w:r>
      <w:proofErr w:type="spellEnd"/>
      <w:r w:rsidRPr="469BFCBA">
        <w:rPr>
          <w:lang w:eastAsia="en-GB"/>
        </w:rPr>
        <w:t xml:space="preserve"> 3.75% cream 250mg sachets</w:t>
      </w:r>
      <w:r w:rsidRPr="469BFCBA">
        <w:t xml:space="preserve"> </w:t>
      </w:r>
    </w:p>
    <w:p w14:paraId="4CF8356F" w14:textId="77777777" w:rsidR="009C55C9" w:rsidRDefault="009C55C9" w:rsidP="009C55C9">
      <w:pPr>
        <w:jc w:val="both"/>
      </w:pPr>
    </w:p>
    <w:p w14:paraId="6926CD6C" w14:textId="77777777" w:rsidR="009C55C9" w:rsidRDefault="009C55C9" w:rsidP="009C55C9">
      <w:pPr>
        <w:jc w:val="both"/>
      </w:pPr>
      <w:r w:rsidRPr="469BFCBA">
        <w:t>28 products added to DND list on 1 August 2022:</w:t>
      </w:r>
    </w:p>
    <w:p w14:paraId="10A389DF"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r w:rsidRPr="469BFCBA">
        <w:t>Adrenaline (base) 500micrograms/0.5ml (1 in 1,000) solution for injection ampoules</w:t>
      </w:r>
    </w:p>
    <w:p w14:paraId="6CECD71F"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r w:rsidRPr="469BFCBA">
        <w:t>Amantadine 50mg/5ml oral solution sugar free</w:t>
      </w:r>
    </w:p>
    <w:p w14:paraId="5505B96B"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r w:rsidRPr="469BFCBA">
        <w:t>Amiloride 5mg / Bumetanide 1mg tablets</w:t>
      </w:r>
    </w:p>
    <w:p w14:paraId="57A73322"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r w:rsidRPr="469BFCBA">
        <w:t>Cabergoline 1mg tablets</w:t>
      </w:r>
    </w:p>
    <w:p w14:paraId="44618375"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r w:rsidRPr="469BFCBA">
        <w:t>Cabergoline 2mg tablets</w:t>
      </w:r>
    </w:p>
    <w:p w14:paraId="6BFCECC1"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r w:rsidRPr="469BFCBA">
        <w:t>Chloral hydrate 500mg/5ml oral solution</w:t>
      </w:r>
    </w:p>
    <w:p w14:paraId="61138C5E"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r w:rsidRPr="469BFCBA">
        <w:t>Doxepin 10mg capsules</w:t>
      </w:r>
    </w:p>
    <w:p w14:paraId="45FCCD7C"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proofErr w:type="spellStart"/>
      <w:r w:rsidRPr="469BFCBA">
        <w:t>Efmody</w:t>
      </w:r>
      <w:proofErr w:type="spellEnd"/>
      <w:r w:rsidRPr="469BFCBA">
        <w:t xml:space="preserve"> 10mg modified-release capsules</w:t>
      </w:r>
    </w:p>
    <w:p w14:paraId="0E63F800"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proofErr w:type="spellStart"/>
      <w:r w:rsidRPr="469BFCBA">
        <w:t>Efmody</w:t>
      </w:r>
      <w:proofErr w:type="spellEnd"/>
      <w:r w:rsidRPr="469BFCBA">
        <w:t xml:space="preserve"> 5mg modified-release capsules</w:t>
      </w:r>
    </w:p>
    <w:p w14:paraId="2C2DC555"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r w:rsidRPr="469BFCBA">
        <w:t>Ephedrine hydrochloride 15mg tablets</w:t>
      </w:r>
    </w:p>
    <w:p w14:paraId="72F82398"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r w:rsidRPr="469BFCBA">
        <w:t>Ephedrine hydrochloride 30mg tablets</w:t>
      </w:r>
    </w:p>
    <w:p w14:paraId="347A76A1"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r w:rsidRPr="469BFCBA">
        <w:t>Hydrocortisone 0.5% ointment</w:t>
      </w:r>
    </w:p>
    <w:p w14:paraId="5925D46E"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Liothyronine</w:t>
      </w:r>
      <w:proofErr w:type="spellEnd"/>
      <w:r w:rsidRPr="469BFCBA">
        <w:rPr>
          <w:lang w:val="fr-FR"/>
        </w:rPr>
        <w:t xml:space="preserve"> 10microgram capsules</w:t>
      </w:r>
    </w:p>
    <w:p w14:paraId="1B5366EA"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Liothyronine</w:t>
      </w:r>
      <w:proofErr w:type="spellEnd"/>
      <w:r w:rsidRPr="469BFCBA">
        <w:rPr>
          <w:lang w:val="fr-FR"/>
        </w:rPr>
        <w:t xml:space="preserve"> 20microgram capsules</w:t>
      </w:r>
    </w:p>
    <w:p w14:paraId="699FE883"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Liothyronine</w:t>
      </w:r>
      <w:proofErr w:type="spellEnd"/>
      <w:r w:rsidRPr="469BFCBA">
        <w:rPr>
          <w:lang w:val="fr-FR"/>
        </w:rPr>
        <w:t xml:space="preserve"> 5microgram capsules</w:t>
      </w:r>
    </w:p>
    <w:p w14:paraId="36A7CAB3"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r w:rsidRPr="469BFCBA">
        <w:rPr>
          <w:lang w:val="fr-FR"/>
        </w:rPr>
        <w:t xml:space="preserve">Naproxen 125mg/5ml oral suspension </w:t>
      </w:r>
      <w:proofErr w:type="spellStart"/>
      <w:r w:rsidRPr="469BFCBA">
        <w:rPr>
          <w:lang w:val="fr-FR"/>
        </w:rPr>
        <w:t>sugar</w:t>
      </w:r>
      <w:proofErr w:type="spellEnd"/>
      <w:r w:rsidRPr="469BFCBA">
        <w:rPr>
          <w:lang w:val="fr-FR"/>
        </w:rPr>
        <w:t xml:space="preserve"> free</w:t>
      </w:r>
    </w:p>
    <w:p w14:paraId="5E17F816"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Ontozry</w:t>
      </w:r>
      <w:proofErr w:type="spellEnd"/>
      <w:r w:rsidRPr="469BFCBA">
        <w:rPr>
          <w:lang w:val="fr-FR"/>
        </w:rPr>
        <w:t xml:space="preserve"> 100mg </w:t>
      </w:r>
      <w:proofErr w:type="spellStart"/>
      <w:r w:rsidRPr="469BFCBA">
        <w:rPr>
          <w:lang w:val="fr-FR"/>
        </w:rPr>
        <w:t>tablets</w:t>
      </w:r>
      <w:proofErr w:type="spellEnd"/>
    </w:p>
    <w:p w14:paraId="589553A2" w14:textId="77777777" w:rsidR="009C55C9" w:rsidRPr="00E13698"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rPr>
      </w:pPr>
      <w:proofErr w:type="spellStart"/>
      <w:r w:rsidRPr="469BFCBA">
        <w:t>Ontozry</w:t>
      </w:r>
      <w:proofErr w:type="spellEnd"/>
      <w:r w:rsidRPr="469BFCBA">
        <w:t xml:space="preserve"> 12.5mg/25mg tablets treatment initiation pack</w:t>
      </w:r>
    </w:p>
    <w:p w14:paraId="73B6606A"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Ontozry</w:t>
      </w:r>
      <w:proofErr w:type="spellEnd"/>
      <w:r w:rsidRPr="469BFCBA">
        <w:rPr>
          <w:lang w:val="fr-FR"/>
        </w:rPr>
        <w:t xml:space="preserve"> 150mg </w:t>
      </w:r>
      <w:proofErr w:type="spellStart"/>
      <w:r w:rsidRPr="469BFCBA">
        <w:rPr>
          <w:lang w:val="fr-FR"/>
        </w:rPr>
        <w:t>tablets</w:t>
      </w:r>
      <w:proofErr w:type="spellEnd"/>
    </w:p>
    <w:p w14:paraId="369DB84C"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Ontozry</w:t>
      </w:r>
      <w:proofErr w:type="spellEnd"/>
      <w:r w:rsidRPr="469BFCBA">
        <w:rPr>
          <w:lang w:val="fr-FR"/>
        </w:rPr>
        <w:t xml:space="preserve"> 200mg </w:t>
      </w:r>
      <w:proofErr w:type="spellStart"/>
      <w:r w:rsidRPr="469BFCBA">
        <w:rPr>
          <w:lang w:val="fr-FR"/>
        </w:rPr>
        <w:t>tablets</w:t>
      </w:r>
      <w:proofErr w:type="spellEnd"/>
    </w:p>
    <w:p w14:paraId="5BB403C4"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Ontozry</w:t>
      </w:r>
      <w:proofErr w:type="spellEnd"/>
      <w:r w:rsidRPr="469BFCBA">
        <w:rPr>
          <w:lang w:val="fr-FR"/>
        </w:rPr>
        <w:t xml:space="preserve"> 50mg </w:t>
      </w:r>
      <w:proofErr w:type="spellStart"/>
      <w:r w:rsidRPr="469BFCBA">
        <w:rPr>
          <w:lang w:val="fr-FR"/>
        </w:rPr>
        <w:t>tablets</w:t>
      </w:r>
      <w:proofErr w:type="spellEnd"/>
    </w:p>
    <w:p w14:paraId="24014CF9"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r w:rsidRPr="469BFCBA">
        <w:rPr>
          <w:lang w:val="fr-FR"/>
        </w:rPr>
        <w:t xml:space="preserve">Potassium </w:t>
      </w:r>
      <w:proofErr w:type="spellStart"/>
      <w:r w:rsidRPr="469BFCBA">
        <w:rPr>
          <w:lang w:val="fr-FR"/>
        </w:rPr>
        <w:t>dihydrogen</w:t>
      </w:r>
      <w:proofErr w:type="spellEnd"/>
      <w:r w:rsidRPr="469BFCBA">
        <w:rPr>
          <w:lang w:val="fr-FR"/>
        </w:rPr>
        <w:t xml:space="preserve"> phosphate 13.6% (potassium 10mmol/10ml) solution for infusion 10ml ampoules</w:t>
      </w:r>
    </w:p>
    <w:p w14:paraId="60F2ACF8"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Prednsiolone</w:t>
      </w:r>
      <w:proofErr w:type="spellEnd"/>
      <w:r w:rsidRPr="469BFCBA">
        <w:rPr>
          <w:lang w:val="fr-FR"/>
        </w:rPr>
        <w:t xml:space="preserve"> sodium phosphate 5mg </w:t>
      </w:r>
      <w:proofErr w:type="spellStart"/>
      <w:r w:rsidRPr="469BFCBA">
        <w:rPr>
          <w:lang w:val="fr-FR"/>
        </w:rPr>
        <w:t>suppositories</w:t>
      </w:r>
      <w:proofErr w:type="spellEnd"/>
    </w:p>
    <w:p w14:paraId="58E28EFE"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Procyclidine</w:t>
      </w:r>
      <w:proofErr w:type="spellEnd"/>
      <w:r w:rsidRPr="469BFCBA">
        <w:rPr>
          <w:lang w:val="fr-FR"/>
        </w:rPr>
        <w:t xml:space="preserve"> 10mg/2ml solution for injection ampoules</w:t>
      </w:r>
    </w:p>
    <w:p w14:paraId="06948B81"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Rupatadine</w:t>
      </w:r>
      <w:proofErr w:type="spellEnd"/>
      <w:r w:rsidRPr="469BFCBA">
        <w:rPr>
          <w:lang w:val="fr-FR"/>
        </w:rPr>
        <w:t xml:space="preserve"> 10mg </w:t>
      </w:r>
      <w:proofErr w:type="spellStart"/>
      <w:r w:rsidRPr="469BFCBA">
        <w:rPr>
          <w:lang w:val="fr-FR"/>
        </w:rPr>
        <w:t>tablets</w:t>
      </w:r>
      <w:proofErr w:type="spellEnd"/>
    </w:p>
    <w:p w14:paraId="0BB8968E" w14:textId="77777777" w:rsidR="009C55C9" w:rsidRPr="002A0095"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Tamoxifen</w:t>
      </w:r>
      <w:proofErr w:type="spellEnd"/>
      <w:r w:rsidRPr="469BFCBA">
        <w:rPr>
          <w:lang w:val="fr-FR"/>
        </w:rPr>
        <w:t xml:space="preserve"> 40mg </w:t>
      </w:r>
      <w:proofErr w:type="spellStart"/>
      <w:r w:rsidRPr="469BFCBA">
        <w:rPr>
          <w:lang w:val="fr-FR"/>
        </w:rPr>
        <w:t>tablets</w:t>
      </w:r>
      <w:proofErr w:type="spellEnd"/>
    </w:p>
    <w:p w14:paraId="43746C06" w14:textId="77777777" w:rsidR="009C55C9" w:rsidRDefault="009C55C9" w:rsidP="00AF46FC">
      <w:pPr>
        <w:pStyle w:val="ListParagraph"/>
        <w:widowControl w:val="0"/>
        <w:numPr>
          <w:ilvl w:val="0"/>
          <w:numId w:val="18"/>
        </w:numPr>
        <w:autoSpaceDE w:val="0"/>
        <w:autoSpaceDN w:val="0"/>
        <w:spacing w:after="0" w:line="240" w:lineRule="auto"/>
        <w:contextualSpacing w:val="0"/>
        <w:jc w:val="both"/>
        <w:rPr>
          <w:color w:val="000000" w:themeColor="text1"/>
          <w:lang w:val="fr-FR"/>
        </w:rPr>
      </w:pPr>
      <w:proofErr w:type="spellStart"/>
      <w:r w:rsidRPr="469BFCBA">
        <w:rPr>
          <w:lang w:val="fr-FR"/>
        </w:rPr>
        <w:t>Vazkepa</w:t>
      </w:r>
      <w:proofErr w:type="spellEnd"/>
      <w:r w:rsidRPr="469BFCBA">
        <w:rPr>
          <w:lang w:val="fr-FR"/>
        </w:rPr>
        <w:t xml:space="preserve"> 998mg capsules</w:t>
      </w:r>
    </w:p>
    <w:p w14:paraId="646102FC" w14:textId="77777777" w:rsidR="009C55C9" w:rsidRPr="00B779E1" w:rsidRDefault="009C55C9" w:rsidP="009C55C9">
      <w:pPr>
        <w:jc w:val="both"/>
      </w:pPr>
    </w:p>
    <w:p w14:paraId="78BC7175" w14:textId="77777777" w:rsidR="009C55C9" w:rsidRPr="005A0D6B" w:rsidRDefault="009C55C9" w:rsidP="009C55C9">
      <w:pPr>
        <w:jc w:val="both"/>
        <w:rPr>
          <w:rFonts w:ascii="Calibri Light" w:hAnsi="Calibri Light" w:cs="Calibri Light"/>
          <w:color w:val="2F5496" w:themeColor="accent1" w:themeShade="BF"/>
        </w:rPr>
      </w:pPr>
      <w:r>
        <w:t xml:space="preserve">For a list of all the monthly changes to the DND status of products please see the following page Notice of changes to discount not deducted (DND) status of products. A total of </w:t>
      </w:r>
      <w:r w:rsidRPr="772CD7E5">
        <w:rPr>
          <w:b/>
          <w:bCs/>
        </w:rPr>
        <w:t>54</w:t>
      </w:r>
      <w:r>
        <w:rPr>
          <w:b/>
          <w:bCs/>
        </w:rPr>
        <w:t>4</w:t>
      </w:r>
      <w:r w:rsidRPr="772CD7E5">
        <w:rPr>
          <w:b/>
          <w:bCs/>
        </w:rPr>
        <w:t xml:space="preserve"> </w:t>
      </w:r>
      <w:r>
        <w:t>products have been granted DND status following checks made by PSNC within the past 26 months.</w:t>
      </w:r>
    </w:p>
    <w:p w14:paraId="705995A1" w14:textId="77777777" w:rsidR="009C55C9" w:rsidRDefault="009C55C9" w:rsidP="009C55C9">
      <w:pPr>
        <w:jc w:val="both"/>
        <w:rPr>
          <w:rFonts w:ascii="Calibri Light" w:hAnsi="Calibri Light" w:cs="Calibri Light"/>
          <w:color w:val="2F5496" w:themeColor="accent1" w:themeShade="BF"/>
        </w:rPr>
      </w:pPr>
    </w:p>
    <w:p w14:paraId="37CE32B5" w14:textId="77777777" w:rsidR="009C55C9" w:rsidRPr="00803F42" w:rsidRDefault="009C55C9" w:rsidP="009C55C9">
      <w:pPr>
        <w:jc w:val="both"/>
        <w:rPr>
          <w:rFonts w:ascii="Calibri Light" w:hAnsi="Calibri Light" w:cs="Calibri Light"/>
          <w:color w:val="2F5496" w:themeColor="accent1" w:themeShade="BF"/>
        </w:rPr>
      </w:pPr>
    </w:p>
    <w:p w14:paraId="7C7C0EE9" w14:textId="77777777" w:rsidR="009C55C9" w:rsidRDefault="009C55C9" w:rsidP="009C55C9">
      <w:pPr>
        <w:pStyle w:val="NoSpacing"/>
      </w:pPr>
      <w:r w:rsidRPr="00264E85">
        <w:rPr>
          <w:rFonts w:ascii="Calibri Light" w:eastAsia="Calibri Light" w:hAnsi="Calibri Light" w:cs="Calibri Light"/>
          <w:color w:val="2F5496" w:themeColor="accent1" w:themeShade="BF"/>
          <w:sz w:val="32"/>
          <w:szCs w:val="32"/>
        </w:rPr>
        <w:t>NHS Prescription Services ‘Hints &amp; Tips’ – Issue 48</w:t>
      </w:r>
    </w:p>
    <w:p w14:paraId="3E54F396" w14:textId="77777777" w:rsidR="009C55C9" w:rsidRPr="00A97787" w:rsidRDefault="009C55C9" w:rsidP="009C55C9">
      <w:pPr>
        <w:pStyle w:val="NormalWeb"/>
        <w:rPr>
          <w:rFonts w:asciiTheme="minorHAnsi" w:hAnsiTheme="minorHAnsi" w:cstheme="minorBidi"/>
          <w:color w:val="000000" w:themeColor="text1"/>
          <w:sz w:val="22"/>
          <w:szCs w:val="22"/>
        </w:rPr>
      </w:pPr>
      <w:r>
        <w:br/>
      </w:r>
      <w:r w:rsidRPr="469BFCBA">
        <w:rPr>
          <w:rFonts w:asciiTheme="minorHAnsi" w:hAnsiTheme="minorHAnsi" w:cstheme="minorBidi"/>
          <w:sz w:val="22"/>
          <w:szCs w:val="22"/>
        </w:rPr>
        <w:t>NHS Prescription Services produces a quarterly newsletter called “Hints &amp; Tips for dispensing contractors”. The latest edition (Issue 48) contained some useful information and advice on:</w:t>
      </w:r>
    </w:p>
    <w:p w14:paraId="5C118D8B" w14:textId="77777777" w:rsidR="009C55C9" w:rsidRPr="00A97787" w:rsidRDefault="009C55C9" w:rsidP="009C55C9">
      <w:pPr>
        <w:pStyle w:val="NormalWeb"/>
        <w:rPr>
          <w:rFonts w:asciiTheme="minorHAnsi" w:eastAsia="Times New Roman" w:hAnsiTheme="minorHAnsi" w:cstheme="minorBidi"/>
          <w:color w:val="000000" w:themeColor="text1"/>
          <w:sz w:val="22"/>
          <w:szCs w:val="22"/>
          <w:lang w:bidi="ar-SA"/>
        </w:rPr>
      </w:pPr>
    </w:p>
    <w:p w14:paraId="286FF559" w14:textId="77777777" w:rsidR="009C55C9" w:rsidRPr="00A97787" w:rsidRDefault="00000000" w:rsidP="00AF46FC">
      <w:pPr>
        <w:pStyle w:val="NormalWeb"/>
        <w:numPr>
          <w:ilvl w:val="0"/>
          <w:numId w:val="17"/>
        </w:numPr>
        <w:rPr>
          <w:rFonts w:asciiTheme="minorHAnsi" w:hAnsiTheme="minorHAnsi" w:cstheme="minorBidi"/>
          <w:color w:val="000000" w:themeColor="text1"/>
          <w:sz w:val="22"/>
          <w:szCs w:val="22"/>
        </w:rPr>
      </w:pPr>
      <w:hyperlink r:id="rId86" w:anchor="Account%20Identifier%20Document">
        <w:r w:rsidR="009C55C9" w:rsidRPr="469BFCBA">
          <w:rPr>
            <w:rStyle w:val="Hyperlink"/>
            <w:rFonts w:asciiTheme="minorHAnsi" w:hAnsiTheme="minorHAnsi" w:cstheme="minorBidi"/>
            <w:color w:val="auto"/>
            <w:sz w:val="22"/>
            <w:szCs w:val="22"/>
          </w:rPr>
          <w:t>Batch submissions – Account Identifier Document</w:t>
        </w:r>
      </w:hyperlink>
    </w:p>
    <w:p w14:paraId="6A2427BA" w14:textId="77777777" w:rsidR="009C55C9" w:rsidRPr="00A97787" w:rsidRDefault="00000000" w:rsidP="00AF46FC">
      <w:pPr>
        <w:pStyle w:val="NormalWeb"/>
        <w:numPr>
          <w:ilvl w:val="0"/>
          <w:numId w:val="17"/>
        </w:numPr>
        <w:rPr>
          <w:rFonts w:asciiTheme="minorHAnsi" w:hAnsiTheme="minorHAnsi" w:cstheme="minorBidi"/>
          <w:color w:val="000000" w:themeColor="text1"/>
          <w:sz w:val="22"/>
          <w:szCs w:val="22"/>
        </w:rPr>
      </w:pPr>
      <w:hyperlink r:id="rId87" w:anchor="Licensed%20meds">
        <w:r w:rsidR="009C55C9" w:rsidRPr="469BFCBA">
          <w:rPr>
            <w:rStyle w:val="Hyperlink"/>
            <w:rFonts w:asciiTheme="minorHAnsi" w:hAnsiTheme="minorHAnsi" w:cstheme="minorBidi"/>
            <w:color w:val="auto"/>
            <w:sz w:val="22"/>
            <w:szCs w:val="22"/>
          </w:rPr>
          <w:t>Licensed medicines</w:t>
        </w:r>
      </w:hyperlink>
    </w:p>
    <w:p w14:paraId="081506F4" w14:textId="77777777" w:rsidR="009C55C9" w:rsidRPr="00A97787" w:rsidRDefault="00000000" w:rsidP="00AF46FC">
      <w:pPr>
        <w:pStyle w:val="NormalWeb"/>
        <w:numPr>
          <w:ilvl w:val="0"/>
          <w:numId w:val="17"/>
        </w:numPr>
        <w:rPr>
          <w:rFonts w:asciiTheme="minorHAnsi" w:hAnsiTheme="minorHAnsi" w:cstheme="minorBidi"/>
          <w:color w:val="000000" w:themeColor="text1"/>
          <w:sz w:val="22"/>
          <w:szCs w:val="22"/>
        </w:rPr>
      </w:pPr>
      <w:hyperlink r:id="rId88" w:anchor="RTEC">
        <w:r w:rsidR="009C55C9" w:rsidRPr="469BFCBA">
          <w:rPr>
            <w:rStyle w:val="Hyperlink"/>
            <w:rFonts w:asciiTheme="minorHAnsi" w:hAnsiTheme="minorHAnsi" w:cstheme="minorBidi"/>
            <w:color w:val="auto"/>
            <w:sz w:val="22"/>
            <w:szCs w:val="22"/>
          </w:rPr>
          <w:t>RTEC DWP work complete</w:t>
        </w:r>
      </w:hyperlink>
    </w:p>
    <w:p w14:paraId="29B88633" w14:textId="77777777" w:rsidR="009C55C9" w:rsidRPr="00A97787" w:rsidRDefault="00000000" w:rsidP="00AF46FC">
      <w:pPr>
        <w:pStyle w:val="NormalWeb"/>
        <w:numPr>
          <w:ilvl w:val="0"/>
          <w:numId w:val="17"/>
        </w:numPr>
        <w:rPr>
          <w:rFonts w:asciiTheme="minorHAnsi" w:hAnsiTheme="minorHAnsi" w:cstheme="minorBidi"/>
          <w:color w:val="000000" w:themeColor="text1"/>
          <w:sz w:val="22"/>
          <w:szCs w:val="22"/>
        </w:rPr>
      </w:pPr>
      <w:hyperlink r:id="rId89" w:anchor="NMS">
        <w:r w:rsidR="009C55C9" w:rsidRPr="469BFCBA">
          <w:rPr>
            <w:rStyle w:val="Hyperlink"/>
            <w:rFonts w:asciiTheme="minorHAnsi" w:hAnsiTheme="minorHAnsi" w:cstheme="minorBidi"/>
            <w:color w:val="auto"/>
            <w:sz w:val="22"/>
            <w:szCs w:val="22"/>
          </w:rPr>
          <w:t>NMS returns not required Q1</w:t>
        </w:r>
      </w:hyperlink>
    </w:p>
    <w:p w14:paraId="270117EA" w14:textId="77777777" w:rsidR="009C55C9" w:rsidRPr="00A97787" w:rsidRDefault="00000000" w:rsidP="00AF46FC">
      <w:pPr>
        <w:pStyle w:val="NormalWeb"/>
        <w:numPr>
          <w:ilvl w:val="0"/>
          <w:numId w:val="17"/>
        </w:numPr>
        <w:rPr>
          <w:rFonts w:asciiTheme="minorHAnsi" w:hAnsiTheme="minorHAnsi" w:cstheme="minorBidi"/>
          <w:color w:val="000000" w:themeColor="text1"/>
          <w:sz w:val="22"/>
          <w:szCs w:val="22"/>
        </w:rPr>
      </w:pPr>
      <w:hyperlink r:id="rId90" w:anchor="Endorsing%20SSPs">
        <w:r w:rsidR="009C55C9" w:rsidRPr="469BFCBA">
          <w:rPr>
            <w:rStyle w:val="Hyperlink"/>
            <w:rFonts w:asciiTheme="minorHAnsi" w:hAnsiTheme="minorHAnsi" w:cstheme="minorBidi"/>
            <w:color w:val="auto"/>
            <w:sz w:val="22"/>
            <w:szCs w:val="22"/>
          </w:rPr>
          <w:t>Endorsing SSPs</w:t>
        </w:r>
      </w:hyperlink>
    </w:p>
    <w:p w14:paraId="6FFF2720" w14:textId="77777777" w:rsidR="009C55C9" w:rsidRPr="00A97787" w:rsidRDefault="00000000" w:rsidP="00AF46FC">
      <w:pPr>
        <w:pStyle w:val="NormalWeb"/>
        <w:numPr>
          <w:ilvl w:val="0"/>
          <w:numId w:val="17"/>
        </w:numPr>
        <w:rPr>
          <w:rFonts w:asciiTheme="minorHAnsi" w:hAnsiTheme="minorHAnsi" w:cstheme="minorBidi"/>
          <w:color w:val="000000" w:themeColor="text1"/>
          <w:sz w:val="22"/>
          <w:szCs w:val="22"/>
        </w:rPr>
      </w:pPr>
      <w:hyperlink r:id="rId91" w:anchor="dm+d%20browser">
        <w:proofErr w:type="spellStart"/>
        <w:r w:rsidR="009C55C9" w:rsidRPr="469BFCBA">
          <w:rPr>
            <w:rStyle w:val="Hyperlink"/>
            <w:rFonts w:asciiTheme="minorHAnsi" w:hAnsiTheme="minorHAnsi" w:cstheme="minorBidi"/>
            <w:color w:val="auto"/>
            <w:sz w:val="22"/>
            <w:szCs w:val="22"/>
          </w:rPr>
          <w:t>dm+d</w:t>
        </w:r>
        <w:proofErr w:type="spellEnd"/>
        <w:r w:rsidR="009C55C9" w:rsidRPr="469BFCBA">
          <w:rPr>
            <w:rStyle w:val="Hyperlink"/>
            <w:rFonts w:asciiTheme="minorHAnsi" w:hAnsiTheme="minorHAnsi" w:cstheme="minorBidi"/>
            <w:color w:val="auto"/>
            <w:sz w:val="22"/>
            <w:szCs w:val="22"/>
          </w:rPr>
          <w:t xml:space="preserve"> browser</w:t>
        </w:r>
      </w:hyperlink>
    </w:p>
    <w:p w14:paraId="2A8CDC87" w14:textId="77777777" w:rsidR="009C55C9" w:rsidRPr="00A97787" w:rsidRDefault="00000000" w:rsidP="00AF46FC">
      <w:pPr>
        <w:pStyle w:val="NormalWeb"/>
        <w:numPr>
          <w:ilvl w:val="0"/>
          <w:numId w:val="17"/>
        </w:numPr>
        <w:rPr>
          <w:rFonts w:asciiTheme="minorHAnsi" w:hAnsiTheme="minorHAnsi" w:cstheme="minorBidi"/>
          <w:color w:val="000000" w:themeColor="text1"/>
          <w:sz w:val="22"/>
          <w:szCs w:val="22"/>
        </w:rPr>
      </w:pPr>
      <w:hyperlink r:id="rId92" w:anchor="eRD">
        <w:r w:rsidR="009C55C9" w:rsidRPr="469BFCBA">
          <w:rPr>
            <w:rStyle w:val="Hyperlink"/>
            <w:rFonts w:asciiTheme="minorHAnsi" w:hAnsiTheme="minorHAnsi" w:cstheme="minorBidi"/>
            <w:color w:val="auto"/>
            <w:sz w:val="22"/>
            <w:szCs w:val="22"/>
          </w:rPr>
          <w:t>Electronic Repeat Dispensing</w:t>
        </w:r>
      </w:hyperlink>
    </w:p>
    <w:p w14:paraId="78F50214" w14:textId="77777777" w:rsidR="009C55C9" w:rsidRDefault="009C55C9" w:rsidP="009C55C9">
      <w:pPr>
        <w:pStyle w:val="NormalWeb"/>
        <w:rPr>
          <w:rFonts w:asciiTheme="minorHAnsi" w:hAnsiTheme="minorHAnsi" w:cstheme="minorBidi"/>
          <w:sz w:val="22"/>
          <w:szCs w:val="22"/>
        </w:rPr>
      </w:pPr>
    </w:p>
    <w:p w14:paraId="6A5DADB4" w14:textId="77777777" w:rsidR="009C55C9" w:rsidRPr="00A97787" w:rsidRDefault="009C55C9" w:rsidP="009C55C9">
      <w:pPr>
        <w:pStyle w:val="NormalWeb"/>
        <w:rPr>
          <w:rFonts w:asciiTheme="minorHAnsi" w:hAnsiTheme="minorHAnsi" w:cstheme="minorBidi"/>
          <w:color w:val="000000" w:themeColor="text1"/>
          <w:sz w:val="22"/>
          <w:szCs w:val="22"/>
        </w:rPr>
      </w:pPr>
      <w:r w:rsidRPr="469BFCBA">
        <w:rPr>
          <w:rFonts w:asciiTheme="minorHAnsi" w:hAnsiTheme="minorHAnsi" w:cstheme="minorBidi"/>
          <w:sz w:val="22"/>
          <w:szCs w:val="22"/>
        </w:rPr>
        <w:t>To view current and previous issues of Hints &amp; Tips click </w:t>
      </w:r>
      <w:hyperlink r:id="rId93" w:anchor="jumplink0">
        <w:r w:rsidRPr="469BFCBA">
          <w:rPr>
            <w:rStyle w:val="Hyperlink"/>
            <w:rFonts w:asciiTheme="minorHAnsi" w:hAnsiTheme="minorHAnsi" w:cstheme="minorBidi"/>
            <w:color w:val="auto"/>
            <w:sz w:val="22"/>
            <w:szCs w:val="22"/>
          </w:rPr>
          <w:t>here</w:t>
        </w:r>
      </w:hyperlink>
      <w:r w:rsidRPr="469BFCBA">
        <w:rPr>
          <w:rFonts w:asciiTheme="minorHAnsi" w:hAnsiTheme="minorHAnsi" w:cstheme="minorBidi"/>
          <w:sz w:val="22"/>
          <w:szCs w:val="22"/>
        </w:rPr>
        <w:t>.</w:t>
      </w:r>
    </w:p>
    <w:p w14:paraId="26DDB6B9" w14:textId="77777777" w:rsidR="009C55C9" w:rsidRDefault="009C55C9" w:rsidP="009C55C9">
      <w:pPr>
        <w:pStyle w:val="NoSpacing"/>
      </w:pPr>
    </w:p>
    <w:p w14:paraId="22B79300" w14:textId="77777777" w:rsidR="009C55C9" w:rsidRPr="002A0095" w:rsidRDefault="009C55C9" w:rsidP="009C55C9">
      <w:pPr>
        <w:pStyle w:val="NoSpacing"/>
      </w:pPr>
    </w:p>
    <w:p w14:paraId="778F3EE3" w14:textId="77777777" w:rsidR="009C55C9" w:rsidRPr="004E52A2" w:rsidRDefault="009C55C9" w:rsidP="009C55C9">
      <w:pPr>
        <w:jc w:val="both"/>
        <w:rPr>
          <w:rFonts w:ascii="Calibri Light" w:hAnsi="Calibri Light" w:cs="Calibri Light"/>
          <w:b/>
          <w:bCs/>
          <w:color w:val="2F5496" w:themeColor="accent1" w:themeShade="BF"/>
          <w:sz w:val="32"/>
          <w:szCs w:val="32"/>
        </w:rPr>
      </w:pPr>
      <w:r w:rsidRPr="1EA93732">
        <w:rPr>
          <w:rFonts w:ascii="Calibri Light" w:hAnsi="Calibri Light" w:cs="Calibri Light"/>
          <w:color w:val="2F5496" w:themeColor="accent1" w:themeShade="BF"/>
          <w:sz w:val="32"/>
          <w:szCs w:val="32"/>
        </w:rPr>
        <w:t>Market movements with implications for supply</w:t>
      </w:r>
    </w:p>
    <w:bookmarkEnd w:id="5"/>
    <w:p w14:paraId="4D6C8D24" w14:textId="77777777" w:rsidR="009C55C9" w:rsidRDefault="009C55C9" w:rsidP="009C55C9">
      <w:pPr>
        <w:pStyle w:val="NoSpacing"/>
      </w:pPr>
    </w:p>
    <w:p w14:paraId="586F6F86" w14:textId="77777777" w:rsidR="009C55C9" w:rsidRDefault="009C55C9" w:rsidP="009C55C9">
      <w:pPr>
        <w:pStyle w:val="NoSpacing"/>
        <w:jc w:val="both"/>
        <w:rPr>
          <w:color w:val="000000" w:themeColor="text1"/>
        </w:rPr>
      </w:pPr>
      <w:r w:rsidRPr="469BFCBA">
        <w:t xml:space="preserve">The following </w:t>
      </w:r>
      <w:r w:rsidRPr="00B061AD">
        <w:rPr>
          <w:b/>
          <w:bCs/>
        </w:rPr>
        <w:t>1</w:t>
      </w:r>
      <w:r>
        <w:rPr>
          <w:b/>
          <w:bCs/>
        </w:rPr>
        <w:t>6</w:t>
      </w:r>
      <w:r w:rsidRPr="469BFCBA">
        <w:rPr>
          <w:b/>
          <w:bCs/>
        </w:rPr>
        <w:t xml:space="preserve"> </w:t>
      </w:r>
      <w:r w:rsidRPr="469BFCBA">
        <w:t xml:space="preserve">supply disruption alerts and medicine supply notifications (issued by DHSC between 6 June 2022 and </w:t>
      </w:r>
      <w:r>
        <w:t>5 September</w:t>
      </w:r>
      <w:r w:rsidRPr="469BFCBA">
        <w:t xml:space="preserve"> 2022) were published on the PSNC’s website by the Dispensing &amp; Supply team to assist pharmacy teams:</w:t>
      </w:r>
    </w:p>
    <w:p w14:paraId="46165287" w14:textId="77777777" w:rsidR="009C55C9" w:rsidDel="00E7490D" w:rsidRDefault="009C55C9" w:rsidP="009C55C9">
      <w:pPr>
        <w:pStyle w:val="NoSpacing"/>
        <w:rPr>
          <w:rFonts w:ascii="Calibri Light" w:eastAsia="Calibri Light" w:hAnsi="Calibri Light" w:cs="Calibri Light"/>
          <w:b/>
          <w:bCs/>
          <w:color w:val="44546A" w:themeColor="text2"/>
          <w:sz w:val="24"/>
          <w:szCs w:val="24"/>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9203"/>
      </w:tblGrid>
      <w:tr w:rsidR="009C55C9" w:rsidRPr="00922897" w14:paraId="4116893A" w14:textId="77777777" w:rsidTr="00BF374D">
        <w:trPr>
          <w:trHeight w:val="300"/>
          <w:tblHeader/>
        </w:trPr>
        <w:tc>
          <w:tcPr>
            <w:tcW w:w="1410"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6168DFA1" w14:textId="77777777" w:rsidR="009C55C9" w:rsidRPr="00922897" w:rsidRDefault="009C55C9" w:rsidP="00BF374D">
            <w:pPr>
              <w:jc w:val="both"/>
              <w:rPr>
                <w:rFonts w:eastAsiaTheme="minorEastAsia"/>
                <w:b/>
                <w:color w:val="FFFFFF" w:themeColor="background1"/>
              </w:rPr>
            </w:pPr>
            <w:r w:rsidRPr="7CB779B7">
              <w:rPr>
                <w:rFonts w:eastAsiaTheme="minorEastAsia"/>
                <w:b/>
                <w:color w:val="FFFFFF" w:themeColor="background1"/>
              </w:rPr>
              <w:t>Date</w:t>
            </w:r>
          </w:p>
        </w:tc>
        <w:tc>
          <w:tcPr>
            <w:tcW w:w="9203"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0F58147C" w14:textId="77777777" w:rsidR="009C55C9" w:rsidRPr="00922897" w:rsidRDefault="009C55C9" w:rsidP="00BF374D">
            <w:pPr>
              <w:jc w:val="both"/>
              <w:rPr>
                <w:rFonts w:eastAsiaTheme="minorEastAsia"/>
                <w:b/>
                <w:color w:val="FFFFFF" w:themeColor="background1"/>
              </w:rPr>
            </w:pPr>
            <w:r w:rsidRPr="7CB779B7">
              <w:rPr>
                <w:rFonts w:eastAsiaTheme="minorEastAsia"/>
                <w:b/>
                <w:color w:val="FFFFFF" w:themeColor="background1"/>
              </w:rPr>
              <w:t>Drug name</w:t>
            </w:r>
          </w:p>
        </w:tc>
      </w:tr>
      <w:tr w:rsidR="009C55C9" w:rsidRPr="00CF303A" w14:paraId="42BAE14C"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B480B" w14:textId="77777777" w:rsidR="009C55C9" w:rsidRPr="00CF303A" w:rsidRDefault="009C55C9" w:rsidP="00BF374D">
            <w:pPr>
              <w:jc w:val="both"/>
              <w:rPr>
                <w:bCs/>
                <w:color w:val="000000" w:themeColor="text1"/>
              </w:rPr>
            </w:pPr>
            <w:r>
              <w:rPr>
                <w:bCs/>
                <w:color w:val="000000" w:themeColor="text1"/>
              </w:rPr>
              <w:t>05/09/2022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79CE6" w14:textId="77777777" w:rsidR="009C55C9" w:rsidRDefault="00000000" w:rsidP="00BF374D">
            <w:pPr>
              <w:jc w:val="both"/>
            </w:pPr>
            <w:hyperlink r:id="rId94" w:history="1">
              <w:r w:rsidR="009C55C9" w:rsidRPr="001B5377">
                <w:rPr>
                  <w:rStyle w:val="Hyperlink"/>
                </w:rPr>
                <w:t>Medroxyprogesterone (Provera® ) 10mg tablets</w:t>
              </w:r>
            </w:hyperlink>
          </w:p>
        </w:tc>
      </w:tr>
      <w:tr w:rsidR="009C55C9" w:rsidRPr="00CF303A" w14:paraId="7B409A88"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1EDDD" w14:textId="77777777" w:rsidR="009C55C9" w:rsidRPr="00CF303A" w:rsidRDefault="009C55C9" w:rsidP="00BF374D">
            <w:pPr>
              <w:jc w:val="both"/>
              <w:rPr>
                <w:bCs/>
                <w:color w:val="000000" w:themeColor="text1"/>
              </w:rPr>
            </w:pPr>
            <w:r w:rsidRPr="00CF303A">
              <w:rPr>
                <w:bCs/>
                <w:color w:val="000000" w:themeColor="text1"/>
              </w:rPr>
              <w:t>26/08/2022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EF52D" w14:textId="77777777" w:rsidR="009C55C9" w:rsidRPr="00CF303A" w:rsidRDefault="00000000" w:rsidP="00BF374D">
            <w:pPr>
              <w:jc w:val="both"/>
              <w:rPr>
                <w:rStyle w:val="CommentReference"/>
              </w:rPr>
            </w:pPr>
            <w:hyperlink r:id="rId95" w:history="1">
              <w:r w:rsidR="009C55C9" w:rsidRPr="00CF303A">
                <w:rPr>
                  <w:rStyle w:val="Hyperlink"/>
                </w:rPr>
                <w:t>Methylprednisolone (</w:t>
              </w:r>
              <w:proofErr w:type="spellStart"/>
              <w:r w:rsidR="009C55C9" w:rsidRPr="00CF303A">
                <w:rPr>
                  <w:rStyle w:val="Hyperlink"/>
                </w:rPr>
                <w:t>Medrone</w:t>
              </w:r>
              <w:proofErr w:type="spellEnd"/>
              <w:r w:rsidR="009C55C9" w:rsidRPr="00CF303A">
                <w:rPr>
                  <w:rStyle w:val="Hyperlink"/>
                </w:rPr>
                <w:t>®) 4mg tablets</w:t>
              </w:r>
            </w:hyperlink>
          </w:p>
        </w:tc>
      </w:tr>
      <w:tr w:rsidR="009C55C9" w:rsidRPr="0082779F" w14:paraId="740B5D42"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555C7" w14:textId="77777777" w:rsidR="009C55C9" w:rsidRPr="0082779F" w:rsidRDefault="009C55C9" w:rsidP="00BF374D">
            <w:pPr>
              <w:jc w:val="both"/>
              <w:rPr>
                <w:color w:val="000000" w:themeColor="text1"/>
              </w:rPr>
            </w:pPr>
            <w:r w:rsidRPr="7B04DED9">
              <w:rPr>
                <w:color w:val="000000" w:themeColor="text1"/>
              </w:rPr>
              <w:t>18/08/2022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8B598" w14:textId="77777777" w:rsidR="009C55C9" w:rsidRPr="003A4FD9" w:rsidRDefault="00000000" w:rsidP="00BF374D">
            <w:pPr>
              <w:jc w:val="both"/>
              <w:rPr>
                <w:rFonts w:eastAsiaTheme="minorEastAsia" w:cstheme="minorHAnsi"/>
                <w:color w:val="000000" w:themeColor="text1"/>
              </w:rPr>
            </w:pPr>
            <w:hyperlink r:id="rId96">
              <w:r w:rsidR="009C55C9" w:rsidRPr="003A4FD9">
                <w:rPr>
                  <w:rStyle w:val="Hyperlink"/>
                  <w:rFonts w:eastAsiaTheme="minorEastAsia" w:cstheme="minorHAnsi"/>
                </w:rPr>
                <w:t>Acebutolol (</w:t>
              </w:r>
              <w:proofErr w:type="spellStart"/>
              <w:r w:rsidR="009C55C9" w:rsidRPr="003A4FD9">
                <w:rPr>
                  <w:rStyle w:val="Hyperlink"/>
                  <w:rFonts w:eastAsiaTheme="minorEastAsia" w:cstheme="minorHAnsi"/>
                </w:rPr>
                <w:t>Sectral</w:t>
              </w:r>
              <w:proofErr w:type="spellEnd"/>
              <w:r w:rsidR="009C55C9" w:rsidRPr="003A4FD9">
                <w:rPr>
                  <w:rStyle w:val="Hyperlink"/>
                  <w:rFonts w:eastAsiaTheme="minorEastAsia" w:cstheme="minorHAnsi"/>
                </w:rPr>
                <w:t>® )100mg a</w:t>
              </w:r>
              <w:r w:rsidR="009C55C9" w:rsidRPr="003A4FD9">
                <w:rPr>
                  <w:rStyle w:val="Hyperlink"/>
                  <w:rFonts w:eastAsia="Wingdings" w:cstheme="minorHAnsi"/>
                </w:rPr>
                <w:t>nd 200mg</w:t>
              </w:r>
              <w:r w:rsidR="009C55C9" w:rsidRPr="003A4FD9">
                <w:rPr>
                  <w:rStyle w:val="Hyperlink"/>
                  <w:rFonts w:eastAsiaTheme="minorEastAsia" w:cstheme="minorHAnsi"/>
                </w:rPr>
                <w:t xml:space="preserve"> capsules and 400mg tablets</w:t>
              </w:r>
            </w:hyperlink>
          </w:p>
        </w:tc>
      </w:tr>
      <w:tr w:rsidR="009C55C9" w:rsidRPr="0082779F" w14:paraId="325090BC"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5B365" w14:textId="77777777" w:rsidR="009C55C9" w:rsidRPr="0082779F" w:rsidRDefault="009C55C9" w:rsidP="00BF374D">
            <w:pPr>
              <w:jc w:val="both"/>
              <w:rPr>
                <w:color w:val="000000" w:themeColor="text1"/>
              </w:rPr>
            </w:pPr>
            <w:r w:rsidRPr="7B04DED9">
              <w:rPr>
                <w:color w:val="000000" w:themeColor="text1"/>
              </w:rPr>
              <w:t>18/08/2022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024CD" w14:textId="77777777" w:rsidR="009C55C9" w:rsidRPr="0082779F" w:rsidRDefault="00000000" w:rsidP="00BF374D">
            <w:pPr>
              <w:jc w:val="both"/>
              <w:rPr>
                <w:rFonts w:eastAsiaTheme="minorEastAsia"/>
                <w:color w:val="000000" w:themeColor="text1"/>
              </w:rPr>
            </w:pPr>
            <w:hyperlink r:id="rId97">
              <w:r w:rsidR="009C55C9" w:rsidRPr="1F6F3058">
                <w:rPr>
                  <w:rStyle w:val="Hyperlink"/>
                  <w:rFonts w:eastAsiaTheme="minorEastAsia"/>
                </w:rPr>
                <w:t>Bowel evacuation preparations</w:t>
              </w:r>
            </w:hyperlink>
          </w:p>
        </w:tc>
      </w:tr>
      <w:tr w:rsidR="009C55C9" w:rsidRPr="0082779F" w14:paraId="71C4C0C3"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D41FB" w14:textId="77777777" w:rsidR="009C55C9" w:rsidRPr="0082779F" w:rsidRDefault="009C55C9" w:rsidP="00BF374D">
            <w:pPr>
              <w:jc w:val="both"/>
              <w:rPr>
                <w:color w:val="000000" w:themeColor="text1"/>
              </w:rPr>
            </w:pPr>
            <w:r w:rsidRPr="7B04DED9">
              <w:rPr>
                <w:color w:val="000000" w:themeColor="text1"/>
              </w:rPr>
              <w:t>18/08/2022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9112C" w14:textId="77777777" w:rsidR="009C55C9" w:rsidRPr="0082779F" w:rsidRDefault="00000000" w:rsidP="00BF374D">
            <w:pPr>
              <w:jc w:val="both"/>
              <w:rPr>
                <w:rFonts w:eastAsiaTheme="minorEastAsia"/>
                <w:color w:val="000000" w:themeColor="text1"/>
              </w:rPr>
            </w:pPr>
            <w:hyperlink r:id="rId98">
              <w:r w:rsidR="009C55C9" w:rsidRPr="1F6F3058">
                <w:rPr>
                  <w:rStyle w:val="Hyperlink"/>
                  <w:rFonts w:eastAsiaTheme="minorEastAsia"/>
                </w:rPr>
                <w:t>Diltiazem (</w:t>
              </w:r>
              <w:proofErr w:type="spellStart"/>
              <w:r w:rsidR="009C55C9" w:rsidRPr="1F6F3058">
                <w:rPr>
                  <w:rStyle w:val="Hyperlink"/>
                  <w:rFonts w:eastAsiaTheme="minorEastAsia"/>
                </w:rPr>
                <w:t>Tildiem</w:t>
              </w:r>
              <w:proofErr w:type="spellEnd"/>
              <w:r w:rsidR="009C55C9" w:rsidRPr="1F6F3058">
                <w:rPr>
                  <w:rStyle w:val="Hyperlink"/>
                  <w:rFonts w:eastAsiaTheme="minorEastAsia"/>
                </w:rPr>
                <w:t xml:space="preserve"> Retard® ) 90mg and 120mg modified-release tablets</w:t>
              </w:r>
            </w:hyperlink>
          </w:p>
        </w:tc>
      </w:tr>
      <w:tr w:rsidR="009C55C9" w:rsidRPr="0082779F" w14:paraId="4D0EF972"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3FBBE" w14:textId="77777777" w:rsidR="009C55C9" w:rsidRPr="0082779F" w:rsidRDefault="009C55C9" w:rsidP="00BF374D">
            <w:pPr>
              <w:jc w:val="both"/>
              <w:rPr>
                <w:color w:val="000000" w:themeColor="text1"/>
              </w:rPr>
            </w:pPr>
            <w:r w:rsidRPr="7B04DED9">
              <w:rPr>
                <w:color w:val="000000" w:themeColor="text1"/>
              </w:rPr>
              <w:t>12/08/2022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D6817" w14:textId="77777777" w:rsidR="009C55C9" w:rsidRPr="0082779F" w:rsidRDefault="00000000" w:rsidP="00BF374D">
            <w:pPr>
              <w:jc w:val="both"/>
              <w:rPr>
                <w:rFonts w:eastAsiaTheme="minorEastAsia"/>
                <w:color w:val="000000" w:themeColor="text1"/>
              </w:rPr>
            </w:pPr>
            <w:hyperlink r:id="rId99">
              <w:r w:rsidR="009C55C9" w:rsidRPr="1F6F3058">
                <w:rPr>
                  <w:rStyle w:val="Hyperlink"/>
                  <w:rFonts w:eastAsiaTheme="minorEastAsia"/>
                </w:rPr>
                <w:t>Varicella vaccine (live) powder and solvent for suspension/solution for injection 0.5ml vials (</w:t>
              </w:r>
              <w:proofErr w:type="spellStart"/>
              <w:r w:rsidR="009C55C9" w:rsidRPr="1F6F3058">
                <w:rPr>
                  <w:rStyle w:val="Hyperlink"/>
                  <w:rFonts w:eastAsiaTheme="minorEastAsia"/>
                </w:rPr>
                <w:t>Varivax</w:t>
              </w:r>
              <w:proofErr w:type="spellEnd"/>
              <w:r w:rsidR="009C55C9" w:rsidRPr="1F6F3058">
                <w:rPr>
                  <w:rStyle w:val="Hyperlink"/>
                  <w:rFonts w:eastAsiaTheme="minorEastAsia"/>
                </w:rPr>
                <w:t xml:space="preserve">® and </w:t>
              </w:r>
              <w:proofErr w:type="spellStart"/>
              <w:r w:rsidR="009C55C9" w:rsidRPr="1F6F3058">
                <w:rPr>
                  <w:rStyle w:val="Hyperlink"/>
                  <w:rFonts w:eastAsiaTheme="minorEastAsia"/>
                </w:rPr>
                <w:t>Varilrix</w:t>
              </w:r>
              <w:proofErr w:type="spellEnd"/>
              <w:r w:rsidR="009C55C9" w:rsidRPr="1F6F3058">
                <w:rPr>
                  <w:rStyle w:val="Hyperlink"/>
                  <w:rFonts w:eastAsiaTheme="minorEastAsia"/>
                </w:rPr>
                <w:t>® )</w:t>
              </w:r>
            </w:hyperlink>
          </w:p>
        </w:tc>
      </w:tr>
      <w:tr w:rsidR="009C55C9" w:rsidRPr="0082779F" w14:paraId="0309D831"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46201" w14:textId="77777777" w:rsidR="009C55C9" w:rsidRPr="0082779F" w:rsidRDefault="009C55C9" w:rsidP="00BF374D">
            <w:pPr>
              <w:jc w:val="both"/>
              <w:rPr>
                <w:color w:val="000000" w:themeColor="text1"/>
              </w:rPr>
            </w:pPr>
            <w:r w:rsidRPr="7B04DED9">
              <w:rPr>
                <w:color w:val="000000" w:themeColor="text1"/>
              </w:rPr>
              <w:t>11/08/2022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0A72A" w14:textId="77777777" w:rsidR="009C55C9" w:rsidRPr="0082779F" w:rsidRDefault="00000000" w:rsidP="00BF374D">
            <w:pPr>
              <w:jc w:val="both"/>
              <w:rPr>
                <w:rFonts w:eastAsiaTheme="minorEastAsia"/>
                <w:color w:val="000000" w:themeColor="text1"/>
              </w:rPr>
            </w:pPr>
            <w:hyperlink r:id="rId100">
              <w:r w:rsidR="009C55C9" w:rsidRPr="1F6F3058">
                <w:rPr>
                  <w:rStyle w:val="Hyperlink"/>
                  <w:rFonts w:eastAsiaTheme="minorEastAsia"/>
                </w:rPr>
                <w:t>Hydrocortisone sodium phosphate 100mg/1ml solution for injection ampoules</w:t>
              </w:r>
            </w:hyperlink>
          </w:p>
        </w:tc>
      </w:tr>
      <w:tr w:rsidR="009C55C9" w:rsidRPr="0082779F" w14:paraId="24BEC0FE"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2BB792CA" w14:textId="77777777" w:rsidR="009C55C9" w:rsidRPr="0082779F" w:rsidRDefault="009C55C9" w:rsidP="00BF374D">
            <w:pPr>
              <w:jc w:val="both"/>
              <w:rPr>
                <w:color w:val="000000" w:themeColor="text1"/>
              </w:rPr>
            </w:pPr>
            <w:r w:rsidRPr="7B04DED9">
              <w:rPr>
                <w:color w:val="000000" w:themeColor="text1"/>
              </w:rPr>
              <w:t>11/08/2022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711B2" w14:textId="77777777" w:rsidR="009C55C9" w:rsidRPr="0082779F" w:rsidRDefault="00000000" w:rsidP="00BF374D">
            <w:pPr>
              <w:jc w:val="both"/>
              <w:rPr>
                <w:rFonts w:eastAsiaTheme="minorEastAsia"/>
                <w:color w:val="000000" w:themeColor="text1"/>
              </w:rPr>
            </w:pPr>
            <w:hyperlink r:id="rId101">
              <w:r w:rsidR="009C55C9" w:rsidRPr="1F6F3058">
                <w:rPr>
                  <w:rStyle w:val="Hyperlink"/>
                  <w:rFonts w:eastAsiaTheme="minorEastAsia"/>
                </w:rPr>
                <w:t>Disopyramide 150mg capsules</w:t>
              </w:r>
            </w:hyperlink>
          </w:p>
        </w:tc>
      </w:tr>
      <w:tr w:rsidR="009C55C9" w:rsidRPr="0082779F" w14:paraId="5B1EE99E"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44FE9642" w14:textId="77777777" w:rsidR="009C55C9" w:rsidRPr="0082779F" w:rsidRDefault="009C55C9" w:rsidP="00BF374D">
            <w:pPr>
              <w:jc w:val="both"/>
              <w:rPr>
                <w:color w:val="000000" w:themeColor="text1"/>
              </w:rPr>
            </w:pPr>
            <w:r w:rsidRPr="7B04DED9">
              <w:rPr>
                <w:color w:val="000000" w:themeColor="text1"/>
              </w:rPr>
              <w:t>08/08/2022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72E7A" w14:textId="77777777" w:rsidR="009C55C9" w:rsidRPr="0082779F" w:rsidRDefault="00000000" w:rsidP="00BF374D">
            <w:pPr>
              <w:jc w:val="both"/>
              <w:rPr>
                <w:rFonts w:eastAsiaTheme="minorEastAsia"/>
                <w:color w:val="000000" w:themeColor="text1"/>
              </w:rPr>
            </w:pPr>
            <w:hyperlink r:id="rId102">
              <w:r w:rsidR="009C55C9" w:rsidRPr="1F6F3058">
                <w:rPr>
                  <w:rStyle w:val="Hyperlink"/>
                  <w:rFonts w:eastAsiaTheme="minorEastAsia"/>
                </w:rPr>
                <w:t>Insulin isophane biphasic human 50/50 (</w:t>
              </w:r>
              <w:proofErr w:type="spellStart"/>
              <w:r w:rsidR="009C55C9" w:rsidRPr="1F6F3058">
                <w:rPr>
                  <w:rStyle w:val="Hyperlink"/>
                  <w:rFonts w:eastAsiaTheme="minorEastAsia"/>
                </w:rPr>
                <w:t>Insuman</w:t>
              </w:r>
              <w:proofErr w:type="spellEnd"/>
              <w:r w:rsidR="009C55C9" w:rsidRPr="1F6F3058">
                <w:rPr>
                  <w:rStyle w:val="Hyperlink"/>
                  <w:rFonts w:eastAsiaTheme="minorEastAsia"/>
                </w:rPr>
                <w:t>® Comb 50) 100units/ml suspension for injection 3ml cartridge</w:t>
              </w:r>
            </w:hyperlink>
          </w:p>
        </w:tc>
      </w:tr>
      <w:tr w:rsidR="009C55C9" w:rsidRPr="0082779F" w14:paraId="4CE77BA5"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4BF5306F" w14:textId="77777777" w:rsidR="009C55C9" w:rsidRPr="0082779F" w:rsidRDefault="009C55C9" w:rsidP="00BF374D">
            <w:pPr>
              <w:jc w:val="both"/>
              <w:rPr>
                <w:color w:val="000000" w:themeColor="text1"/>
              </w:rPr>
            </w:pPr>
            <w:r w:rsidRPr="7B04DED9">
              <w:rPr>
                <w:color w:val="000000" w:themeColor="text1"/>
              </w:rPr>
              <w:t>03/08/2022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FEA98" w14:textId="77777777" w:rsidR="009C55C9" w:rsidRPr="0082779F" w:rsidRDefault="00000000" w:rsidP="00BF374D">
            <w:pPr>
              <w:jc w:val="both"/>
              <w:rPr>
                <w:rFonts w:eastAsiaTheme="minorEastAsia"/>
                <w:color w:val="000000" w:themeColor="text1"/>
              </w:rPr>
            </w:pPr>
            <w:hyperlink r:id="rId103">
              <w:r w:rsidR="009C55C9" w:rsidRPr="1F6F3058">
                <w:rPr>
                  <w:rStyle w:val="Hyperlink"/>
                  <w:rFonts w:eastAsiaTheme="minorEastAsia"/>
                </w:rPr>
                <w:t>Aripiprazole 10mg tablets</w:t>
              </w:r>
            </w:hyperlink>
          </w:p>
        </w:tc>
      </w:tr>
      <w:tr w:rsidR="009C55C9" w:rsidRPr="00C9750B" w14:paraId="20A7583D"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F4C25" w14:textId="77777777" w:rsidR="009C55C9" w:rsidRPr="0082779F" w:rsidRDefault="009C55C9" w:rsidP="00BF374D">
            <w:pPr>
              <w:jc w:val="both"/>
              <w:rPr>
                <w:color w:val="000000" w:themeColor="text1"/>
              </w:rPr>
            </w:pPr>
            <w:r w:rsidRPr="7B04DED9">
              <w:rPr>
                <w:color w:val="000000" w:themeColor="text1"/>
              </w:rPr>
              <w:t>03/08/2022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9142A" w14:textId="77777777" w:rsidR="009C55C9" w:rsidRPr="00C9750B" w:rsidRDefault="00000000" w:rsidP="00BF374D">
            <w:pPr>
              <w:jc w:val="both"/>
              <w:rPr>
                <w:rFonts w:eastAsiaTheme="minorEastAsia"/>
                <w:color w:val="000000" w:themeColor="text1"/>
              </w:rPr>
            </w:pPr>
            <w:hyperlink r:id="rId104">
              <w:r w:rsidR="009C55C9" w:rsidRPr="1F6F3058">
                <w:rPr>
                  <w:rStyle w:val="Hyperlink"/>
                  <w:rFonts w:eastAsiaTheme="minorEastAsia"/>
                </w:rPr>
                <w:t>Fluticasone 125microgram / Salmeterol 25microgram (</w:t>
              </w:r>
              <w:proofErr w:type="spellStart"/>
              <w:r w:rsidR="009C55C9" w:rsidRPr="1F6F3058">
                <w:rPr>
                  <w:rStyle w:val="Hyperlink"/>
                  <w:rFonts w:eastAsiaTheme="minorEastAsia"/>
                </w:rPr>
                <w:t>Combisal</w:t>
              </w:r>
              <w:proofErr w:type="spellEnd"/>
              <w:r w:rsidR="009C55C9" w:rsidRPr="1F6F3058">
                <w:rPr>
                  <w:rStyle w:val="Hyperlink"/>
                  <w:rFonts w:eastAsiaTheme="minorEastAsia"/>
                </w:rPr>
                <w:t>®) pressurised metered dose inhaler (</w:t>
              </w:r>
              <w:proofErr w:type="spellStart"/>
              <w:r w:rsidR="009C55C9" w:rsidRPr="1F6F3058">
                <w:rPr>
                  <w:rStyle w:val="Hyperlink"/>
                  <w:rFonts w:eastAsiaTheme="minorEastAsia"/>
                </w:rPr>
                <w:t>pMDI</w:t>
              </w:r>
              <w:proofErr w:type="spellEnd"/>
              <w:r w:rsidR="009C55C9" w:rsidRPr="1F6F3058">
                <w:rPr>
                  <w:rStyle w:val="Hyperlink"/>
                  <w:rFonts w:eastAsiaTheme="minorEastAsia"/>
                </w:rPr>
                <w:t>)</w:t>
              </w:r>
            </w:hyperlink>
          </w:p>
        </w:tc>
      </w:tr>
      <w:tr w:rsidR="009C55C9" w:rsidRPr="00055AA2" w14:paraId="29165378"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0F2DA" w14:textId="77777777" w:rsidR="009C55C9" w:rsidRPr="0082779F" w:rsidRDefault="009C55C9" w:rsidP="00BF374D">
            <w:pPr>
              <w:jc w:val="both"/>
              <w:rPr>
                <w:color w:val="000000" w:themeColor="text1"/>
              </w:rPr>
            </w:pPr>
            <w:r w:rsidRPr="7B04DED9">
              <w:rPr>
                <w:color w:val="000000" w:themeColor="text1"/>
              </w:rPr>
              <w:t>14/07/2022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1751B" w14:textId="77777777" w:rsidR="009C55C9" w:rsidRPr="00126E29" w:rsidRDefault="00000000" w:rsidP="00BF374D">
            <w:pPr>
              <w:jc w:val="both"/>
              <w:rPr>
                <w:rFonts w:eastAsiaTheme="minorEastAsia"/>
                <w:color w:val="000000" w:themeColor="text1"/>
                <w:lang w:val="fr-FR"/>
              </w:rPr>
            </w:pPr>
            <w:hyperlink r:id="rId105">
              <w:proofErr w:type="spellStart"/>
              <w:r w:rsidR="009C55C9" w:rsidRPr="1F6F3058">
                <w:rPr>
                  <w:rStyle w:val="Hyperlink"/>
                  <w:rFonts w:eastAsiaTheme="minorEastAsia"/>
                  <w:lang w:val="fr-FR"/>
                </w:rPr>
                <w:t>Paroxetine</w:t>
              </w:r>
              <w:proofErr w:type="spellEnd"/>
              <w:r w:rsidR="009C55C9" w:rsidRPr="1F6F3058">
                <w:rPr>
                  <w:rStyle w:val="Hyperlink"/>
                  <w:rFonts w:eastAsiaTheme="minorEastAsia"/>
                  <w:lang w:val="fr-FR"/>
                </w:rPr>
                <w:t xml:space="preserve"> (</w:t>
              </w:r>
              <w:proofErr w:type="spellStart"/>
              <w:r w:rsidR="009C55C9" w:rsidRPr="1F6F3058">
                <w:rPr>
                  <w:rStyle w:val="Hyperlink"/>
                  <w:rFonts w:eastAsiaTheme="minorEastAsia"/>
                  <w:lang w:val="fr-FR"/>
                </w:rPr>
                <w:t>Seroxat</w:t>
              </w:r>
              <w:proofErr w:type="spellEnd"/>
              <w:r w:rsidR="009C55C9" w:rsidRPr="1F6F3058">
                <w:rPr>
                  <w:rStyle w:val="Hyperlink"/>
                  <w:rFonts w:eastAsiaTheme="minorEastAsia"/>
                  <w:lang w:val="fr-FR"/>
                </w:rPr>
                <w:t>®) 20mg/10ml oral suspension</w:t>
              </w:r>
            </w:hyperlink>
          </w:p>
        </w:tc>
      </w:tr>
      <w:tr w:rsidR="009C55C9" w:rsidRPr="0082779F" w14:paraId="3A50B8EF"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CE115" w14:textId="77777777" w:rsidR="009C55C9" w:rsidRPr="0082779F" w:rsidRDefault="009C55C9" w:rsidP="00BF374D">
            <w:pPr>
              <w:jc w:val="both"/>
              <w:rPr>
                <w:color w:val="000000" w:themeColor="text1"/>
              </w:rPr>
            </w:pPr>
            <w:r w:rsidRPr="7B04DED9">
              <w:rPr>
                <w:color w:val="000000" w:themeColor="text1"/>
              </w:rPr>
              <w:t>14/07/2022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3CF34" w14:textId="77777777" w:rsidR="009C55C9" w:rsidRPr="0082779F" w:rsidRDefault="00000000" w:rsidP="00BF374D">
            <w:pPr>
              <w:jc w:val="both"/>
              <w:rPr>
                <w:rFonts w:eastAsiaTheme="minorEastAsia"/>
                <w:color w:val="000000" w:themeColor="text1"/>
              </w:rPr>
            </w:pPr>
            <w:hyperlink r:id="rId106">
              <w:proofErr w:type="spellStart"/>
              <w:r w:rsidR="009C55C9" w:rsidRPr="1F6F3058">
                <w:rPr>
                  <w:rStyle w:val="Hyperlink"/>
                  <w:rFonts w:eastAsiaTheme="minorEastAsia"/>
                </w:rPr>
                <w:t>Alendronic</w:t>
              </w:r>
              <w:proofErr w:type="spellEnd"/>
              <w:r w:rsidR="009C55C9" w:rsidRPr="1F6F3058">
                <w:rPr>
                  <w:rStyle w:val="Hyperlink"/>
                  <w:rFonts w:eastAsiaTheme="minorEastAsia"/>
                </w:rPr>
                <w:t xml:space="preserve"> acid 70mg tablets</w:t>
              </w:r>
            </w:hyperlink>
          </w:p>
        </w:tc>
      </w:tr>
      <w:tr w:rsidR="009C55C9" w:rsidRPr="0082779F" w14:paraId="69E7C6EA"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387C2" w14:textId="77777777" w:rsidR="009C55C9" w:rsidRPr="0082779F" w:rsidRDefault="009C55C9" w:rsidP="00BF374D">
            <w:pPr>
              <w:jc w:val="both"/>
              <w:rPr>
                <w:color w:val="000000" w:themeColor="text1"/>
              </w:rPr>
            </w:pPr>
            <w:r w:rsidRPr="7B04DED9">
              <w:rPr>
                <w:color w:val="000000" w:themeColor="text1"/>
              </w:rPr>
              <w:t>11/07/2022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BFCA2" w14:textId="77777777" w:rsidR="009C55C9" w:rsidRPr="0082779F" w:rsidRDefault="00000000" w:rsidP="00BF374D">
            <w:pPr>
              <w:jc w:val="both"/>
              <w:rPr>
                <w:rFonts w:eastAsiaTheme="minorEastAsia"/>
                <w:color w:val="000000" w:themeColor="text1"/>
              </w:rPr>
            </w:pPr>
            <w:hyperlink r:id="rId107">
              <w:proofErr w:type="spellStart"/>
              <w:r w:rsidR="009C55C9" w:rsidRPr="1F6F3058">
                <w:rPr>
                  <w:rStyle w:val="Hyperlink"/>
                  <w:rFonts w:eastAsiaTheme="minorEastAsia"/>
                </w:rPr>
                <w:t>Suprefact</w:t>
              </w:r>
              <w:proofErr w:type="spellEnd"/>
              <w:r w:rsidR="009C55C9" w:rsidRPr="1F6F3058">
                <w:rPr>
                  <w:rStyle w:val="Hyperlink"/>
                  <w:rFonts w:eastAsiaTheme="minorEastAsia"/>
                </w:rPr>
                <w:t xml:space="preserve"> and </w:t>
              </w:r>
              <w:proofErr w:type="spellStart"/>
              <w:r w:rsidR="009C55C9" w:rsidRPr="1F6F3058">
                <w:rPr>
                  <w:rStyle w:val="Hyperlink"/>
                  <w:rFonts w:eastAsiaTheme="minorEastAsia"/>
                </w:rPr>
                <w:t>Suprecur</w:t>
              </w:r>
              <w:proofErr w:type="spellEnd"/>
            </w:hyperlink>
          </w:p>
        </w:tc>
      </w:tr>
      <w:tr w:rsidR="009C55C9" w:rsidRPr="0082779F" w14:paraId="0AD68A1B" w14:textId="77777777" w:rsidTr="00BF374D">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6E6B5" w14:textId="77777777" w:rsidR="009C55C9" w:rsidRPr="0082779F" w:rsidRDefault="009C55C9" w:rsidP="00BF374D">
            <w:pPr>
              <w:jc w:val="both"/>
              <w:rPr>
                <w:color w:val="000000" w:themeColor="text1"/>
              </w:rPr>
            </w:pPr>
            <w:r w:rsidRPr="7B04DED9">
              <w:rPr>
                <w:color w:val="000000" w:themeColor="text1"/>
              </w:rPr>
              <w:t>07/07/2022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D9695" w14:textId="77777777" w:rsidR="009C55C9" w:rsidRPr="0082779F" w:rsidRDefault="00000000" w:rsidP="00BF374D">
            <w:pPr>
              <w:rPr>
                <w:rFonts w:eastAsiaTheme="minorEastAsia"/>
                <w:color w:val="000000" w:themeColor="text1"/>
                <w:lang w:val="nl-NL"/>
              </w:rPr>
            </w:pPr>
            <w:hyperlink r:id="rId108">
              <w:r w:rsidR="009C55C9" w:rsidRPr="1F6F3058">
                <w:rPr>
                  <w:rStyle w:val="Hyperlink"/>
                  <w:rFonts w:eastAsiaTheme="minorEastAsia"/>
                  <w:lang w:val="nl-NL"/>
                </w:rPr>
                <w:t>Promethazine hydrochloride 25mg tablets</w:t>
              </w:r>
            </w:hyperlink>
          </w:p>
        </w:tc>
      </w:tr>
      <w:tr w:rsidR="009C55C9" w:rsidRPr="0082779F" w14:paraId="4D62BBCB" w14:textId="77777777" w:rsidTr="00BF374D">
        <w:trPr>
          <w:trHeight w:val="300"/>
          <w:tblHeader/>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CD538" w14:textId="77777777" w:rsidR="009C55C9" w:rsidRPr="0082779F" w:rsidRDefault="009C55C9" w:rsidP="00BF374D">
            <w:pPr>
              <w:jc w:val="both"/>
              <w:rPr>
                <w:color w:val="000000" w:themeColor="text1"/>
              </w:rPr>
            </w:pPr>
            <w:r w:rsidRPr="7B04DED9">
              <w:rPr>
                <w:color w:val="000000" w:themeColor="text1"/>
              </w:rPr>
              <w:t>30/06/2022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CB403" w14:textId="77777777" w:rsidR="009C55C9" w:rsidRPr="0082779F" w:rsidRDefault="00000000" w:rsidP="00BF374D">
            <w:pPr>
              <w:jc w:val="both"/>
              <w:rPr>
                <w:rFonts w:eastAsiaTheme="minorEastAsia"/>
                <w:color w:val="000000" w:themeColor="text1"/>
              </w:rPr>
            </w:pPr>
            <w:hyperlink r:id="rId109">
              <w:proofErr w:type="spellStart"/>
              <w:r w:rsidR="009C55C9" w:rsidRPr="1F6F3058">
                <w:rPr>
                  <w:rStyle w:val="Hyperlink"/>
                  <w:rFonts w:eastAsiaTheme="minorEastAsia"/>
                  <w:color w:val="000000" w:themeColor="text1"/>
                </w:rPr>
                <w:t>Eletriptan</w:t>
              </w:r>
              <w:proofErr w:type="spellEnd"/>
              <w:r w:rsidR="009C55C9" w:rsidRPr="1F6F3058">
                <w:rPr>
                  <w:rStyle w:val="Hyperlink"/>
                  <w:rFonts w:eastAsiaTheme="minorEastAsia"/>
                  <w:color w:val="000000" w:themeColor="text1"/>
                </w:rPr>
                <w:t xml:space="preserve"> (</w:t>
              </w:r>
              <w:proofErr w:type="spellStart"/>
              <w:r w:rsidR="009C55C9" w:rsidRPr="1F6F3058">
                <w:rPr>
                  <w:rStyle w:val="Hyperlink"/>
                  <w:rFonts w:eastAsiaTheme="minorEastAsia"/>
                  <w:color w:val="000000" w:themeColor="text1"/>
                </w:rPr>
                <w:t>Relpax</w:t>
              </w:r>
              <w:proofErr w:type="spellEnd"/>
              <w:r w:rsidR="009C55C9" w:rsidRPr="1F6F3058">
                <w:rPr>
                  <w:rStyle w:val="Hyperlink"/>
                  <w:rFonts w:eastAsiaTheme="minorEastAsia"/>
                  <w:color w:val="000000" w:themeColor="text1"/>
                </w:rPr>
                <w:t>® ) 20mg tablets</w:t>
              </w:r>
            </w:hyperlink>
          </w:p>
        </w:tc>
      </w:tr>
    </w:tbl>
    <w:p w14:paraId="5FCB3961" w14:textId="77777777" w:rsidR="009C55C9" w:rsidRPr="00B81641" w:rsidRDefault="009C55C9" w:rsidP="009C55C9">
      <w:pPr>
        <w:pStyle w:val="NoSpacing"/>
        <w:jc w:val="both"/>
        <w:rPr>
          <w:rFonts w:ascii="Calibri Light" w:eastAsia="Calibri Light" w:hAnsi="Calibri Light" w:cs="Calibri Light"/>
          <w:b/>
          <w:color w:val="44546A" w:themeColor="text2"/>
          <w:lang w:val="nl-NL"/>
        </w:rPr>
      </w:pPr>
    </w:p>
    <w:p w14:paraId="126527E4" w14:textId="77777777" w:rsidR="009C55C9" w:rsidRPr="00B81641" w:rsidRDefault="009C55C9" w:rsidP="009C55C9">
      <w:pPr>
        <w:pStyle w:val="NoSpacing"/>
        <w:jc w:val="both"/>
        <w:rPr>
          <w:rFonts w:ascii="Calibri Light" w:eastAsia="Calibri Light" w:hAnsi="Calibri Light" w:cs="Calibri Light"/>
          <w:b/>
          <w:bCs/>
          <w:color w:val="44546A" w:themeColor="text2"/>
          <w:lang w:val="nl-NL"/>
        </w:rPr>
      </w:pPr>
    </w:p>
    <w:p w14:paraId="4DB80DA6" w14:textId="77777777" w:rsidR="009C55C9" w:rsidRDefault="009C55C9" w:rsidP="009C55C9">
      <w:pPr>
        <w:pStyle w:val="Heading1"/>
        <w:spacing w:before="0"/>
        <w:rPr>
          <w:rFonts w:ascii="Calibri Light" w:hAnsi="Calibri Light" w:cs="Calibri Light"/>
          <w:b/>
          <w:bCs/>
        </w:rPr>
      </w:pPr>
      <w:bookmarkStart w:id="6" w:name="_DST_Webpage_Views"/>
      <w:bookmarkEnd w:id="6"/>
      <w:r w:rsidRPr="793EF85A">
        <w:rPr>
          <w:rFonts w:ascii="Calibri Light" w:hAnsi="Calibri Light" w:cs="Calibri Light"/>
        </w:rPr>
        <w:t xml:space="preserve">DST webpage </w:t>
      </w:r>
      <w:r>
        <w:rPr>
          <w:rFonts w:ascii="Calibri Light" w:hAnsi="Calibri Light" w:cs="Calibri Light"/>
        </w:rPr>
        <w:t>v</w:t>
      </w:r>
      <w:r w:rsidRPr="793EF85A">
        <w:rPr>
          <w:rFonts w:ascii="Calibri Light" w:hAnsi="Calibri Light" w:cs="Calibri Light"/>
        </w:rPr>
        <w:t>iews</w:t>
      </w:r>
    </w:p>
    <w:p w14:paraId="28F07F82" w14:textId="77777777" w:rsidR="009C55C9" w:rsidRDefault="009C55C9" w:rsidP="009C55C9">
      <w:pPr>
        <w:pStyle w:val="NoSpacing"/>
        <w:jc w:val="both"/>
      </w:pPr>
    </w:p>
    <w:p w14:paraId="2D586EC7" w14:textId="77777777" w:rsidR="009C55C9" w:rsidRDefault="009C55C9" w:rsidP="009C55C9">
      <w:pPr>
        <w:pStyle w:val="NoSpacing"/>
        <w:jc w:val="both"/>
        <w:rPr>
          <w:color w:val="000000" w:themeColor="text1"/>
        </w:rPr>
      </w:pPr>
      <w:r w:rsidRPr="469BFCBA">
        <w:lastRenderedPageBreak/>
        <w:t>Below is a table of the top 10 DST webpage visits by users between February 2022 – August 2022, inclusive.</w:t>
      </w:r>
    </w:p>
    <w:p w14:paraId="349E85E3" w14:textId="77777777" w:rsidR="009C55C9" w:rsidRDefault="009C55C9" w:rsidP="009C55C9">
      <w:pPr>
        <w:pStyle w:val="NoSpacing"/>
        <w:jc w:val="both"/>
      </w:pPr>
    </w:p>
    <w:tbl>
      <w:tblPr>
        <w:tblW w:w="8714" w:type="dxa"/>
        <w:tblLook w:val="04A0" w:firstRow="1" w:lastRow="0" w:firstColumn="1" w:lastColumn="0" w:noHBand="0" w:noVBand="1"/>
      </w:tblPr>
      <w:tblGrid>
        <w:gridCol w:w="7395"/>
        <w:gridCol w:w="1319"/>
      </w:tblGrid>
      <w:tr w:rsidR="009C55C9" w:rsidRPr="00AD1168" w14:paraId="2A94D9D3" w14:textId="77777777" w:rsidTr="00BF374D">
        <w:trPr>
          <w:trHeight w:val="315"/>
          <w:tblHeader/>
        </w:trPr>
        <w:tc>
          <w:tcPr>
            <w:tcW w:w="7395"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408314C8" w14:textId="77777777" w:rsidR="009C55C9" w:rsidRPr="00AD1168" w:rsidRDefault="009C55C9" w:rsidP="00BF374D">
            <w:pPr>
              <w:jc w:val="both"/>
              <w:rPr>
                <w:rFonts w:eastAsiaTheme="minorEastAsia"/>
                <w:b/>
                <w:bCs/>
                <w:color w:val="FFFFFF"/>
                <w:lang w:eastAsia="en-GB"/>
              </w:rPr>
            </w:pPr>
            <w:r w:rsidRPr="469BFCBA">
              <w:rPr>
                <w:rFonts w:eastAsiaTheme="minorEastAsia"/>
                <w:b/>
                <w:bCs/>
                <w:color w:val="FFFFFF" w:themeColor="background1"/>
                <w:lang w:eastAsia="en-GB"/>
              </w:rPr>
              <w:t>Page</w:t>
            </w:r>
          </w:p>
        </w:tc>
        <w:tc>
          <w:tcPr>
            <w:tcW w:w="1319" w:type="dxa"/>
            <w:tcBorders>
              <w:top w:val="single" w:sz="4" w:space="0" w:color="auto"/>
              <w:left w:val="nil"/>
              <w:bottom w:val="single" w:sz="4" w:space="0" w:color="auto"/>
              <w:right w:val="single" w:sz="4" w:space="0" w:color="auto"/>
            </w:tcBorders>
            <w:shd w:val="clear" w:color="auto" w:fill="65922E"/>
            <w:noWrap/>
            <w:vAlign w:val="center"/>
            <w:hideMark/>
          </w:tcPr>
          <w:p w14:paraId="7FC102C9" w14:textId="77777777" w:rsidR="009C55C9" w:rsidRPr="00AD1168" w:rsidRDefault="009C55C9" w:rsidP="00BF374D">
            <w:pPr>
              <w:jc w:val="both"/>
              <w:rPr>
                <w:rFonts w:eastAsiaTheme="minorEastAsia"/>
                <w:b/>
                <w:bCs/>
                <w:color w:val="FFFFFF"/>
                <w:lang w:eastAsia="en-GB"/>
              </w:rPr>
            </w:pPr>
            <w:r w:rsidRPr="469BFCBA">
              <w:rPr>
                <w:rFonts w:eastAsiaTheme="minorEastAsia"/>
                <w:b/>
                <w:bCs/>
                <w:color w:val="FFFFFF" w:themeColor="background1"/>
                <w:lang w:eastAsia="en-GB"/>
              </w:rPr>
              <w:t xml:space="preserve">Page views </w:t>
            </w:r>
          </w:p>
        </w:tc>
      </w:tr>
      <w:tr w:rsidR="009C55C9" w:rsidRPr="00AD1168" w14:paraId="336DED3A" w14:textId="77777777" w:rsidTr="00BF374D">
        <w:trPr>
          <w:trHeight w:val="254"/>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2B75306C" w14:textId="77777777" w:rsidR="009C55C9" w:rsidRPr="00AD1168" w:rsidRDefault="00000000" w:rsidP="00BF374D">
            <w:pPr>
              <w:rPr>
                <w:rFonts w:eastAsiaTheme="minorEastAsia"/>
                <w:lang w:eastAsia="en-GB"/>
              </w:rPr>
            </w:pPr>
            <w:hyperlink r:id="rId110">
              <w:r w:rsidR="009C55C9" w:rsidRPr="0AE1B028">
                <w:rPr>
                  <w:rStyle w:val="Hyperlink"/>
                  <w:rFonts w:eastAsiaTheme="minorEastAsia"/>
                </w:rPr>
                <w:t>Price Concessions/Generic Shortages</w:t>
              </w:r>
            </w:hyperlink>
          </w:p>
        </w:tc>
        <w:tc>
          <w:tcPr>
            <w:tcW w:w="1319" w:type="dxa"/>
            <w:tcBorders>
              <w:top w:val="nil"/>
              <w:left w:val="nil"/>
              <w:bottom w:val="single" w:sz="4" w:space="0" w:color="auto"/>
              <w:right w:val="single" w:sz="4" w:space="0" w:color="auto"/>
            </w:tcBorders>
            <w:shd w:val="clear" w:color="auto" w:fill="auto"/>
            <w:noWrap/>
            <w:vAlign w:val="bottom"/>
            <w:hideMark/>
          </w:tcPr>
          <w:p w14:paraId="49CF5EA0" w14:textId="77777777" w:rsidR="009C55C9" w:rsidRPr="00AD1168" w:rsidRDefault="009C55C9" w:rsidP="00BF374D">
            <w:pPr>
              <w:jc w:val="center"/>
              <w:rPr>
                <w:color w:val="000000" w:themeColor="text1"/>
                <w:lang w:eastAsia="en-GB"/>
              </w:rPr>
            </w:pPr>
            <w:r w:rsidRPr="3028DA7E">
              <w:rPr>
                <w:color w:val="000000" w:themeColor="text1"/>
              </w:rPr>
              <w:t>241,</w:t>
            </w:r>
            <w:r w:rsidRPr="7AD7545E">
              <w:rPr>
                <w:color w:val="000000" w:themeColor="text1"/>
              </w:rPr>
              <w:t>697</w:t>
            </w:r>
          </w:p>
        </w:tc>
      </w:tr>
      <w:tr w:rsidR="009C55C9" w14:paraId="2C83D2F5" w14:textId="77777777" w:rsidTr="00BF374D">
        <w:trPr>
          <w:trHeight w:val="254"/>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1B32A064" w14:textId="77777777" w:rsidR="009C55C9" w:rsidRDefault="00000000" w:rsidP="00BF374D">
            <w:hyperlink r:id="rId111">
              <w:r w:rsidR="009C55C9" w:rsidRPr="19AFB6F7">
                <w:rPr>
                  <w:rStyle w:val="Hyperlink"/>
                </w:rPr>
                <w:t>Serious Shortage Protocols (SSPs)</w:t>
              </w:r>
            </w:hyperlink>
          </w:p>
        </w:tc>
        <w:tc>
          <w:tcPr>
            <w:tcW w:w="1319" w:type="dxa"/>
            <w:tcBorders>
              <w:top w:val="nil"/>
              <w:left w:val="nil"/>
              <w:bottom w:val="single" w:sz="4" w:space="0" w:color="auto"/>
              <w:right w:val="single" w:sz="4" w:space="0" w:color="auto"/>
            </w:tcBorders>
            <w:shd w:val="clear" w:color="auto" w:fill="auto"/>
            <w:noWrap/>
            <w:vAlign w:val="bottom"/>
            <w:hideMark/>
          </w:tcPr>
          <w:p w14:paraId="003FD966" w14:textId="77777777" w:rsidR="009C55C9" w:rsidRDefault="009C55C9" w:rsidP="00BF374D">
            <w:pPr>
              <w:jc w:val="center"/>
              <w:rPr>
                <w:color w:val="000000" w:themeColor="text1"/>
              </w:rPr>
            </w:pPr>
            <w:r>
              <w:rPr>
                <w:color w:val="000000" w:themeColor="text1"/>
              </w:rPr>
              <w:t>88,775</w:t>
            </w:r>
          </w:p>
        </w:tc>
      </w:tr>
      <w:tr w:rsidR="009C55C9" w:rsidRPr="00AD1168" w14:paraId="045C6E48" w14:textId="77777777" w:rsidTr="00BF374D">
        <w:trPr>
          <w:trHeight w:val="300"/>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5840BD9F" w14:textId="77777777" w:rsidR="009C55C9" w:rsidRPr="00AD1168" w:rsidRDefault="00000000" w:rsidP="00BF374D">
            <w:pPr>
              <w:rPr>
                <w:rFonts w:eastAsiaTheme="minorEastAsia"/>
                <w:lang w:eastAsia="en-GB"/>
              </w:rPr>
            </w:pPr>
            <w:hyperlink r:id="rId112">
              <w:r w:rsidR="009C55C9" w:rsidRPr="0AE1B028">
                <w:rPr>
                  <w:rStyle w:val="Hyperlink"/>
                  <w:rFonts w:eastAsiaTheme="minorEastAsia"/>
                </w:rPr>
                <w:t>Special Container Database</w:t>
              </w:r>
            </w:hyperlink>
          </w:p>
        </w:tc>
        <w:tc>
          <w:tcPr>
            <w:tcW w:w="1319" w:type="dxa"/>
            <w:tcBorders>
              <w:top w:val="nil"/>
              <w:left w:val="nil"/>
              <w:bottom w:val="single" w:sz="4" w:space="0" w:color="auto"/>
              <w:right w:val="single" w:sz="4" w:space="0" w:color="auto"/>
            </w:tcBorders>
            <w:shd w:val="clear" w:color="auto" w:fill="auto"/>
            <w:noWrap/>
            <w:vAlign w:val="bottom"/>
            <w:hideMark/>
          </w:tcPr>
          <w:p w14:paraId="46B762F7" w14:textId="77777777" w:rsidR="009C55C9" w:rsidRPr="00AD1168" w:rsidRDefault="009C55C9" w:rsidP="00BF374D">
            <w:pPr>
              <w:jc w:val="center"/>
              <w:rPr>
                <w:color w:val="000000"/>
                <w:lang w:eastAsia="en-GB"/>
              </w:rPr>
            </w:pPr>
            <w:r>
              <w:rPr>
                <w:color w:val="000000" w:themeColor="text1"/>
              </w:rPr>
              <w:t>50</w:t>
            </w:r>
            <w:r w:rsidRPr="009C2735">
              <w:rPr>
                <w:color w:val="000000" w:themeColor="text1"/>
              </w:rPr>
              <w:t>,</w:t>
            </w:r>
            <w:r>
              <w:rPr>
                <w:color w:val="000000" w:themeColor="text1"/>
              </w:rPr>
              <w:t>145</w:t>
            </w:r>
          </w:p>
        </w:tc>
      </w:tr>
      <w:tr w:rsidR="009C55C9" w:rsidRPr="00AD1168" w14:paraId="75C4C84E" w14:textId="77777777" w:rsidTr="00BF374D">
        <w:trPr>
          <w:trHeight w:val="300"/>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68FF7DBF" w14:textId="77777777" w:rsidR="009C55C9" w:rsidRPr="00AD1168" w:rsidRDefault="00000000" w:rsidP="00BF374D">
            <w:pPr>
              <w:rPr>
                <w:rFonts w:eastAsiaTheme="minorEastAsia"/>
                <w:lang w:eastAsia="en-GB"/>
              </w:rPr>
            </w:pPr>
            <w:hyperlink r:id="rId113">
              <w:r w:rsidR="009C55C9" w:rsidRPr="0AE1B028">
                <w:rPr>
                  <w:rStyle w:val="Hyperlink"/>
                  <w:rFonts w:eastAsiaTheme="minorEastAsia"/>
                </w:rPr>
                <w:t>Controlled Drug Prescription Forms and Validity</w:t>
              </w:r>
            </w:hyperlink>
          </w:p>
        </w:tc>
        <w:tc>
          <w:tcPr>
            <w:tcW w:w="1319" w:type="dxa"/>
            <w:tcBorders>
              <w:top w:val="nil"/>
              <w:left w:val="nil"/>
              <w:bottom w:val="single" w:sz="4" w:space="0" w:color="auto"/>
              <w:right w:val="single" w:sz="4" w:space="0" w:color="auto"/>
            </w:tcBorders>
            <w:shd w:val="clear" w:color="auto" w:fill="auto"/>
            <w:noWrap/>
            <w:vAlign w:val="bottom"/>
            <w:hideMark/>
          </w:tcPr>
          <w:p w14:paraId="2C87EE11" w14:textId="77777777" w:rsidR="009C55C9" w:rsidRPr="00AD1168" w:rsidRDefault="009C55C9" w:rsidP="00BF374D">
            <w:pPr>
              <w:jc w:val="center"/>
              <w:rPr>
                <w:color w:val="000000"/>
                <w:lang w:eastAsia="en-GB"/>
              </w:rPr>
            </w:pPr>
            <w:r>
              <w:rPr>
                <w:color w:val="000000" w:themeColor="text1"/>
              </w:rPr>
              <w:t>44,731</w:t>
            </w:r>
          </w:p>
        </w:tc>
      </w:tr>
      <w:tr w:rsidR="009C55C9" w:rsidRPr="00AD1168" w14:paraId="12D12239" w14:textId="77777777" w:rsidTr="00BF374D">
        <w:trPr>
          <w:trHeight w:val="300"/>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19455924" w14:textId="77777777" w:rsidR="009C55C9" w:rsidRPr="00AD1168" w:rsidRDefault="00000000" w:rsidP="00BF374D">
            <w:pPr>
              <w:rPr>
                <w:rFonts w:eastAsiaTheme="minorEastAsia"/>
                <w:lang w:eastAsia="en-GB"/>
              </w:rPr>
            </w:pPr>
            <w:hyperlink r:id="rId114">
              <w:r w:rsidR="009C55C9" w:rsidRPr="0AE1B028">
                <w:rPr>
                  <w:rStyle w:val="Hyperlink"/>
                  <w:rFonts w:eastAsiaTheme="minorEastAsia"/>
                </w:rPr>
                <w:t>Is this Prescription Form Valid?</w:t>
              </w:r>
            </w:hyperlink>
            <w:r w:rsidR="009C55C9" w:rsidRPr="0AE1B028">
              <w:rPr>
                <w:rStyle w:val="Hyperlink"/>
                <w:rFonts w:eastAsiaTheme="minorEastAsia"/>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147976D9" w14:textId="77777777" w:rsidR="009C55C9" w:rsidRPr="00AD1168" w:rsidRDefault="009C55C9" w:rsidP="00BF374D">
            <w:pPr>
              <w:jc w:val="center"/>
              <w:rPr>
                <w:color w:val="000000"/>
                <w:lang w:eastAsia="en-GB"/>
              </w:rPr>
            </w:pPr>
            <w:r>
              <w:rPr>
                <w:color w:val="000000" w:themeColor="text1"/>
              </w:rPr>
              <w:t>28</w:t>
            </w:r>
            <w:r w:rsidRPr="00BB5029">
              <w:rPr>
                <w:color w:val="000000" w:themeColor="text1"/>
              </w:rPr>
              <w:t>,</w:t>
            </w:r>
            <w:r>
              <w:rPr>
                <w:color w:val="000000" w:themeColor="text1"/>
              </w:rPr>
              <w:t>582</w:t>
            </w:r>
          </w:p>
        </w:tc>
      </w:tr>
      <w:tr w:rsidR="009C55C9" w:rsidRPr="00AD1168" w14:paraId="31333362" w14:textId="77777777" w:rsidTr="00BF374D">
        <w:trPr>
          <w:trHeight w:val="300"/>
        </w:trPr>
        <w:tc>
          <w:tcPr>
            <w:tcW w:w="7395" w:type="dxa"/>
            <w:tcBorders>
              <w:top w:val="nil"/>
              <w:left w:val="single" w:sz="4" w:space="0" w:color="auto"/>
              <w:bottom w:val="single" w:sz="4" w:space="0" w:color="auto"/>
              <w:right w:val="single" w:sz="4" w:space="0" w:color="auto"/>
            </w:tcBorders>
            <w:shd w:val="clear" w:color="auto" w:fill="auto"/>
            <w:noWrap/>
            <w:vAlign w:val="center"/>
          </w:tcPr>
          <w:p w14:paraId="7C1AB1CE" w14:textId="77777777" w:rsidR="009C55C9" w:rsidRDefault="00000000" w:rsidP="00BF374D">
            <w:hyperlink r:id="rId115">
              <w:r w:rsidR="009C55C9" w:rsidRPr="0AE1B028">
                <w:rPr>
                  <w:rStyle w:val="Hyperlink"/>
                  <w:rFonts w:eastAsiaTheme="minorEastAsia"/>
                </w:rPr>
                <w:t>Medicine Shortages</w:t>
              </w:r>
            </w:hyperlink>
          </w:p>
        </w:tc>
        <w:tc>
          <w:tcPr>
            <w:tcW w:w="1319" w:type="dxa"/>
            <w:tcBorders>
              <w:top w:val="nil"/>
              <w:left w:val="nil"/>
              <w:bottom w:val="single" w:sz="4" w:space="0" w:color="auto"/>
              <w:right w:val="single" w:sz="4" w:space="0" w:color="auto"/>
            </w:tcBorders>
            <w:shd w:val="clear" w:color="auto" w:fill="auto"/>
            <w:noWrap/>
            <w:vAlign w:val="bottom"/>
          </w:tcPr>
          <w:p w14:paraId="27242885" w14:textId="77777777" w:rsidR="009C55C9" w:rsidRPr="00BB5029" w:rsidRDefault="009C55C9" w:rsidP="00BF374D">
            <w:pPr>
              <w:jc w:val="center"/>
              <w:rPr>
                <w:color w:val="000000" w:themeColor="text1"/>
              </w:rPr>
            </w:pPr>
            <w:r>
              <w:rPr>
                <w:color w:val="000000" w:themeColor="text1"/>
              </w:rPr>
              <w:t>21</w:t>
            </w:r>
            <w:r w:rsidRPr="00566D75">
              <w:rPr>
                <w:color w:val="000000" w:themeColor="text1"/>
              </w:rPr>
              <w:t>,</w:t>
            </w:r>
            <w:r>
              <w:rPr>
                <w:color w:val="000000" w:themeColor="text1"/>
              </w:rPr>
              <w:t>88</w:t>
            </w:r>
            <w:r w:rsidRPr="00566D75">
              <w:rPr>
                <w:color w:val="000000" w:themeColor="text1"/>
              </w:rPr>
              <w:t>4</w:t>
            </w:r>
          </w:p>
        </w:tc>
      </w:tr>
      <w:tr w:rsidR="009C55C9" w:rsidRPr="00AD1168" w14:paraId="614CBE84" w14:textId="77777777" w:rsidTr="00BF374D">
        <w:trPr>
          <w:trHeight w:val="300"/>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144711DE" w14:textId="77777777" w:rsidR="009C55C9" w:rsidRPr="00AD1168" w:rsidRDefault="00000000" w:rsidP="00BF374D">
            <w:pPr>
              <w:rPr>
                <w:rFonts w:eastAsiaTheme="minorEastAsia"/>
                <w:lang w:eastAsia="en-GB"/>
              </w:rPr>
            </w:pPr>
            <w:hyperlink r:id="rId116">
              <w:r w:rsidR="009C55C9" w:rsidRPr="0AE1B028">
                <w:rPr>
                  <w:rStyle w:val="Hyperlink"/>
                  <w:rFonts w:eastAsiaTheme="minorEastAsia"/>
                </w:rPr>
                <w:t>Exemptions from the prescription charge</w:t>
              </w:r>
            </w:hyperlink>
          </w:p>
        </w:tc>
        <w:tc>
          <w:tcPr>
            <w:tcW w:w="1319" w:type="dxa"/>
            <w:tcBorders>
              <w:top w:val="nil"/>
              <w:left w:val="nil"/>
              <w:bottom w:val="single" w:sz="4" w:space="0" w:color="auto"/>
              <w:right w:val="single" w:sz="4" w:space="0" w:color="auto"/>
            </w:tcBorders>
            <w:shd w:val="clear" w:color="auto" w:fill="auto"/>
            <w:noWrap/>
            <w:vAlign w:val="bottom"/>
            <w:hideMark/>
          </w:tcPr>
          <w:p w14:paraId="05852E45" w14:textId="77777777" w:rsidR="009C55C9" w:rsidRPr="00AD1168" w:rsidRDefault="009C55C9" w:rsidP="00BF374D">
            <w:pPr>
              <w:jc w:val="center"/>
              <w:rPr>
                <w:color w:val="000000"/>
                <w:lang w:eastAsia="en-GB"/>
              </w:rPr>
            </w:pPr>
            <w:r w:rsidRPr="0069230C">
              <w:rPr>
                <w:color w:val="000000" w:themeColor="text1"/>
              </w:rPr>
              <w:t>1</w:t>
            </w:r>
            <w:r>
              <w:rPr>
                <w:color w:val="000000" w:themeColor="text1"/>
              </w:rPr>
              <w:t>8</w:t>
            </w:r>
            <w:r w:rsidRPr="0069230C">
              <w:rPr>
                <w:color w:val="000000" w:themeColor="text1"/>
              </w:rPr>
              <w:t>,</w:t>
            </w:r>
            <w:r>
              <w:rPr>
                <w:color w:val="000000" w:themeColor="text1"/>
              </w:rPr>
              <w:t>814</w:t>
            </w:r>
          </w:p>
        </w:tc>
      </w:tr>
      <w:tr w:rsidR="009C55C9" w:rsidRPr="00AD1168" w14:paraId="109E20D8" w14:textId="77777777" w:rsidTr="00BF374D">
        <w:trPr>
          <w:trHeight w:val="300"/>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5835C9A9" w14:textId="77777777" w:rsidR="009C55C9" w:rsidRPr="00AD1168" w:rsidRDefault="00000000" w:rsidP="00BF374D">
            <w:pPr>
              <w:rPr>
                <w:rFonts w:eastAsiaTheme="minorEastAsia"/>
                <w:lang w:eastAsia="en-GB"/>
              </w:rPr>
            </w:pPr>
            <w:hyperlink r:id="rId117">
              <w:r w:rsidR="009C55C9" w:rsidRPr="0AE1B028">
                <w:rPr>
                  <w:rStyle w:val="Hyperlink"/>
                  <w:rFonts w:eastAsiaTheme="minorEastAsia"/>
                </w:rPr>
                <w:t>Who Can Prescribe What?</w:t>
              </w:r>
            </w:hyperlink>
            <w:r w:rsidR="009C55C9" w:rsidRPr="0AE1B028">
              <w:rPr>
                <w:rFonts w:eastAsiaTheme="minorEastAsia"/>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22862DF7" w14:textId="77777777" w:rsidR="009C55C9" w:rsidRPr="00AD1168" w:rsidRDefault="009C55C9" w:rsidP="00BF374D">
            <w:pPr>
              <w:jc w:val="center"/>
              <w:rPr>
                <w:rFonts w:eastAsia="Times New Roman"/>
                <w:color w:val="000000"/>
              </w:rPr>
            </w:pPr>
            <w:r>
              <w:rPr>
                <w:color w:val="000000" w:themeColor="text1"/>
              </w:rPr>
              <w:t>17,329</w:t>
            </w:r>
          </w:p>
        </w:tc>
      </w:tr>
      <w:tr w:rsidR="009C55C9" w:rsidRPr="00AD1168" w14:paraId="59C981A6" w14:textId="77777777" w:rsidTr="00BF374D">
        <w:trPr>
          <w:trHeight w:val="300"/>
        </w:trPr>
        <w:tc>
          <w:tcPr>
            <w:tcW w:w="7395" w:type="dxa"/>
            <w:tcBorders>
              <w:top w:val="nil"/>
              <w:left w:val="single" w:sz="4" w:space="0" w:color="auto"/>
              <w:bottom w:val="single" w:sz="4" w:space="0" w:color="auto"/>
              <w:right w:val="single" w:sz="4" w:space="0" w:color="auto"/>
            </w:tcBorders>
            <w:shd w:val="clear" w:color="auto" w:fill="auto"/>
            <w:noWrap/>
            <w:vAlign w:val="center"/>
          </w:tcPr>
          <w:p w14:paraId="1D5EB638" w14:textId="77777777" w:rsidR="009C55C9" w:rsidRDefault="00000000" w:rsidP="00BF374D">
            <w:hyperlink r:id="rId118">
              <w:r w:rsidR="009C55C9" w:rsidRPr="19AFB6F7">
                <w:rPr>
                  <w:rStyle w:val="Hyperlink"/>
                </w:rPr>
                <w:t>What does the patient pay?</w:t>
              </w:r>
            </w:hyperlink>
          </w:p>
        </w:tc>
        <w:tc>
          <w:tcPr>
            <w:tcW w:w="1319" w:type="dxa"/>
            <w:tcBorders>
              <w:top w:val="nil"/>
              <w:left w:val="nil"/>
              <w:bottom w:val="single" w:sz="4" w:space="0" w:color="auto"/>
              <w:right w:val="single" w:sz="4" w:space="0" w:color="auto"/>
            </w:tcBorders>
            <w:shd w:val="clear" w:color="auto" w:fill="auto"/>
            <w:noWrap/>
            <w:vAlign w:val="bottom"/>
          </w:tcPr>
          <w:p w14:paraId="55813B37" w14:textId="77777777" w:rsidR="009C55C9" w:rsidRPr="1EA93732" w:rsidDel="005B7C90" w:rsidRDefault="009C55C9" w:rsidP="00BF374D">
            <w:pPr>
              <w:jc w:val="center"/>
              <w:rPr>
                <w:color w:val="000000" w:themeColor="text1"/>
              </w:rPr>
            </w:pPr>
            <w:r>
              <w:rPr>
                <w:color w:val="000000" w:themeColor="text1"/>
              </w:rPr>
              <w:t>13</w:t>
            </w:r>
            <w:r w:rsidRPr="00481781">
              <w:rPr>
                <w:color w:val="000000" w:themeColor="text1"/>
              </w:rPr>
              <w:t>,27</w:t>
            </w:r>
            <w:r>
              <w:rPr>
                <w:color w:val="000000" w:themeColor="text1"/>
              </w:rPr>
              <w:t>4</w:t>
            </w:r>
          </w:p>
        </w:tc>
      </w:tr>
      <w:tr w:rsidR="009C55C9" w:rsidRPr="00AD1168" w:rsidDel="00566D75" w14:paraId="1BF54FB7" w14:textId="77777777" w:rsidTr="00BF374D">
        <w:trPr>
          <w:trHeight w:val="300"/>
        </w:trPr>
        <w:tc>
          <w:tcPr>
            <w:tcW w:w="7395" w:type="dxa"/>
            <w:tcBorders>
              <w:top w:val="nil"/>
              <w:left w:val="single" w:sz="4" w:space="0" w:color="auto"/>
              <w:bottom w:val="single" w:sz="4" w:space="0" w:color="auto"/>
              <w:right w:val="single" w:sz="4" w:space="0" w:color="auto"/>
            </w:tcBorders>
            <w:shd w:val="clear" w:color="auto" w:fill="auto"/>
            <w:noWrap/>
            <w:vAlign w:val="center"/>
          </w:tcPr>
          <w:p w14:paraId="227FA0E3" w14:textId="77777777" w:rsidR="009C55C9" w:rsidDel="00F334A5" w:rsidRDefault="00000000" w:rsidP="00BF374D">
            <w:hyperlink r:id="rId119">
              <w:r w:rsidR="009C55C9" w:rsidRPr="19AFB6F7">
                <w:rPr>
                  <w:rStyle w:val="Hyperlink"/>
                </w:rPr>
                <w:t>Instalment dispensing (FP10 and FP10MDA including liquid oral methadone)</w:t>
              </w:r>
            </w:hyperlink>
          </w:p>
        </w:tc>
        <w:tc>
          <w:tcPr>
            <w:tcW w:w="1319" w:type="dxa"/>
            <w:tcBorders>
              <w:top w:val="nil"/>
              <w:left w:val="nil"/>
              <w:bottom w:val="single" w:sz="4" w:space="0" w:color="auto"/>
              <w:right w:val="single" w:sz="4" w:space="0" w:color="auto"/>
            </w:tcBorders>
            <w:shd w:val="clear" w:color="auto" w:fill="auto"/>
            <w:noWrap/>
            <w:vAlign w:val="bottom"/>
          </w:tcPr>
          <w:p w14:paraId="154BE74E" w14:textId="77777777" w:rsidR="009C55C9" w:rsidRPr="1EA93732" w:rsidDel="00566D75" w:rsidRDefault="009C55C9" w:rsidP="00BF374D">
            <w:pPr>
              <w:jc w:val="center"/>
              <w:rPr>
                <w:color w:val="000000" w:themeColor="text1"/>
              </w:rPr>
            </w:pPr>
            <w:r>
              <w:rPr>
                <w:color w:val="000000" w:themeColor="text1"/>
              </w:rPr>
              <w:t>9,170</w:t>
            </w:r>
          </w:p>
        </w:tc>
      </w:tr>
    </w:tbl>
    <w:p w14:paraId="2CFFD1AF" w14:textId="77777777" w:rsidR="009C55C9" w:rsidRPr="00907E6A" w:rsidRDefault="009C55C9" w:rsidP="009C55C9">
      <w:pPr>
        <w:jc w:val="both"/>
        <w:rPr>
          <w:b/>
        </w:rPr>
      </w:pPr>
    </w:p>
    <w:p w14:paraId="7978FB7F" w14:textId="777A4A26" w:rsidR="00AF46FC" w:rsidRDefault="00AF46FC">
      <w:pPr>
        <w:rPr>
          <w:rStyle w:val="eop"/>
          <w:rFonts w:ascii="Times New Roman" w:eastAsia="Times New Roman" w:hAnsi="Times New Roman" w:cs="Times New Roman"/>
          <w:lang w:eastAsia="en-GB"/>
        </w:rPr>
      </w:pPr>
      <w:r>
        <w:rPr>
          <w:rStyle w:val="eop"/>
        </w:rPr>
        <w:br w:type="page"/>
      </w:r>
    </w:p>
    <w:p w14:paraId="266A5F75" w14:textId="77777777" w:rsidR="00AF46FC" w:rsidRDefault="00AF46FC" w:rsidP="00AF46F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AF46FC" w:rsidRPr="00907E6A" w14:paraId="46681AF0" w14:textId="77777777" w:rsidTr="00BF374D">
        <w:trPr>
          <w:trHeight w:val="805"/>
          <w:jc w:val="center"/>
        </w:trPr>
        <w:tc>
          <w:tcPr>
            <w:tcW w:w="4508" w:type="dxa"/>
          </w:tcPr>
          <w:p w14:paraId="59DCCDAA" w14:textId="77777777" w:rsidR="00AF46FC" w:rsidRPr="00907E6A" w:rsidRDefault="00AF46FC" w:rsidP="00BF374D">
            <w:pPr>
              <w:pStyle w:val="TableParagraph"/>
              <w:spacing w:before="11"/>
              <w:jc w:val="both"/>
              <w:rPr>
                <w:b/>
              </w:rPr>
            </w:pPr>
          </w:p>
          <w:p w14:paraId="06CADB83" w14:textId="77777777" w:rsidR="00AF46FC" w:rsidRPr="00907E6A" w:rsidRDefault="00AF46FC" w:rsidP="00BF374D">
            <w:pPr>
              <w:pStyle w:val="TableParagraph"/>
              <w:ind w:left="107"/>
              <w:jc w:val="both"/>
            </w:pPr>
            <w:r w:rsidRPr="00907E6A">
              <w:t>Subject</w:t>
            </w:r>
          </w:p>
        </w:tc>
        <w:tc>
          <w:tcPr>
            <w:tcW w:w="4510" w:type="dxa"/>
          </w:tcPr>
          <w:p w14:paraId="2F53E185" w14:textId="77777777" w:rsidR="00AF46FC" w:rsidRPr="00907E6A" w:rsidRDefault="00AF46FC" w:rsidP="00BF374D">
            <w:pPr>
              <w:pStyle w:val="TableParagraph"/>
              <w:spacing w:before="11"/>
              <w:jc w:val="both"/>
              <w:rPr>
                <w:b/>
              </w:rPr>
            </w:pPr>
          </w:p>
          <w:p w14:paraId="3FFF763F" w14:textId="77777777" w:rsidR="00AF46FC" w:rsidRPr="00907E6A" w:rsidRDefault="00AF46FC" w:rsidP="00BF374D">
            <w:pPr>
              <w:pStyle w:val="TableParagraph"/>
              <w:ind w:left="107"/>
              <w:jc w:val="both"/>
            </w:pPr>
            <w:r w:rsidRPr="00907E6A">
              <w:t>Statistics</w:t>
            </w:r>
          </w:p>
        </w:tc>
      </w:tr>
      <w:tr w:rsidR="00AF46FC" w:rsidRPr="00907E6A" w14:paraId="689E2A6A" w14:textId="77777777" w:rsidTr="00BF374D">
        <w:trPr>
          <w:trHeight w:val="806"/>
          <w:jc w:val="center"/>
        </w:trPr>
        <w:tc>
          <w:tcPr>
            <w:tcW w:w="4508" w:type="dxa"/>
          </w:tcPr>
          <w:p w14:paraId="22DE510A" w14:textId="77777777" w:rsidR="00AF46FC" w:rsidRPr="00907E6A" w:rsidRDefault="00AF46FC" w:rsidP="00BF374D">
            <w:pPr>
              <w:pStyle w:val="TableParagraph"/>
              <w:spacing w:before="11"/>
              <w:jc w:val="both"/>
              <w:rPr>
                <w:b/>
              </w:rPr>
            </w:pPr>
          </w:p>
          <w:p w14:paraId="45D7BD08" w14:textId="77777777" w:rsidR="00AF46FC" w:rsidRPr="00907E6A" w:rsidRDefault="00AF46FC" w:rsidP="00BF374D">
            <w:pPr>
              <w:pStyle w:val="TableParagraph"/>
              <w:ind w:left="107"/>
              <w:jc w:val="both"/>
            </w:pPr>
            <w:r w:rsidRPr="00907E6A">
              <w:t>Date of meeting</w:t>
            </w:r>
          </w:p>
        </w:tc>
        <w:tc>
          <w:tcPr>
            <w:tcW w:w="4510" w:type="dxa"/>
          </w:tcPr>
          <w:p w14:paraId="007BB1EE" w14:textId="77777777" w:rsidR="00AF46FC" w:rsidRPr="00907E6A" w:rsidRDefault="00AF46FC" w:rsidP="00BF374D">
            <w:pPr>
              <w:pStyle w:val="TableParagraph"/>
              <w:spacing w:before="11"/>
              <w:jc w:val="both"/>
              <w:rPr>
                <w:b/>
              </w:rPr>
            </w:pPr>
          </w:p>
          <w:p w14:paraId="246598A8" w14:textId="77777777" w:rsidR="00AF46FC" w:rsidRPr="00907E6A" w:rsidRDefault="00AF46FC" w:rsidP="00BF374D">
            <w:pPr>
              <w:pStyle w:val="TableParagraph"/>
              <w:ind w:left="107"/>
              <w:jc w:val="both"/>
            </w:pPr>
            <w:r>
              <w:t>September 2022</w:t>
            </w:r>
          </w:p>
        </w:tc>
      </w:tr>
      <w:tr w:rsidR="00AF46FC" w:rsidRPr="00907E6A" w14:paraId="4EA6BF1C" w14:textId="77777777" w:rsidTr="00BF374D">
        <w:trPr>
          <w:trHeight w:val="805"/>
          <w:jc w:val="center"/>
        </w:trPr>
        <w:tc>
          <w:tcPr>
            <w:tcW w:w="4508" w:type="dxa"/>
          </w:tcPr>
          <w:p w14:paraId="16CE117E" w14:textId="77777777" w:rsidR="00AF46FC" w:rsidRPr="00907E6A" w:rsidRDefault="00AF46FC" w:rsidP="00BF374D">
            <w:pPr>
              <w:pStyle w:val="TableParagraph"/>
              <w:spacing w:before="11"/>
              <w:jc w:val="both"/>
              <w:rPr>
                <w:b/>
              </w:rPr>
            </w:pPr>
          </w:p>
          <w:p w14:paraId="7A81DCFF" w14:textId="77777777" w:rsidR="00AF46FC" w:rsidRPr="00907E6A" w:rsidRDefault="00AF46FC" w:rsidP="00BF374D">
            <w:pPr>
              <w:pStyle w:val="TableParagraph"/>
              <w:ind w:left="107"/>
              <w:jc w:val="both"/>
            </w:pPr>
            <w:r w:rsidRPr="00907E6A">
              <w:t>Committee/Subcommittee</w:t>
            </w:r>
          </w:p>
        </w:tc>
        <w:tc>
          <w:tcPr>
            <w:tcW w:w="4510" w:type="dxa"/>
          </w:tcPr>
          <w:p w14:paraId="630814C0" w14:textId="77777777" w:rsidR="00AF46FC" w:rsidRPr="00907E6A" w:rsidRDefault="00AF46FC" w:rsidP="00BF374D">
            <w:pPr>
              <w:pStyle w:val="TableParagraph"/>
              <w:spacing w:before="11"/>
              <w:jc w:val="both"/>
              <w:rPr>
                <w:b/>
              </w:rPr>
            </w:pPr>
          </w:p>
          <w:p w14:paraId="4810FC2A" w14:textId="77777777" w:rsidR="00AF46FC" w:rsidRPr="00907E6A" w:rsidRDefault="00AF46FC" w:rsidP="00BF374D">
            <w:pPr>
              <w:pStyle w:val="TableParagraph"/>
              <w:ind w:left="107"/>
              <w:jc w:val="both"/>
            </w:pPr>
            <w:proofErr w:type="spellStart"/>
            <w:r w:rsidRPr="00907E6A">
              <w:t>FunCon</w:t>
            </w:r>
            <w:proofErr w:type="spellEnd"/>
          </w:p>
        </w:tc>
      </w:tr>
      <w:tr w:rsidR="00AF46FC" w:rsidRPr="00907E6A" w14:paraId="326D24A8" w14:textId="77777777" w:rsidTr="00BF374D">
        <w:trPr>
          <w:trHeight w:val="806"/>
          <w:jc w:val="center"/>
        </w:trPr>
        <w:tc>
          <w:tcPr>
            <w:tcW w:w="4508" w:type="dxa"/>
          </w:tcPr>
          <w:p w14:paraId="6DFE6591" w14:textId="77777777" w:rsidR="00AF46FC" w:rsidRPr="00907E6A" w:rsidRDefault="00AF46FC" w:rsidP="00BF374D">
            <w:pPr>
              <w:pStyle w:val="TableParagraph"/>
              <w:spacing w:before="12"/>
              <w:jc w:val="both"/>
              <w:rPr>
                <w:b/>
              </w:rPr>
            </w:pPr>
          </w:p>
          <w:p w14:paraId="538B680E" w14:textId="77777777" w:rsidR="00AF46FC" w:rsidRPr="00907E6A" w:rsidRDefault="00AF46FC" w:rsidP="00BF374D">
            <w:pPr>
              <w:pStyle w:val="TableParagraph"/>
              <w:ind w:left="107"/>
              <w:jc w:val="both"/>
            </w:pPr>
            <w:r w:rsidRPr="00907E6A">
              <w:t>Status</w:t>
            </w:r>
          </w:p>
        </w:tc>
        <w:tc>
          <w:tcPr>
            <w:tcW w:w="4510" w:type="dxa"/>
          </w:tcPr>
          <w:p w14:paraId="2623CF02" w14:textId="77777777" w:rsidR="00AF46FC" w:rsidRPr="00907E6A" w:rsidRDefault="00AF46FC" w:rsidP="00BF374D">
            <w:pPr>
              <w:pStyle w:val="TableParagraph"/>
              <w:spacing w:before="12"/>
              <w:jc w:val="both"/>
              <w:rPr>
                <w:b/>
              </w:rPr>
            </w:pPr>
          </w:p>
          <w:p w14:paraId="46C9451C" w14:textId="77777777" w:rsidR="00AF46FC" w:rsidRPr="00907E6A" w:rsidRDefault="00AF46FC" w:rsidP="00BF374D">
            <w:pPr>
              <w:pStyle w:val="TableParagraph"/>
              <w:ind w:left="107"/>
              <w:jc w:val="both"/>
            </w:pPr>
            <w:r w:rsidRPr="00907E6A">
              <w:t>Not confidential</w:t>
            </w:r>
          </w:p>
        </w:tc>
      </w:tr>
      <w:tr w:rsidR="00AF46FC" w:rsidRPr="00907E6A" w14:paraId="0176AD51" w14:textId="77777777" w:rsidTr="00BF374D">
        <w:trPr>
          <w:trHeight w:val="805"/>
          <w:jc w:val="center"/>
        </w:trPr>
        <w:tc>
          <w:tcPr>
            <w:tcW w:w="4508" w:type="dxa"/>
          </w:tcPr>
          <w:p w14:paraId="20240093" w14:textId="77777777" w:rsidR="00AF46FC" w:rsidRPr="00907E6A" w:rsidRDefault="00AF46FC" w:rsidP="00BF374D">
            <w:pPr>
              <w:pStyle w:val="TableParagraph"/>
              <w:spacing w:before="11"/>
              <w:jc w:val="both"/>
              <w:rPr>
                <w:b/>
              </w:rPr>
            </w:pPr>
          </w:p>
          <w:p w14:paraId="2036BC14" w14:textId="77777777" w:rsidR="00AF46FC" w:rsidRPr="00907E6A" w:rsidRDefault="00AF46FC" w:rsidP="00BF374D">
            <w:pPr>
              <w:pStyle w:val="TableParagraph"/>
              <w:ind w:left="107"/>
              <w:jc w:val="both"/>
            </w:pPr>
            <w:r w:rsidRPr="00907E6A">
              <w:t>Overview</w:t>
            </w:r>
          </w:p>
        </w:tc>
        <w:tc>
          <w:tcPr>
            <w:tcW w:w="4510" w:type="dxa"/>
          </w:tcPr>
          <w:p w14:paraId="6EDA1957" w14:textId="77777777" w:rsidR="00AF46FC" w:rsidRPr="00907E6A" w:rsidRDefault="00AF46FC" w:rsidP="00BF374D">
            <w:pPr>
              <w:pStyle w:val="TableParagraph"/>
              <w:spacing w:before="11"/>
              <w:jc w:val="both"/>
              <w:rPr>
                <w:b/>
              </w:rPr>
            </w:pPr>
          </w:p>
          <w:p w14:paraId="400B02C9" w14:textId="77777777" w:rsidR="00AF46FC" w:rsidRPr="00907E6A" w:rsidRDefault="00AF46FC" w:rsidP="00BF374D">
            <w:pPr>
              <w:pStyle w:val="TableParagraph"/>
              <w:ind w:left="107"/>
              <w:jc w:val="both"/>
            </w:pPr>
            <w:r w:rsidRPr="00907E6A">
              <w:t>Latest statistics for information</w:t>
            </w:r>
          </w:p>
        </w:tc>
      </w:tr>
      <w:tr w:rsidR="00AF46FC" w:rsidRPr="00907E6A" w14:paraId="4BA9ECBE" w14:textId="77777777" w:rsidTr="00BF374D">
        <w:trPr>
          <w:trHeight w:val="806"/>
          <w:jc w:val="center"/>
        </w:trPr>
        <w:tc>
          <w:tcPr>
            <w:tcW w:w="4508" w:type="dxa"/>
          </w:tcPr>
          <w:p w14:paraId="40E3BD2A" w14:textId="77777777" w:rsidR="00AF46FC" w:rsidRPr="00907E6A" w:rsidRDefault="00AF46FC" w:rsidP="00BF374D">
            <w:pPr>
              <w:pStyle w:val="TableParagraph"/>
              <w:spacing w:before="11"/>
              <w:jc w:val="both"/>
              <w:rPr>
                <w:b/>
              </w:rPr>
            </w:pPr>
          </w:p>
          <w:p w14:paraId="7BDCCBB2" w14:textId="77777777" w:rsidR="00AF46FC" w:rsidRPr="00907E6A" w:rsidRDefault="00AF46FC" w:rsidP="00BF374D">
            <w:pPr>
              <w:pStyle w:val="TableParagraph"/>
              <w:ind w:left="107"/>
              <w:jc w:val="both"/>
            </w:pPr>
            <w:r w:rsidRPr="00907E6A">
              <w:t>Proposed action(s)</w:t>
            </w:r>
          </w:p>
        </w:tc>
        <w:tc>
          <w:tcPr>
            <w:tcW w:w="4510" w:type="dxa"/>
          </w:tcPr>
          <w:p w14:paraId="607F765B" w14:textId="77777777" w:rsidR="00AF46FC" w:rsidRPr="00907E6A" w:rsidRDefault="00AF46FC" w:rsidP="00BF374D">
            <w:pPr>
              <w:pStyle w:val="TableParagraph"/>
              <w:spacing w:before="11"/>
              <w:jc w:val="both"/>
              <w:rPr>
                <w:b/>
              </w:rPr>
            </w:pPr>
          </w:p>
          <w:p w14:paraId="14EC634B" w14:textId="77777777" w:rsidR="00AF46FC" w:rsidRPr="00907E6A" w:rsidRDefault="00AF46FC" w:rsidP="00BF374D">
            <w:pPr>
              <w:pStyle w:val="TableParagraph"/>
              <w:ind w:left="107"/>
              <w:jc w:val="both"/>
            </w:pPr>
            <w:r w:rsidRPr="00907E6A">
              <w:t>No action required</w:t>
            </w:r>
          </w:p>
        </w:tc>
      </w:tr>
      <w:tr w:rsidR="00AF46FC" w:rsidRPr="00907E6A" w14:paraId="1B54DA02" w14:textId="77777777" w:rsidTr="00BF374D">
        <w:trPr>
          <w:trHeight w:val="806"/>
          <w:jc w:val="center"/>
        </w:trPr>
        <w:tc>
          <w:tcPr>
            <w:tcW w:w="4508" w:type="dxa"/>
          </w:tcPr>
          <w:p w14:paraId="50EC0D37" w14:textId="77777777" w:rsidR="00AF46FC" w:rsidRPr="00907E6A" w:rsidRDefault="00AF46FC" w:rsidP="00BF374D">
            <w:pPr>
              <w:pStyle w:val="TableParagraph"/>
              <w:spacing w:before="11"/>
              <w:jc w:val="both"/>
              <w:rPr>
                <w:b/>
              </w:rPr>
            </w:pPr>
          </w:p>
          <w:p w14:paraId="0AC3C8CE" w14:textId="77777777" w:rsidR="00AF46FC" w:rsidRPr="00907E6A" w:rsidRDefault="00AF46FC" w:rsidP="00BF374D">
            <w:pPr>
              <w:pStyle w:val="TableParagraph"/>
              <w:ind w:left="107"/>
              <w:jc w:val="both"/>
            </w:pPr>
            <w:r w:rsidRPr="00907E6A">
              <w:t>Author(s) of the paper</w:t>
            </w:r>
          </w:p>
        </w:tc>
        <w:tc>
          <w:tcPr>
            <w:tcW w:w="4510" w:type="dxa"/>
          </w:tcPr>
          <w:p w14:paraId="13FB47CD" w14:textId="77777777" w:rsidR="00AF46FC" w:rsidRPr="00907E6A" w:rsidRDefault="00AF46FC" w:rsidP="00BF374D">
            <w:pPr>
              <w:pStyle w:val="TableParagraph"/>
              <w:spacing w:before="11"/>
              <w:jc w:val="both"/>
              <w:rPr>
                <w:b/>
              </w:rPr>
            </w:pPr>
          </w:p>
          <w:p w14:paraId="29FE4975" w14:textId="77777777" w:rsidR="00AF46FC" w:rsidRPr="00907E6A" w:rsidRDefault="00AF46FC" w:rsidP="00BF374D">
            <w:pPr>
              <w:pStyle w:val="TableParagraph"/>
              <w:ind w:left="107"/>
              <w:jc w:val="both"/>
            </w:pPr>
            <w:r w:rsidRPr="00907E6A">
              <w:t>PSNC Pharmacy Funding Tea</w:t>
            </w:r>
            <w:r>
              <w:t>m</w:t>
            </w:r>
          </w:p>
        </w:tc>
      </w:tr>
    </w:tbl>
    <w:p w14:paraId="213C43AA" w14:textId="77777777" w:rsidR="00AF46FC" w:rsidRDefault="00AF46FC" w:rsidP="00AF46FC"/>
    <w:p w14:paraId="1FFC886F" w14:textId="77777777" w:rsidR="00AF46FC" w:rsidRDefault="00AF46FC" w:rsidP="00AF46FC"/>
    <w:p w14:paraId="360ABC3A" w14:textId="77777777" w:rsidR="00AF46FC" w:rsidRDefault="00AF46FC" w:rsidP="00AF46FC"/>
    <w:p w14:paraId="54E3D5DC" w14:textId="77777777" w:rsidR="00AF46FC" w:rsidRDefault="00AF46FC" w:rsidP="00AF46FC"/>
    <w:p w14:paraId="43903C21" w14:textId="77777777" w:rsidR="00AF46FC" w:rsidRDefault="00AF46FC" w:rsidP="00AF46FC"/>
    <w:p w14:paraId="0F5F8459" w14:textId="77777777" w:rsidR="00AF46FC" w:rsidRDefault="00AF46FC" w:rsidP="00AF46FC"/>
    <w:p w14:paraId="5E651350" w14:textId="77777777" w:rsidR="00AF46FC" w:rsidRDefault="00AF46FC" w:rsidP="00AF46FC"/>
    <w:p w14:paraId="66A2BAC1" w14:textId="77777777" w:rsidR="00AF46FC" w:rsidRDefault="00AF46FC" w:rsidP="00AF46FC"/>
    <w:p w14:paraId="0BE35E06" w14:textId="77777777" w:rsidR="00AF46FC" w:rsidRDefault="00AF46FC" w:rsidP="00AF46FC"/>
    <w:p w14:paraId="2C9AD2D7" w14:textId="77777777" w:rsidR="00AF46FC" w:rsidRDefault="00AF46FC" w:rsidP="00AF46FC"/>
    <w:p w14:paraId="4A974098" w14:textId="77777777" w:rsidR="00AF46FC" w:rsidRDefault="00AF46FC" w:rsidP="00AF46FC"/>
    <w:p w14:paraId="2795F3CB" w14:textId="77777777" w:rsidR="00AF46FC" w:rsidRDefault="00AF46FC" w:rsidP="00AF46FC"/>
    <w:p w14:paraId="3EB66DCA" w14:textId="77777777" w:rsidR="00AF46FC" w:rsidRDefault="00AF46FC" w:rsidP="00AF46FC"/>
    <w:p w14:paraId="779EBD50" w14:textId="77777777" w:rsidR="00AF46FC" w:rsidRDefault="00AF46FC" w:rsidP="00AF46FC"/>
    <w:p w14:paraId="1FD1AB96" w14:textId="77777777" w:rsidR="00AF46FC" w:rsidRDefault="00AF46FC" w:rsidP="00AF46FC"/>
    <w:p w14:paraId="49B06758" w14:textId="77777777" w:rsidR="00AF46FC" w:rsidRDefault="00AF46FC" w:rsidP="00AF46FC"/>
    <w:p w14:paraId="0F796A3F" w14:textId="77777777" w:rsidR="00AF46FC" w:rsidRDefault="00AF46FC" w:rsidP="00AF46FC">
      <w:pPr>
        <w:rPr>
          <w:b/>
          <w:bCs/>
          <w:color w:val="5B518E"/>
          <w:sz w:val="28"/>
          <w:szCs w:val="28"/>
        </w:rPr>
      </w:pPr>
      <w:r>
        <w:rPr>
          <w:b/>
          <w:bCs/>
          <w:color w:val="5B518E"/>
          <w:sz w:val="28"/>
          <w:szCs w:val="28"/>
        </w:rPr>
        <w:br w:type="page"/>
      </w:r>
    </w:p>
    <w:p w14:paraId="3FEDAD1B" w14:textId="77777777" w:rsidR="00AF46FC" w:rsidRDefault="00AF46FC" w:rsidP="00AF46FC">
      <w:pPr>
        <w:spacing w:before="15"/>
        <w:ind w:right="-22"/>
        <w:jc w:val="center"/>
        <w:rPr>
          <w:b/>
          <w:bCs/>
          <w:color w:val="5B518E"/>
          <w:sz w:val="28"/>
          <w:szCs w:val="28"/>
        </w:rPr>
      </w:pPr>
      <w:r w:rsidRPr="006C0DB9">
        <w:rPr>
          <w:b/>
          <w:bCs/>
          <w:color w:val="5B518E"/>
          <w:sz w:val="28"/>
          <w:szCs w:val="28"/>
        </w:rPr>
        <w:lastRenderedPageBreak/>
        <w:t>Statistics</w:t>
      </w:r>
    </w:p>
    <w:p w14:paraId="1C16C3D2" w14:textId="77777777" w:rsidR="00AF46FC" w:rsidRDefault="00AF46FC" w:rsidP="00AF46FC">
      <w:pPr>
        <w:pStyle w:val="Heading2"/>
      </w:pPr>
      <w:r>
        <w:rPr>
          <w:b/>
          <w:bCs/>
          <w:noProof/>
          <w:color w:val="5B518E"/>
          <w:sz w:val="28"/>
          <w:szCs w:val="28"/>
        </w:rPr>
        <mc:AlternateContent>
          <mc:Choice Requires="wps">
            <w:drawing>
              <wp:anchor distT="0" distB="0" distL="114300" distR="114300" simplePos="0" relativeHeight="251664384" behindDoc="0" locked="0" layoutInCell="1" allowOverlap="1" wp14:anchorId="592B61A6" wp14:editId="704E024E">
                <wp:simplePos x="0" y="0"/>
                <wp:positionH relativeFrom="column">
                  <wp:posOffset>-476250</wp:posOffset>
                </wp:positionH>
                <wp:positionV relativeFrom="paragraph">
                  <wp:posOffset>245111</wp:posOffset>
                </wp:positionV>
                <wp:extent cx="1666875" cy="21717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666875" cy="2171700"/>
                        </a:xfrm>
                        <a:prstGeom prst="rect">
                          <a:avLst/>
                        </a:prstGeom>
                        <a:solidFill>
                          <a:schemeClr val="lt1"/>
                        </a:solidFill>
                        <a:ln w="6350">
                          <a:solidFill>
                            <a:prstClr val="black"/>
                          </a:solidFill>
                        </a:ln>
                      </wps:spPr>
                      <wps:txbx>
                        <w:txbxContent>
                          <w:p w14:paraId="06801C91" w14:textId="77777777" w:rsidR="00AF46FC" w:rsidRDefault="00AF46FC" w:rsidP="00AF46FC">
                            <w:r>
                              <w:rPr>
                                <w:b/>
                                <w:bCs/>
                                <w:sz w:val="32"/>
                                <w:szCs w:val="32"/>
                              </w:rPr>
                              <w:t>Jun</w:t>
                            </w:r>
                            <w:r w:rsidRPr="003F65FA">
                              <w:rPr>
                                <w:b/>
                                <w:bCs/>
                                <w:sz w:val="32"/>
                                <w:szCs w:val="32"/>
                              </w:rPr>
                              <w:t>-</w:t>
                            </w:r>
                            <w:r>
                              <w:rPr>
                                <w:b/>
                                <w:bCs/>
                                <w:sz w:val="32"/>
                                <w:szCs w:val="32"/>
                              </w:rPr>
                              <w:t>22</w:t>
                            </w:r>
                            <w:r w:rsidRPr="003F65FA">
                              <w:rPr>
                                <w:sz w:val="32"/>
                                <w:szCs w:val="32"/>
                              </w:rPr>
                              <w:t xml:space="preserve"> </w:t>
                            </w:r>
                            <w:r>
                              <w:t xml:space="preserve">total items was </w:t>
                            </w:r>
                            <w:r>
                              <w:rPr>
                                <w:b/>
                                <w:bCs/>
                                <w:sz w:val="36"/>
                                <w:szCs w:val="36"/>
                              </w:rPr>
                              <w:t>89</w:t>
                            </w:r>
                            <w:r w:rsidRPr="003F65FA">
                              <w:rPr>
                                <w:b/>
                                <w:bCs/>
                                <w:sz w:val="36"/>
                                <w:szCs w:val="36"/>
                              </w:rPr>
                              <w:t>.</w:t>
                            </w:r>
                            <w:r>
                              <w:rPr>
                                <w:b/>
                                <w:bCs/>
                                <w:sz w:val="36"/>
                                <w:szCs w:val="36"/>
                              </w:rPr>
                              <w:t>3</w:t>
                            </w:r>
                            <w:r w:rsidRPr="003F65FA">
                              <w:rPr>
                                <w:b/>
                                <w:bCs/>
                                <w:sz w:val="36"/>
                                <w:szCs w:val="36"/>
                              </w:rPr>
                              <w:t>m</w:t>
                            </w:r>
                            <w:r>
                              <w:t xml:space="preserve"> over 24 dispensing days (</w:t>
                            </w:r>
                            <w:r w:rsidRPr="009B1F30">
                              <w:rPr>
                                <w:b/>
                                <w:bCs/>
                                <w:sz w:val="32"/>
                                <w:szCs w:val="32"/>
                              </w:rPr>
                              <w:t>3.</w:t>
                            </w:r>
                            <w:r>
                              <w:rPr>
                                <w:b/>
                                <w:bCs/>
                                <w:sz w:val="32"/>
                                <w:szCs w:val="32"/>
                              </w:rPr>
                              <w:t>7</w:t>
                            </w:r>
                            <w:r w:rsidRPr="009B1F30">
                              <w:rPr>
                                <w:b/>
                                <w:bCs/>
                                <w:sz w:val="32"/>
                                <w:szCs w:val="32"/>
                              </w:rPr>
                              <w:t>m</w:t>
                            </w:r>
                            <w:r w:rsidRPr="009B1F30">
                              <w:rPr>
                                <w:sz w:val="32"/>
                                <w:szCs w:val="32"/>
                              </w:rPr>
                              <w:t xml:space="preserve"> </w:t>
                            </w:r>
                            <w:r>
                              <w:t xml:space="preserve">items per day). This is </w:t>
                            </w:r>
                            <w:r>
                              <w:rPr>
                                <w:b/>
                                <w:bCs/>
                                <w:sz w:val="32"/>
                                <w:szCs w:val="32"/>
                              </w:rPr>
                              <w:t>8</w:t>
                            </w:r>
                            <w:r w:rsidRPr="009B1F30">
                              <w:rPr>
                                <w:b/>
                                <w:bCs/>
                                <w:sz w:val="32"/>
                                <w:szCs w:val="32"/>
                              </w:rPr>
                              <w:t>.</w:t>
                            </w:r>
                            <w:r>
                              <w:rPr>
                                <w:b/>
                                <w:bCs/>
                                <w:sz w:val="32"/>
                                <w:szCs w:val="32"/>
                              </w:rPr>
                              <w:t>0</w:t>
                            </w:r>
                            <w:r w:rsidRPr="009B1F30">
                              <w:rPr>
                                <w:b/>
                                <w:bCs/>
                                <w:sz w:val="32"/>
                                <w:szCs w:val="32"/>
                              </w:rPr>
                              <w:t>% more</w:t>
                            </w:r>
                            <w:r w:rsidRPr="009B1F30">
                              <w:rPr>
                                <w:sz w:val="32"/>
                                <w:szCs w:val="32"/>
                              </w:rPr>
                              <w:t xml:space="preserve"> </w:t>
                            </w:r>
                            <w:r>
                              <w:t>items per day than the same month in the previous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92B61A6" id="_x0000_t202" coordsize="21600,21600" o:spt="202" path="m,l,21600r21600,l21600,xe">
                <v:stroke joinstyle="miter"/>
                <v:path gradientshapeok="t" o:connecttype="rect"/>
              </v:shapetype>
              <v:shape id="Text Box 25" o:spid="_x0000_s1026" type="#_x0000_t202" style="position:absolute;margin-left:-37.5pt;margin-top:19.3pt;width:131.2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" fillcolor="white [3201]" strokeweight=".5pt">
                <v:textbox>
                  <w:txbxContent>
                    <w:p w14:paraId="06801C91" w14:textId="77777777" w:rsidR="00AF46FC" w:rsidRDefault="00AF46FC" w:rsidP="00AF46FC">
                      <w:r>
                        <w:rPr>
                          <w:b/>
                          <w:bCs/>
                          <w:sz w:val="32"/>
                          <w:szCs w:val="32"/>
                        </w:rPr>
                        <w:t>Jun</w:t>
                      </w:r>
                      <w:r w:rsidRPr="003F65FA">
                        <w:rPr>
                          <w:b/>
                          <w:bCs/>
                          <w:sz w:val="32"/>
                          <w:szCs w:val="32"/>
                        </w:rPr>
                        <w:t>-</w:t>
                      </w:r>
                      <w:r>
                        <w:rPr>
                          <w:b/>
                          <w:bCs/>
                          <w:sz w:val="32"/>
                          <w:szCs w:val="32"/>
                        </w:rPr>
                        <w:t>22</w:t>
                      </w:r>
                      <w:r w:rsidRPr="003F65FA">
                        <w:rPr>
                          <w:sz w:val="32"/>
                          <w:szCs w:val="32"/>
                        </w:rPr>
                        <w:t xml:space="preserve"> </w:t>
                      </w:r>
                      <w:r>
                        <w:t xml:space="preserve">total items was </w:t>
                      </w:r>
                      <w:r>
                        <w:rPr>
                          <w:b/>
                          <w:bCs/>
                          <w:sz w:val="36"/>
                          <w:szCs w:val="36"/>
                        </w:rPr>
                        <w:t>89</w:t>
                      </w:r>
                      <w:r w:rsidRPr="003F65FA">
                        <w:rPr>
                          <w:b/>
                          <w:bCs/>
                          <w:sz w:val="36"/>
                          <w:szCs w:val="36"/>
                        </w:rPr>
                        <w:t>.</w:t>
                      </w:r>
                      <w:r>
                        <w:rPr>
                          <w:b/>
                          <w:bCs/>
                          <w:sz w:val="36"/>
                          <w:szCs w:val="36"/>
                        </w:rPr>
                        <w:t>3</w:t>
                      </w:r>
                      <w:r w:rsidRPr="003F65FA">
                        <w:rPr>
                          <w:b/>
                          <w:bCs/>
                          <w:sz w:val="36"/>
                          <w:szCs w:val="36"/>
                        </w:rPr>
                        <w:t>m</w:t>
                      </w:r>
                      <w:r>
                        <w:t xml:space="preserve"> over 24 dispensing days (</w:t>
                      </w:r>
                      <w:r w:rsidRPr="009B1F30">
                        <w:rPr>
                          <w:b/>
                          <w:bCs/>
                          <w:sz w:val="32"/>
                          <w:szCs w:val="32"/>
                        </w:rPr>
                        <w:t>3.</w:t>
                      </w:r>
                      <w:r>
                        <w:rPr>
                          <w:b/>
                          <w:bCs/>
                          <w:sz w:val="32"/>
                          <w:szCs w:val="32"/>
                        </w:rPr>
                        <w:t>7</w:t>
                      </w:r>
                      <w:r w:rsidRPr="009B1F30">
                        <w:rPr>
                          <w:b/>
                          <w:bCs/>
                          <w:sz w:val="32"/>
                          <w:szCs w:val="32"/>
                        </w:rPr>
                        <w:t>m</w:t>
                      </w:r>
                      <w:r w:rsidRPr="009B1F30">
                        <w:rPr>
                          <w:sz w:val="32"/>
                          <w:szCs w:val="32"/>
                        </w:rPr>
                        <w:t xml:space="preserve"> </w:t>
                      </w:r>
                      <w:r>
                        <w:t xml:space="preserve">items per day). This is </w:t>
                      </w:r>
                      <w:r>
                        <w:rPr>
                          <w:b/>
                          <w:bCs/>
                          <w:sz w:val="32"/>
                          <w:szCs w:val="32"/>
                        </w:rPr>
                        <w:t>8</w:t>
                      </w:r>
                      <w:r w:rsidRPr="009B1F30">
                        <w:rPr>
                          <w:b/>
                          <w:bCs/>
                          <w:sz w:val="32"/>
                          <w:szCs w:val="32"/>
                        </w:rPr>
                        <w:t>.</w:t>
                      </w:r>
                      <w:r>
                        <w:rPr>
                          <w:b/>
                          <w:bCs/>
                          <w:sz w:val="32"/>
                          <w:szCs w:val="32"/>
                        </w:rPr>
                        <w:t>0</w:t>
                      </w:r>
                      <w:r w:rsidRPr="009B1F30">
                        <w:rPr>
                          <w:b/>
                          <w:bCs/>
                          <w:sz w:val="32"/>
                          <w:szCs w:val="32"/>
                        </w:rPr>
                        <w:t>% more</w:t>
                      </w:r>
                      <w:r w:rsidRPr="009B1F30">
                        <w:rPr>
                          <w:sz w:val="32"/>
                          <w:szCs w:val="32"/>
                        </w:rPr>
                        <w:t xml:space="preserve"> </w:t>
                      </w:r>
                      <w:r>
                        <w:t>items per day than the same month in the previous year.</w:t>
                      </w:r>
                    </w:p>
                  </w:txbxContent>
                </v:textbox>
              </v:shape>
            </w:pict>
          </mc:Fallback>
        </mc:AlternateContent>
      </w:r>
      <w:r>
        <w:t>Dispensing</w:t>
      </w:r>
    </w:p>
    <w:p w14:paraId="30630F0E" w14:textId="77777777" w:rsidR="00AF46FC" w:rsidRPr="00736A97" w:rsidRDefault="00AF46FC" w:rsidP="00AF46FC">
      <w:pPr>
        <w:jc w:val="right"/>
      </w:pPr>
      <w:r>
        <w:rPr>
          <w:noProof/>
        </w:rPr>
        <w:drawing>
          <wp:inline distT="0" distB="0" distL="0" distR="0" wp14:anchorId="7BBB64D7" wp14:editId="5F188BB5">
            <wp:extent cx="4506914" cy="2200275"/>
            <wp:effectExtent l="0" t="0" r="8255" b="0"/>
            <wp:docPr id="22" name="Picture 2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line chart&#10;&#10;Description automatically generated"/>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511332" cy="2202432"/>
                    </a:xfrm>
                    <a:prstGeom prst="rect">
                      <a:avLst/>
                    </a:prstGeom>
                    <a:noFill/>
                  </pic:spPr>
                </pic:pic>
              </a:graphicData>
            </a:graphic>
          </wp:inline>
        </w:drawing>
      </w:r>
    </w:p>
    <w:p w14:paraId="634555AA" w14:textId="77777777" w:rsidR="00AF46FC" w:rsidRDefault="00AF46FC" w:rsidP="00AF46FC">
      <w:pPr>
        <w:spacing w:before="15"/>
        <w:ind w:left="-567" w:right="-22"/>
        <w:rPr>
          <w:b/>
          <w:bCs/>
          <w:color w:val="5B518E"/>
          <w:sz w:val="28"/>
          <w:szCs w:val="28"/>
        </w:rPr>
      </w:pPr>
      <w:r>
        <w:rPr>
          <w:b/>
          <w:bCs/>
          <w:noProof/>
          <w:color w:val="5B518E"/>
          <w:sz w:val="28"/>
          <w:szCs w:val="28"/>
        </w:rPr>
        <mc:AlternateContent>
          <mc:Choice Requires="wps">
            <w:drawing>
              <wp:anchor distT="0" distB="0" distL="114300" distR="114300" simplePos="0" relativeHeight="251663360" behindDoc="0" locked="0" layoutInCell="1" allowOverlap="1" wp14:anchorId="4BB4857B" wp14:editId="67719AA5">
                <wp:simplePos x="0" y="0"/>
                <wp:positionH relativeFrom="column">
                  <wp:posOffset>-409575</wp:posOffset>
                </wp:positionH>
                <wp:positionV relativeFrom="paragraph">
                  <wp:posOffset>2973070</wp:posOffset>
                </wp:positionV>
                <wp:extent cx="1666875" cy="2772000"/>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23F74C2F" w14:textId="77777777" w:rsidR="00AF46FC" w:rsidRDefault="00AF46FC" w:rsidP="00AF46FC"/>
                          <w:p w14:paraId="61326A48" w14:textId="77777777" w:rsidR="00AF46FC" w:rsidRDefault="00AF46FC" w:rsidP="00AF46FC"/>
                          <w:p w14:paraId="662449BC" w14:textId="77777777" w:rsidR="00AF46FC" w:rsidRDefault="00AF46FC" w:rsidP="00AF46FC">
                            <w:r>
                              <w:t xml:space="preserve">As of </w:t>
                            </w:r>
                            <w:r>
                              <w:rPr>
                                <w:b/>
                                <w:bCs/>
                                <w:sz w:val="32"/>
                                <w:szCs w:val="32"/>
                              </w:rPr>
                              <w:t>Jun</w:t>
                            </w:r>
                            <w:r w:rsidRPr="00F41CCF">
                              <w:rPr>
                                <w:b/>
                                <w:bCs/>
                                <w:sz w:val="32"/>
                                <w:szCs w:val="32"/>
                              </w:rPr>
                              <w:t>-2</w:t>
                            </w:r>
                            <w:r>
                              <w:rPr>
                                <w:b/>
                                <w:bCs/>
                                <w:sz w:val="32"/>
                                <w:szCs w:val="32"/>
                              </w:rPr>
                              <w:t>2</w:t>
                            </w:r>
                            <w:r>
                              <w:t xml:space="preserve">, the proportion of all items that are EPS is </w:t>
                            </w:r>
                            <w:r w:rsidRPr="00F41CCF">
                              <w:rPr>
                                <w:b/>
                                <w:bCs/>
                                <w:sz w:val="32"/>
                                <w:szCs w:val="32"/>
                              </w:rPr>
                              <w:t>95.</w:t>
                            </w:r>
                            <w:r>
                              <w:rPr>
                                <w:b/>
                                <w:bCs/>
                                <w:sz w:val="32"/>
                                <w:szCs w:val="32"/>
                              </w:rPr>
                              <w:t>7</w:t>
                            </w:r>
                            <w:r w:rsidRPr="00F41CCF">
                              <w:rPr>
                                <w:b/>
                                <w:bCs/>
                                <w:sz w:val="32"/>
                                <w:szCs w:val="32"/>
                              </w:rPr>
                              <w:t>%</w:t>
                            </w:r>
                            <w:r>
                              <w:t xml:space="preserve">. The proportion of items that are ERD is </w:t>
                            </w:r>
                            <w:r w:rsidRPr="00F41CCF">
                              <w:rPr>
                                <w:b/>
                                <w:bCs/>
                                <w:sz w:val="32"/>
                                <w:szCs w:val="32"/>
                              </w:rPr>
                              <w:t>14.</w:t>
                            </w:r>
                            <w:r>
                              <w:rPr>
                                <w:b/>
                                <w:bCs/>
                                <w:sz w:val="32"/>
                                <w:szCs w:val="32"/>
                              </w:rPr>
                              <w:t>3</w:t>
                            </w:r>
                            <w:r w:rsidRPr="00F41CCF">
                              <w:rPr>
                                <w:b/>
                                <w:bCs/>
                                <w:sz w:val="32"/>
                                <w:szCs w:val="32"/>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B4857B" id="Text Box 15" o:spid="_x0000_s1027" type="#_x0000_t202" style="position:absolute;left:0;text-align:left;margin-left:-32.25pt;margin-top:234.1pt;width:131.25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bVOQ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" fillcolor="white [3201]" strokeweight=".5pt">
                <v:textbox>
                  <w:txbxContent>
                    <w:p w14:paraId="23F74C2F" w14:textId="77777777" w:rsidR="00AF46FC" w:rsidRDefault="00AF46FC" w:rsidP="00AF46FC"/>
                    <w:p w14:paraId="61326A48" w14:textId="77777777" w:rsidR="00AF46FC" w:rsidRDefault="00AF46FC" w:rsidP="00AF46FC"/>
                    <w:p w14:paraId="662449BC" w14:textId="77777777" w:rsidR="00AF46FC" w:rsidRDefault="00AF46FC" w:rsidP="00AF46FC">
                      <w:r>
                        <w:t xml:space="preserve">As of </w:t>
                      </w:r>
                      <w:r>
                        <w:rPr>
                          <w:b/>
                          <w:bCs/>
                          <w:sz w:val="32"/>
                          <w:szCs w:val="32"/>
                        </w:rPr>
                        <w:t>Jun</w:t>
                      </w:r>
                      <w:r w:rsidRPr="00F41CCF">
                        <w:rPr>
                          <w:b/>
                          <w:bCs/>
                          <w:sz w:val="32"/>
                          <w:szCs w:val="32"/>
                        </w:rPr>
                        <w:t>-2</w:t>
                      </w:r>
                      <w:r>
                        <w:rPr>
                          <w:b/>
                          <w:bCs/>
                          <w:sz w:val="32"/>
                          <w:szCs w:val="32"/>
                        </w:rPr>
                        <w:t>2</w:t>
                      </w:r>
                      <w:r>
                        <w:t xml:space="preserve">, the proportion of all items that are EPS is </w:t>
                      </w:r>
                      <w:r w:rsidRPr="00F41CCF">
                        <w:rPr>
                          <w:b/>
                          <w:bCs/>
                          <w:sz w:val="32"/>
                          <w:szCs w:val="32"/>
                        </w:rPr>
                        <w:t>95.</w:t>
                      </w:r>
                      <w:r>
                        <w:rPr>
                          <w:b/>
                          <w:bCs/>
                          <w:sz w:val="32"/>
                          <w:szCs w:val="32"/>
                        </w:rPr>
                        <w:t>7</w:t>
                      </w:r>
                      <w:r w:rsidRPr="00F41CCF">
                        <w:rPr>
                          <w:b/>
                          <w:bCs/>
                          <w:sz w:val="32"/>
                          <w:szCs w:val="32"/>
                        </w:rPr>
                        <w:t>%</w:t>
                      </w:r>
                      <w:r>
                        <w:t xml:space="preserve">. The proportion of items that are ERD is </w:t>
                      </w:r>
                      <w:r w:rsidRPr="00F41CCF">
                        <w:rPr>
                          <w:b/>
                          <w:bCs/>
                          <w:sz w:val="32"/>
                          <w:szCs w:val="32"/>
                        </w:rPr>
                        <w:t>14.</w:t>
                      </w:r>
                      <w:r>
                        <w:rPr>
                          <w:b/>
                          <w:bCs/>
                          <w:sz w:val="32"/>
                          <w:szCs w:val="32"/>
                        </w:rPr>
                        <w:t>3</w:t>
                      </w:r>
                      <w:r w:rsidRPr="00F41CCF">
                        <w:rPr>
                          <w:b/>
                          <w:bCs/>
                          <w:sz w:val="32"/>
                          <w:szCs w:val="32"/>
                        </w:rPr>
                        <w:t>%</w:t>
                      </w:r>
                      <w:r>
                        <w:t>.</w:t>
                      </w:r>
                    </w:p>
                  </w:txbxContent>
                </v:textbox>
              </v:shape>
            </w:pict>
          </mc:Fallback>
        </mc:AlternateContent>
      </w:r>
      <w:r>
        <w:rPr>
          <w:b/>
          <w:bCs/>
          <w:noProof/>
          <w:color w:val="5B518E"/>
          <w:sz w:val="28"/>
          <w:szCs w:val="28"/>
        </w:rPr>
        <mc:AlternateContent>
          <mc:Choice Requires="wps">
            <w:drawing>
              <wp:anchor distT="0" distB="0" distL="114300" distR="114300" simplePos="0" relativeHeight="251659264" behindDoc="0" locked="0" layoutInCell="1" allowOverlap="1" wp14:anchorId="0C46996A" wp14:editId="0B783973">
                <wp:simplePos x="0" y="0"/>
                <wp:positionH relativeFrom="column">
                  <wp:posOffset>4305300</wp:posOffset>
                </wp:positionH>
                <wp:positionV relativeFrom="paragraph">
                  <wp:posOffset>22860</wp:posOffset>
                </wp:positionV>
                <wp:extent cx="1666875" cy="2772000"/>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05B7F2F0" w14:textId="77777777" w:rsidR="00AF46FC" w:rsidRDefault="00AF46FC" w:rsidP="00AF46FC"/>
                          <w:p w14:paraId="7CEFA24C" w14:textId="77777777" w:rsidR="00AF46FC" w:rsidRDefault="00AF46FC" w:rsidP="00AF46FC">
                            <w:r>
                              <w:t xml:space="preserve">The latest rolling 12 month item volume as of </w:t>
                            </w:r>
                            <w:r>
                              <w:rPr>
                                <w:b/>
                                <w:bCs/>
                                <w:sz w:val="32"/>
                                <w:szCs w:val="32"/>
                              </w:rPr>
                              <w:t>Jun</w:t>
                            </w:r>
                            <w:r w:rsidRPr="00BF4190">
                              <w:rPr>
                                <w:b/>
                                <w:bCs/>
                                <w:sz w:val="32"/>
                                <w:szCs w:val="32"/>
                              </w:rPr>
                              <w:t>-2</w:t>
                            </w:r>
                            <w:r>
                              <w:rPr>
                                <w:b/>
                                <w:bCs/>
                                <w:sz w:val="32"/>
                                <w:szCs w:val="32"/>
                              </w:rPr>
                              <w:t>2</w:t>
                            </w:r>
                            <w:r>
                              <w:t xml:space="preserve"> is </w:t>
                            </w:r>
                            <w:r w:rsidRPr="00BF4190">
                              <w:rPr>
                                <w:b/>
                                <w:bCs/>
                                <w:sz w:val="32"/>
                                <w:szCs w:val="32"/>
                              </w:rPr>
                              <w:t>1,0</w:t>
                            </w:r>
                            <w:r>
                              <w:rPr>
                                <w:b/>
                                <w:bCs/>
                                <w:sz w:val="32"/>
                                <w:szCs w:val="32"/>
                              </w:rPr>
                              <w:t>64.4</w:t>
                            </w:r>
                            <w:r w:rsidRPr="00BF4190">
                              <w:rPr>
                                <w:b/>
                                <w:bCs/>
                                <w:sz w:val="32"/>
                                <w:szCs w:val="32"/>
                              </w:rPr>
                              <w:t>m</w:t>
                            </w:r>
                            <w:r w:rsidRPr="00BF4190">
                              <w:rPr>
                                <w:sz w:val="32"/>
                                <w:szCs w:val="32"/>
                              </w:rPr>
                              <w:t xml:space="preserve"> </w:t>
                            </w:r>
                            <w:r>
                              <w:t>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46996A" id="Text Box 16" o:spid="_x0000_s1028" type="#_x0000_t202" style="position:absolute;left:0;text-align:left;margin-left:339pt;margin-top:1.8pt;width:131.2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dxOg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" fillcolor="white [3201]" strokeweight=".5pt">
                <v:textbox>
                  <w:txbxContent>
                    <w:p w14:paraId="05B7F2F0" w14:textId="77777777" w:rsidR="00AF46FC" w:rsidRDefault="00AF46FC" w:rsidP="00AF46FC"/>
                    <w:p w14:paraId="7CEFA24C" w14:textId="77777777" w:rsidR="00AF46FC" w:rsidRDefault="00AF46FC" w:rsidP="00AF46FC">
                      <w:r>
                        <w:t xml:space="preserve">The latest rolling 12 month item volume as of </w:t>
                      </w:r>
                      <w:r>
                        <w:rPr>
                          <w:b/>
                          <w:bCs/>
                          <w:sz w:val="32"/>
                          <w:szCs w:val="32"/>
                        </w:rPr>
                        <w:t>Jun</w:t>
                      </w:r>
                      <w:r w:rsidRPr="00BF4190">
                        <w:rPr>
                          <w:b/>
                          <w:bCs/>
                          <w:sz w:val="32"/>
                          <w:szCs w:val="32"/>
                        </w:rPr>
                        <w:t>-2</w:t>
                      </w:r>
                      <w:r>
                        <w:rPr>
                          <w:b/>
                          <w:bCs/>
                          <w:sz w:val="32"/>
                          <w:szCs w:val="32"/>
                        </w:rPr>
                        <w:t>2</w:t>
                      </w:r>
                      <w:r>
                        <w:t xml:space="preserve"> is </w:t>
                      </w:r>
                      <w:r w:rsidRPr="00BF4190">
                        <w:rPr>
                          <w:b/>
                          <w:bCs/>
                          <w:sz w:val="32"/>
                          <w:szCs w:val="32"/>
                        </w:rPr>
                        <w:t>1,0</w:t>
                      </w:r>
                      <w:r>
                        <w:rPr>
                          <w:b/>
                          <w:bCs/>
                          <w:sz w:val="32"/>
                          <w:szCs w:val="32"/>
                        </w:rPr>
                        <w:t>64.4</w:t>
                      </w:r>
                      <w:r w:rsidRPr="00BF4190">
                        <w:rPr>
                          <w:b/>
                          <w:bCs/>
                          <w:sz w:val="32"/>
                          <w:szCs w:val="32"/>
                        </w:rPr>
                        <w:t>m</w:t>
                      </w:r>
                      <w:r w:rsidRPr="00BF4190">
                        <w:rPr>
                          <w:sz w:val="32"/>
                          <w:szCs w:val="32"/>
                        </w:rPr>
                        <w:t xml:space="preserve"> </w:t>
                      </w:r>
                      <w:r>
                        <w:t>items.</w:t>
                      </w:r>
                    </w:p>
                  </w:txbxContent>
                </v:textbox>
              </v:shape>
            </w:pict>
          </mc:Fallback>
        </mc:AlternateContent>
      </w:r>
      <w:r>
        <w:rPr>
          <w:b/>
          <w:bCs/>
          <w:noProof/>
          <w:color w:val="5B518E"/>
          <w:sz w:val="28"/>
          <w:szCs w:val="28"/>
        </w:rPr>
        <w:drawing>
          <wp:inline distT="0" distB="0" distL="0" distR="0" wp14:anchorId="1E409E43" wp14:editId="30042DA2">
            <wp:extent cx="4532107" cy="2800350"/>
            <wp:effectExtent l="0" t="0" r="1905" b="0"/>
            <wp:docPr id="23" name="Picture 2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line chart&#10;&#10;Description automatically generated"/>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542003" cy="2806465"/>
                    </a:xfrm>
                    <a:prstGeom prst="rect">
                      <a:avLst/>
                    </a:prstGeom>
                    <a:noFill/>
                  </pic:spPr>
                </pic:pic>
              </a:graphicData>
            </a:graphic>
          </wp:inline>
        </w:drawing>
      </w:r>
    </w:p>
    <w:p w14:paraId="75F442D5" w14:textId="77777777" w:rsidR="00AF46FC" w:rsidRDefault="00AF46FC" w:rsidP="00AF46FC">
      <w:pPr>
        <w:jc w:val="right"/>
        <w:rPr>
          <w:b/>
          <w:bCs/>
          <w:color w:val="5B518E"/>
          <w:sz w:val="28"/>
          <w:szCs w:val="28"/>
        </w:rPr>
      </w:pPr>
      <w:r>
        <w:rPr>
          <w:b/>
          <w:bCs/>
          <w:noProof/>
          <w:color w:val="5B518E"/>
          <w:sz w:val="28"/>
          <w:szCs w:val="28"/>
        </w:rPr>
        <w:drawing>
          <wp:inline distT="0" distB="0" distL="0" distR="0" wp14:anchorId="2B5769A8" wp14:editId="537D28A6">
            <wp:extent cx="4419600" cy="2971281"/>
            <wp:effectExtent l="0" t="0" r="0" b="635"/>
            <wp:docPr id="24" name="Picture 24" descr="A picture containing text, screensho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screenshot, document&#10;&#10;Description automatically generated"/>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429870" cy="2978185"/>
                    </a:xfrm>
                    <a:prstGeom prst="rect">
                      <a:avLst/>
                    </a:prstGeom>
                    <a:noFill/>
                  </pic:spPr>
                </pic:pic>
              </a:graphicData>
            </a:graphic>
          </wp:inline>
        </w:drawing>
      </w:r>
      <w:r>
        <w:rPr>
          <w:b/>
          <w:bCs/>
          <w:color w:val="5B518E"/>
          <w:sz w:val="28"/>
          <w:szCs w:val="28"/>
        </w:rPr>
        <w:br w:type="page"/>
      </w:r>
    </w:p>
    <w:p w14:paraId="36B4CAAF" w14:textId="77777777" w:rsidR="00AF46FC" w:rsidRDefault="00AF46FC" w:rsidP="00AF46FC">
      <w:pPr>
        <w:spacing w:before="15"/>
        <w:ind w:right="-472"/>
        <w:jc w:val="right"/>
        <w:rPr>
          <w:b/>
          <w:bCs/>
          <w:color w:val="5B518E"/>
          <w:sz w:val="28"/>
          <w:szCs w:val="28"/>
        </w:rPr>
      </w:pPr>
    </w:p>
    <w:p w14:paraId="50D0653A" w14:textId="77777777" w:rsidR="00AF46FC" w:rsidRDefault="00AF46FC" w:rsidP="00AF46FC">
      <w:pPr>
        <w:pStyle w:val="Heading2"/>
      </w:pPr>
      <w:r>
        <w:t>Category M</w:t>
      </w:r>
    </w:p>
    <w:p w14:paraId="65C8511D" w14:textId="77777777" w:rsidR="00AF46FC" w:rsidRPr="00736A97" w:rsidRDefault="00AF46FC" w:rsidP="00AF46FC"/>
    <w:p w14:paraId="50DCA6B7" w14:textId="77777777" w:rsidR="00AF46FC" w:rsidRDefault="00AF46FC" w:rsidP="00AF46FC">
      <w:pPr>
        <w:spacing w:before="15"/>
        <w:ind w:right="-472"/>
        <w:jc w:val="right"/>
        <w:rPr>
          <w:b/>
          <w:bCs/>
          <w:color w:val="5B518E"/>
          <w:sz w:val="28"/>
          <w:szCs w:val="28"/>
        </w:rPr>
      </w:pPr>
      <w:r>
        <w:rPr>
          <w:b/>
          <w:bCs/>
          <w:noProof/>
          <w:color w:val="5B518E"/>
          <w:sz w:val="28"/>
          <w:szCs w:val="28"/>
        </w:rPr>
        <mc:AlternateContent>
          <mc:Choice Requires="wps">
            <w:drawing>
              <wp:anchor distT="0" distB="0" distL="114300" distR="114300" simplePos="0" relativeHeight="251660288" behindDoc="0" locked="0" layoutInCell="1" allowOverlap="1" wp14:anchorId="038D4140" wp14:editId="5D0CD8AA">
                <wp:simplePos x="0" y="0"/>
                <wp:positionH relativeFrom="column">
                  <wp:posOffset>-342900</wp:posOffset>
                </wp:positionH>
                <wp:positionV relativeFrom="paragraph">
                  <wp:posOffset>6350</wp:posOffset>
                </wp:positionV>
                <wp:extent cx="1666875" cy="2772000"/>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71971073" w14:textId="77777777" w:rsidR="00AF46FC" w:rsidRDefault="00AF46FC" w:rsidP="00AF46FC"/>
                          <w:p w14:paraId="4B5EF7D3" w14:textId="77777777" w:rsidR="00AF46FC" w:rsidRDefault="00AF46FC" w:rsidP="00AF46FC"/>
                          <w:p w14:paraId="155630CC" w14:textId="77777777" w:rsidR="00AF46FC" w:rsidRDefault="00AF46FC" w:rsidP="00AF46FC">
                            <w:r>
                              <w:t xml:space="preserve">The </w:t>
                            </w:r>
                            <w:r>
                              <w:rPr>
                                <w:b/>
                                <w:bCs/>
                                <w:sz w:val="32"/>
                                <w:szCs w:val="32"/>
                              </w:rPr>
                              <w:t>Jul</w:t>
                            </w:r>
                            <w:r w:rsidRPr="001436A1">
                              <w:rPr>
                                <w:b/>
                                <w:bCs/>
                                <w:sz w:val="32"/>
                                <w:szCs w:val="32"/>
                              </w:rPr>
                              <w:t>-2</w:t>
                            </w:r>
                            <w:r>
                              <w:rPr>
                                <w:b/>
                                <w:bCs/>
                                <w:sz w:val="32"/>
                                <w:szCs w:val="32"/>
                              </w:rPr>
                              <w:t>2</w:t>
                            </w:r>
                            <w:r w:rsidRPr="001436A1">
                              <w:rPr>
                                <w:sz w:val="32"/>
                                <w:szCs w:val="32"/>
                              </w:rPr>
                              <w:t xml:space="preserve"> </w:t>
                            </w:r>
                            <w:r>
                              <w:t>Cat-M list will have an estimated impact of +</w:t>
                            </w:r>
                            <w:r>
                              <w:rPr>
                                <w:b/>
                                <w:bCs/>
                                <w:sz w:val="32"/>
                                <w:szCs w:val="32"/>
                              </w:rPr>
                              <w:t>3</w:t>
                            </w:r>
                            <w:r w:rsidRPr="004477C4">
                              <w:rPr>
                                <w:b/>
                                <w:bCs/>
                                <w:sz w:val="32"/>
                                <w:szCs w:val="32"/>
                              </w:rPr>
                              <w:t xml:space="preserve"> pence per item</w:t>
                            </w:r>
                            <w:r>
                              <w:t xml:space="preserve"> on like-for-like 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8D4140" id="Text Box 17" o:spid="_x0000_s1029" type="#_x0000_t202" style="position:absolute;left:0;text-align:left;margin-left:-27pt;margin-top:.5pt;width:131.25pt;height:2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" fillcolor="white [3201]" strokeweight=".5pt">
                <v:textbox>
                  <w:txbxContent>
                    <w:p w14:paraId="71971073" w14:textId="77777777" w:rsidR="00AF46FC" w:rsidRDefault="00AF46FC" w:rsidP="00AF46FC"/>
                    <w:p w14:paraId="4B5EF7D3" w14:textId="77777777" w:rsidR="00AF46FC" w:rsidRDefault="00AF46FC" w:rsidP="00AF46FC"/>
                    <w:p w14:paraId="155630CC" w14:textId="77777777" w:rsidR="00AF46FC" w:rsidRDefault="00AF46FC" w:rsidP="00AF46FC">
                      <w:r>
                        <w:t xml:space="preserve">The </w:t>
                      </w:r>
                      <w:r>
                        <w:rPr>
                          <w:b/>
                          <w:bCs/>
                          <w:sz w:val="32"/>
                          <w:szCs w:val="32"/>
                        </w:rPr>
                        <w:t>Jul</w:t>
                      </w:r>
                      <w:r w:rsidRPr="001436A1">
                        <w:rPr>
                          <w:b/>
                          <w:bCs/>
                          <w:sz w:val="32"/>
                          <w:szCs w:val="32"/>
                        </w:rPr>
                        <w:t>-2</w:t>
                      </w:r>
                      <w:r>
                        <w:rPr>
                          <w:b/>
                          <w:bCs/>
                          <w:sz w:val="32"/>
                          <w:szCs w:val="32"/>
                        </w:rPr>
                        <w:t>2</w:t>
                      </w:r>
                      <w:r w:rsidRPr="001436A1">
                        <w:rPr>
                          <w:sz w:val="32"/>
                          <w:szCs w:val="32"/>
                        </w:rPr>
                        <w:t xml:space="preserve"> </w:t>
                      </w:r>
                      <w:r>
                        <w:t>Cat-M list will have an estimated impact of +</w:t>
                      </w:r>
                      <w:r>
                        <w:rPr>
                          <w:b/>
                          <w:bCs/>
                          <w:sz w:val="32"/>
                          <w:szCs w:val="32"/>
                        </w:rPr>
                        <w:t>3</w:t>
                      </w:r>
                      <w:r w:rsidRPr="004477C4">
                        <w:rPr>
                          <w:b/>
                          <w:bCs/>
                          <w:sz w:val="32"/>
                          <w:szCs w:val="32"/>
                        </w:rPr>
                        <w:t xml:space="preserve"> pence per item</w:t>
                      </w:r>
                      <w:r>
                        <w:t xml:space="preserve"> on like-for-like reimbursement</w:t>
                      </w:r>
                    </w:p>
                  </w:txbxContent>
                </v:textbox>
              </v:shape>
            </w:pict>
          </mc:Fallback>
        </mc:AlternateContent>
      </w:r>
      <w:r>
        <w:rPr>
          <w:b/>
          <w:bCs/>
          <w:noProof/>
          <w:color w:val="5B518E"/>
          <w:sz w:val="28"/>
          <w:szCs w:val="28"/>
        </w:rPr>
        <w:drawing>
          <wp:inline distT="0" distB="0" distL="0" distR="0" wp14:anchorId="50E0D63C" wp14:editId="5C87ABE3">
            <wp:extent cx="4550791" cy="2733675"/>
            <wp:effectExtent l="0" t="0" r="2540" b="0"/>
            <wp:docPr id="19" name="Picture 1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line chart&#10;&#10;Description automatically generated"/>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554889" cy="2736137"/>
                    </a:xfrm>
                    <a:prstGeom prst="rect">
                      <a:avLst/>
                    </a:prstGeom>
                    <a:noFill/>
                  </pic:spPr>
                </pic:pic>
              </a:graphicData>
            </a:graphic>
          </wp:inline>
        </w:drawing>
      </w:r>
    </w:p>
    <w:p w14:paraId="3BF4AAE0" w14:textId="77777777" w:rsidR="00AF46FC" w:rsidRDefault="00AF46FC" w:rsidP="00AF46FC">
      <w:pPr>
        <w:spacing w:before="15"/>
        <w:ind w:right="-472"/>
        <w:jc w:val="right"/>
        <w:rPr>
          <w:b/>
          <w:bCs/>
          <w:color w:val="5B518E"/>
          <w:sz w:val="28"/>
          <w:szCs w:val="28"/>
        </w:rPr>
      </w:pPr>
    </w:p>
    <w:p w14:paraId="344C1889" w14:textId="77777777" w:rsidR="00AF46FC" w:rsidRDefault="00AF46FC" w:rsidP="00AF46FC">
      <w:pPr>
        <w:spacing w:before="15"/>
        <w:ind w:right="-472"/>
        <w:jc w:val="right"/>
        <w:rPr>
          <w:b/>
          <w:bCs/>
          <w:color w:val="5B518E"/>
          <w:sz w:val="28"/>
          <w:szCs w:val="28"/>
        </w:rPr>
      </w:pPr>
    </w:p>
    <w:p w14:paraId="66560C58" w14:textId="77777777" w:rsidR="00AF46FC" w:rsidRDefault="00AF46FC" w:rsidP="00AF46FC">
      <w:pPr>
        <w:spacing w:before="15"/>
        <w:ind w:right="-472"/>
        <w:jc w:val="right"/>
        <w:rPr>
          <w:b/>
          <w:bCs/>
          <w:color w:val="5B518E"/>
          <w:sz w:val="28"/>
          <w:szCs w:val="28"/>
        </w:rPr>
      </w:pPr>
    </w:p>
    <w:p w14:paraId="0E247E3D" w14:textId="77777777" w:rsidR="00AF46FC" w:rsidRDefault="00AF46FC" w:rsidP="00AF46FC">
      <w:pPr>
        <w:spacing w:before="15"/>
        <w:ind w:right="-472"/>
        <w:jc w:val="right"/>
        <w:rPr>
          <w:b/>
          <w:bCs/>
          <w:color w:val="5B518E"/>
          <w:sz w:val="28"/>
          <w:szCs w:val="28"/>
        </w:rPr>
      </w:pPr>
      <w:r>
        <w:rPr>
          <w:b/>
          <w:bCs/>
          <w:noProof/>
          <w:color w:val="5B518E"/>
          <w:sz w:val="28"/>
          <w:szCs w:val="28"/>
        </w:rPr>
        <mc:AlternateContent>
          <mc:Choice Requires="wps">
            <w:drawing>
              <wp:anchor distT="0" distB="0" distL="114300" distR="114300" simplePos="0" relativeHeight="251662336" behindDoc="0" locked="0" layoutInCell="1" allowOverlap="1" wp14:anchorId="5BDA197A" wp14:editId="59103A61">
                <wp:simplePos x="0" y="0"/>
                <wp:positionH relativeFrom="column">
                  <wp:posOffset>4445000</wp:posOffset>
                </wp:positionH>
                <wp:positionV relativeFrom="paragraph">
                  <wp:posOffset>328295</wp:posOffset>
                </wp:positionV>
                <wp:extent cx="1666875" cy="2772000"/>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19A21CBE" w14:textId="77777777" w:rsidR="00AF46FC" w:rsidRDefault="00AF46FC" w:rsidP="00AF46FC"/>
                          <w:p w14:paraId="7B3565C2" w14:textId="77777777" w:rsidR="00AF46FC" w:rsidRDefault="00AF46FC" w:rsidP="00AF46FC"/>
                          <w:p w14:paraId="4A8DC148" w14:textId="77777777" w:rsidR="00AF46FC" w:rsidRDefault="00AF46FC" w:rsidP="00AF46FC">
                            <w:r>
                              <w:t xml:space="preserve">The cumulative total of like-for-like changes since 2019 is currently </w:t>
                            </w:r>
                            <w:r>
                              <w:rPr>
                                <w:b/>
                                <w:bCs/>
                                <w:sz w:val="32"/>
                                <w:szCs w:val="32"/>
                              </w:rPr>
                              <w:t>-12</w:t>
                            </w:r>
                            <w:r w:rsidRPr="004477C4">
                              <w:rPr>
                                <w:b/>
                                <w:bCs/>
                                <w:sz w:val="32"/>
                                <w:szCs w:val="32"/>
                              </w:rPr>
                              <w:t xml:space="preserve"> pence per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DA197A" id="Text Box 18" o:spid="_x0000_s1030" type="#_x0000_t202" style="position:absolute;left:0;text-align:left;margin-left:350pt;margin-top:25.85pt;width:131.25pt;height:2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XjOw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" fillcolor="white [3201]" strokeweight=".5pt">
                <v:textbox>
                  <w:txbxContent>
                    <w:p w14:paraId="19A21CBE" w14:textId="77777777" w:rsidR="00AF46FC" w:rsidRDefault="00AF46FC" w:rsidP="00AF46FC"/>
                    <w:p w14:paraId="7B3565C2" w14:textId="77777777" w:rsidR="00AF46FC" w:rsidRDefault="00AF46FC" w:rsidP="00AF46FC"/>
                    <w:p w14:paraId="4A8DC148" w14:textId="77777777" w:rsidR="00AF46FC" w:rsidRDefault="00AF46FC" w:rsidP="00AF46FC">
                      <w:r>
                        <w:t xml:space="preserve">The cumulative total of like-for-like changes since 2019 is currently </w:t>
                      </w:r>
                      <w:r>
                        <w:rPr>
                          <w:b/>
                          <w:bCs/>
                          <w:sz w:val="32"/>
                          <w:szCs w:val="32"/>
                        </w:rPr>
                        <w:t>-12</w:t>
                      </w:r>
                      <w:r w:rsidRPr="004477C4">
                        <w:rPr>
                          <w:b/>
                          <w:bCs/>
                          <w:sz w:val="32"/>
                          <w:szCs w:val="32"/>
                        </w:rPr>
                        <w:t xml:space="preserve"> pence per item</w:t>
                      </w:r>
                    </w:p>
                  </w:txbxContent>
                </v:textbox>
              </v:shape>
            </w:pict>
          </mc:Fallback>
        </mc:AlternateContent>
      </w:r>
    </w:p>
    <w:p w14:paraId="290B9DB6" w14:textId="77777777" w:rsidR="00AF46FC" w:rsidRDefault="00AF46FC" w:rsidP="00AF46FC">
      <w:pPr>
        <w:spacing w:before="15"/>
        <w:ind w:left="-567" w:right="-472"/>
        <w:rPr>
          <w:b/>
          <w:bCs/>
          <w:color w:val="5B518E"/>
          <w:sz w:val="28"/>
          <w:szCs w:val="28"/>
        </w:rPr>
      </w:pPr>
      <w:r>
        <w:rPr>
          <w:b/>
          <w:bCs/>
          <w:noProof/>
          <w:color w:val="5B518E"/>
          <w:sz w:val="28"/>
          <w:szCs w:val="28"/>
        </w:rPr>
        <w:drawing>
          <wp:inline distT="0" distB="0" distL="0" distR="0" wp14:anchorId="5E9C8C01" wp14:editId="36B3EA5D">
            <wp:extent cx="4610100" cy="2812345"/>
            <wp:effectExtent l="0" t="0" r="0" b="7620"/>
            <wp:docPr id="21" name="Picture 2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line chart&#10;&#10;Description automatically generated"/>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616680" cy="2816359"/>
                    </a:xfrm>
                    <a:prstGeom prst="rect">
                      <a:avLst/>
                    </a:prstGeom>
                    <a:noFill/>
                  </pic:spPr>
                </pic:pic>
              </a:graphicData>
            </a:graphic>
          </wp:inline>
        </w:drawing>
      </w:r>
    </w:p>
    <w:p w14:paraId="3DAE27C2" w14:textId="77777777" w:rsidR="00AF46FC" w:rsidRDefault="00AF46FC" w:rsidP="00AF46FC">
      <w:pPr>
        <w:rPr>
          <w:b/>
          <w:bCs/>
          <w:color w:val="5B518E"/>
          <w:sz w:val="28"/>
          <w:szCs w:val="28"/>
        </w:rPr>
      </w:pPr>
      <w:r>
        <w:rPr>
          <w:b/>
          <w:bCs/>
          <w:color w:val="5B518E"/>
          <w:sz w:val="28"/>
          <w:szCs w:val="28"/>
        </w:rPr>
        <w:br w:type="page"/>
      </w:r>
    </w:p>
    <w:p w14:paraId="5D3812BE" w14:textId="77777777" w:rsidR="00AF46FC" w:rsidRDefault="00AF46FC" w:rsidP="00AF46FC">
      <w:pPr>
        <w:spacing w:before="15"/>
        <w:ind w:right="-22" w:hanging="567"/>
        <w:jc w:val="center"/>
        <w:rPr>
          <w:noProof/>
        </w:rPr>
      </w:pPr>
    </w:p>
    <w:p w14:paraId="4B33F7FC" w14:textId="77777777" w:rsidR="00AF46FC" w:rsidRDefault="00AF46FC" w:rsidP="00AF46FC">
      <w:pPr>
        <w:pStyle w:val="Heading2"/>
        <w:rPr>
          <w:noProof/>
        </w:rPr>
      </w:pPr>
      <w:r>
        <w:rPr>
          <w:noProof/>
        </w:rPr>
        <w:t>Reimbursement</w:t>
      </w:r>
    </w:p>
    <w:p w14:paraId="23BD6D25" w14:textId="77777777" w:rsidR="00AF46FC" w:rsidRPr="00736A97" w:rsidRDefault="00AF46FC" w:rsidP="00AF46FC"/>
    <w:p w14:paraId="3510DBD0" w14:textId="77777777" w:rsidR="00AF46FC" w:rsidRDefault="00AF46FC" w:rsidP="00AF46FC">
      <w:pPr>
        <w:spacing w:before="15"/>
        <w:ind w:right="-22" w:hanging="567"/>
        <w:jc w:val="center"/>
        <w:rPr>
          <w:b/>
          <w:bCs/>
          <w:color w:val="5B518E"/>
          <w:sz w:val="28"/>
          <w:szCs w:val="28"/>
        </w:rPr>
      </w:pPr>
      <w:r w:rsidRPr="00F70780">
        <w:rPr>
          <w:noProof/>
        </w:rPr>
        <w:drawing>
          <wp:inline distT="0" distB="0" distL="0" distR="0" wp14:anchorId="2F32D01F" wp14:editId="4B670309">
            <wp:extent cx="5731510" cy="2354580"/>
            <wp:effectExtent l="0" t="0" r="254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731510" cy="2354580"/>
                    </a:xfrm>
                    <a:prstGeom prst="rect">
                      <a:avLst/>
                    </a:prstGeom>
                    <a:noFill/>
                    <a:ln>
                      <a:noFill/>
                    </a:ln>
                  </pic:spPr>
                </pic:pic>
              </a:graphicData>
            </a:graphic>
          </wp:inline>
        </w:drawing>
      </w:r>
    </w:p>
    <w:p w14:paraId="62CD9D51" w14:textId="77777777" w:rsidR="00AF46FC" w:rsidRDefault="00AF46FC" w:rsidP="00AF46FC">
      <w:pPr>
        <w:spacing w:before="15"/>
        <w:ind w:right="-22" w:hanging="567"/>
        <w:jc w:val="center"/>
        <w:rPr>
          <w:b/>
          <w:bCs/>
          <w:color w:val="5B518E"/>
          <w:sz w:val="28"/>
          <w:szCs w:val="28"/>
        </w:rPr>
      </w:pPr>
    </w:p>
    <w:p w14:paraId="051915B4" w14:textId="77777777" w:rsidR="00AF46FC" w:rsidRDefault="00AF46FC" w:rsidP="00AF46FC">
      <w:pPr>
        <w:spacing w:before="15"/>
        <w:ind w:right="-22" w:hanging="567"/>
        <w:jc w:val="center"/>
        <w:rPr>
          <w:b/>
          <w:bCs/>
          <w:color w:val="5B518E"/>
          <w:sz w:val="28"/>
          <w:szCs w:val="28"/>
        </w:rPr>
      </w:pPr>
    </w:p>
    <w:p w14:paraId="2E6255BC" w14:textId="77777777" w:rsidR="00AF46FC" w:rsidRDefault="00AF46FC" w:rsidP="00AF46FC">
      <w:pPr>
        <w:spacing w:before="15"/>
        <w:ind w:right="-22" w:hanging="567"/>
        <w:jc w:val="center"/>
        <w:rPr>
          <w:b/>
          <w:bCs/>
          <w:color w:val="5B518E"/>
          <w:sz w:val="28"/>
          <w:szCs w:val="28"/>
        </w:rPr>
      </w:pPr>
    </w:p>
    <w:p w14:paraId="0D7FE1BF" w14:textId="77777777" w:rsidR="00AF46FC" w:rsidRDefault="00AF46FC" w:rsidP="00AF46FC">
      <w:pPr>
        <w:spacing w:before="15"/>
        <w:ind w:right="-22" w:hanging="567"/>
        <w:jc w:val="center"/>
        <w:rPr>
          <w:b/>
          <w:bCs/>
          <w:color w:val="5B518E"/>
          <w:sz w:val="28"/>
          <w:szCs w:val="28"/>
        </w:rPr>
      </w:pPr>
    </w:p>
    <w:p w14:paraId="7E0404B2" w14:textId="77777777" w:rsidR="00AF46FC" w:rsidRDefault="00AF46FC" w:rsidP="00AF46FC">
      <w:pPr>
        <w:spacing w:before="15"/>
        <w:ind w:left="-284" w:right="-22"/>
        <w:rPr>
          <w:b/>
          <w:bCs/>
          <w:color w:val="5B518E"/>
          <w:sz w:val="28"/>
          <w:szCs w:val="28"/>
        </w:rPr>
      </w:pPr>
      <w:r>
        <w:rPr>
          <w:b/>
          <w:bCs/>
          <w:noProof/>
          <w:color w:val="5B518E"/>
          <w:sz w:val="28"/>
          <w:szCs w:val="28"/>
        </w:rPr>
        <mc:AlternateContent>
          <mc:Choice Requires="wps">
            <w:drawing>
              <wp:anchor distT="0" distB="0" distL="114300" distR="114300" simplePos="0" relativeHeight="251661312" behindDoc="0" locked="0" layoutInCell="1" allowOverlap="1" wp14:anchorId="49EC5EF0" wp14:editId="0C0301E5">
                <wp:simplePos x="0" y="0"/>
                <wp:positionH relativeFrom="column">
                  <wp:posOffset>4238625</wp:posOffset>
                </wp:positionH>
                <wp:positionV relativeFrom="paragraph">
                  <wp:posOffset>9525</wp:posOffset>
                </wp:positionV>
                <wp:extent cx="1666875" cy="2772000"/>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24A249DD" w14:textId="77777777" w:rsidR="00AF46FC" w:rsidRDefault="00AF46FC" w:rsidP="00AF46FC"/>
                          <w:p w14:paraId="00F86168" w14:textId="77777777" w:rsidR="00AF46FC" w:rsidRDefault="00AF46FC" w:rsidP="00AF46FC">
                            <w:r>
                              <w:t xml:space="preserve">In </w:t>
                            </w:r>
                            <w:r w:rsidRPr="00314A3D">
                              <w:rPr>
                                <w:b/>
                                <w:bCs/>
                                <w:sz w:val="32"/>
                                <w:szCs w:val="32"/>
                              </w:rPr>
                              <w:t>2</w:t>
                            </w:r>
                            <w:r>
                              <w:rPr>
                                <w:b/>
                                <w:bCs/>
                                <w:sz w:val="32"/>
                                <w:szCs w:val="32"/>
                              </w:rPr>
                              <w:t>2</w:t>
                            </w:r>
                            <w:r w:rsidRPr="00314A3D">
                              <w:rPr>
                                <w:b/>
                                <w:bCs/>
                                <w:sz w:val="32"/>
                                <w:szCs w:val="32"/>
                              </w:rPr>
                              <w:t>/2</w:t>
                            </w:r>
                            <w:r>
                              <w:rPr>
                                <w:b/>
                                <w:bCs/>
                                <w:sz w:val="32"/>
                                <w:szCs w:val="32"/>
                              </w:rPr>
                              <w:t>3</w:t>
                            </w:r>
                            <w:r w:rsidRPr="00314A3D">
                              <w:rPr>
                                <w:b/>
                                <w:bCs/>
                                <w:sz w:val="32"/>
                                <w:szCs w:val="32"/>
                              </w:rPr>
                              <w:t xml:space="preserve"> Q</w:t>
                            </w:r>
                            <w:r>
                              <w:rPr>
                                <w:b/>
                                <w:bCs/>
                                <w:sz w:val="32"/>
                                <w:szCs w:val="32"/>
                              </w:rPr>
                              <w:t>1</w:t>
                            </w:r>
                            <w:r w:rsidRPr="00314A3D">
                              <w:rPr>
                                <w:sz w:val="32"/>
                                <w:szCs w:val="32"/>
                              </w:rPr>
                              <w:t xml:space="preserve"> </w:t>
                            </w:r>
                            <w:r>
                              <w:t xml:space="preserve">the average fees per item was </w:t>
                            </w:r>
                            <w:r w:rsidRPr="00314A3D">
                              <w:rPr>
                                <w:b/>
                                <w:bCs/>
                                <w:sz w:val="32"/>
                                <w:szCs w:val="32"/>
                              </w:rPr>
                              <w:t>£1.</w:t>
                            </w:r>
                            <w:r>
                              <w:rPr>
                                <w:b/>
                                <w:bCs/>
                                <w:sz w:val="32"/>
                                <w:szCs w:val="32"/>
                              </w:rPr>
                              <w:t>61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EC5EF0" id="Text Box 20" o:spid="_x0000_s1031" type="#_x0000_t202" style="position:absolute;left:0;text-align:left;margin-left:333.75pt;margin-top:.75pt;width:131.25pt;height:2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o2Ow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" fillcolor="white [3201]" strokeweight=".5pt">
                <v:textbox>
                  <w:txbxContent>
                    <w:p w14:paraId="24A249DD" w14:textId="77777777" w:rsidR="00AF46FC" w:rsidRDefault="00AF46FC" w:rsidP="00AF46FC"/>
                    <w:p w14:paraId="00F86168" w14:textId="77777777" w:rsidR="00AF46FC" w:rsidRDefault="00AF46FC" w:rsidP="00AF46FC">
                      <w:r>
                        <w:t xml:space="preserve">In </w:t>
                      </w:r>
                      <w:r w:rsidRPr="00314A3D">
                        <w:rPr>
                          <w:b/>
                          <w:bCs/>
                          <w:sz w:val="32"/>
                          <w:szCs w:val="32"/>
                        </w:rPr>
                        <w:t>2</w:t>
                      </w:r>
                      <w:r>
                        <w:rPr>
                          <w:b/>
                          <w:bCs/>
                          <w:sz w:val="32"/>
                          <w:szCs w:val="32"/>
                        </w:rPr>
                        <w:t>2</w:t>
                      </w:r>
                      <w:r w:rsidRPr="00314A3D">
                        <w:rPr>
                          <w:b/>
                          <w:bCs/>
                          <w:sz w:val="32"/>
                          <w:szCs w:val="32"/>
                        </w:rPr>
                        <w:t>/2</w:t>
                      </w:r>
                      <w:r>
                        <w:rPr>
                          <w:b/>
                          <w:bCs/>
                          <w:sz w:val="32"/>
                          <w:szCs w:val="32"/>
                        </w:rPr>
                        <w:t>3</w:t>
                      </w:r>
                      <w:r w:rsidRPr="00314A3D">
                        <w:rPr>
                          <w:b/>
                          <w:bCs/>
                          <w:sz w:val="32"/>
                          <w:szCs w:val="32"/>
                        </w:rPr>
                        <w:t xml:space="preserve"> Q</w:t>
                      </w:r>
                      <w:r>
                        <w:rPr>
                          <w:b/>
                          <w:bCs/>
                          <w:sz w:val="32"/>
                          <w:szCs w:val="32"/>
                        </w:rPr>
                        <w:t>1</w:t>
                      </w:r>
                      <w:r w:rsidRPr="00314A3D">
                        <w:rPr>
                          <w:sz w:val="32"/>
                          <w:szCs w:val="32"/>
                        </w:rPr>
                        <w:t xml:space="preserve"> </w:t>
                      </w:r>
                      <w:r>
                        <w:t xml:space="preserve">the average fees per item was </w:t>
                      </w:r>
                      <w:r w:rsidRPr="00314A3D">
                        <w:rPr>
                          <w:b/>
                          <w:bCs/>
                          <w:sz w:val="32"/>
                          <w:szCs w:val="32"/>
                        </w:rPr>
                        <w:t>£1.</w:t>
                      </w:r>
                      <w:r>
                        <w:rPr>
                          <w:b/>
                          <w:bCs/>
                          <w:sz w:val="32"/>
                          <w:szCs w:val="32"/>
                        </w:rPr>
                        <w:t>61</w:t>
                      </w:r>
                      <w:r>
                        <w:t>.</w:t>
                      </w:r>
                    </w:p>
                  </w:txbxContent>
                </v:textbox>
              </v:shape>
            </w:pict>
          </mc:Fallback>
        </mc:AlternateContent>
      </w:r>
      <w:r>
        <w:rPr>
          <w:b/>
          <w:bCs/>
          <w:noProof/>
          <w:color w:val="5B518E"/>
          <w:sz w:val="28"/>
          <w:szCs w:val="28"/>
        </w:rPr>
        <w:drawing>
          <wp:inline distT="0" distB="0" distL="0" distR="0" wp14:anchorId="6A6C6676" wp14:editId="5BA3A684">
            <wp:extent cx="4349683" cy="2828925"/>
            <wp:effectExtent l="0" t="0" r="0" b="0"/>
            <wp:docPr id="30" name="Picture 3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bar chart&#10;&#10;Description automatically generated"/>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357347" cy="2833909"/>
                    </a:xfrm>
                    <a:prstGeom prst="rect">
                      <a:avLst/>
                    </a:prstGeom>
                    <a:noFill/>
                  </pic:spPr>
                </pic:pic>
              </a:graphicData>
            </a:graphic>
          </wp:inline>
        </w:drawing>
      </w:r>
    </w:p>
    <w:p w14:paraId="7B351639" w14:textId="77777777" w:rsidR="00AF46FC" w:rsidRDefault="00AF46FC" w:rsidP="00AF46FC">
      <w:pPr>
        <w:rPr>
          <w:b/>
          <w:bCs/>
          <w:color w:val="5B518E"/>
          <w:sz w:val="28"/>
          <w:szCs w:val="28"/>
        </w:rPr>
      </w:pPr>
      <w:r>
        <w:rPr>
          <w:b/>
          <w:bCs/>
          <w:color w:val="5B518E"/>
          <w:sz w:val="28"/>
          <w:szCs w:val="28"/>
        </w:rPr>
        <w:br w:type="page"/>
      </w:r>
    </w:p>
    <w:p w14:paraId="3EA288C3" w14:textId="77777777" w:rsidR="00AF46FC" w:rsidRDefault="00AF46FC" w:rsidP="00AF46FC">
      <w:pPr>
        <w:spacing w:before="15"/>
        <w:ind w:right="-22"/>
        <w:jc w:val="center"/>
        <w:rPr>
          <w:b/>
          <w:bCs/>
          <w:color w:val="5B518E"/>
          <w:sz w:val="28"/>
          <w:szCs w:val="28"/>
        </w:rPr>
      </w:pPr>
    </w:p>
    <w:p w14:paraId="7C6564A6" w14:textId="77777777" w:rsidR="00AF46FC" w:rsidRDefault="00AF46FC" w:rsidP="00AF46FC">
      <w:pPr>
        <w:pStyle w:val="Heading2"/>
      </w:pPr>
      <w:r>
        <w:t>Services</w:t>
      </w:r>
    </w:p>
    <w:p w14:paraId="58D31CE7" w14:textId="77777777" w:rsidR="00AF46FC" w:rsidRPr="00736A97" w:rsidRDefault="00AF46FC" w:rsidP="00AF46FC"/>
    <w:p w14:paraId="3608B9A3" w14:textId="77777777" w:rsidR="00AF46FC" w:rsidRDefault="00AF46FC" w:rsidP="00AF46FC">
      <w:pPr>
        <w:spacing w:before="15"/>
        <w:ind w:right="-22"/>
        <w:jc w:val="center"/>
        <w:rPr>
          <w:b/>
          <w:bCs/>
          <w:color w:val="5B518E"/>
          <w:sz w:val="28"/>
          <w:szCs w:val="28"/>
        </w:rPr>
      </w:pPr>
      <w:r>
        <w:rPr>
          <w:b/>
          <w:bCs/>
          <w:noProof/>
          <w:color w:val="5B518E"/>
          <w:sz w:val="28"/>
          <w:szCs w:val="28"/>
        </w:rPr>
        <w:drawing>
          <wp:inline distT="0" distB="0" distL="0" distR="0" wp14:anchorId="3037F424" wp14:editId="6D9DC8EA">
            <wp:extent cx="5614670" cy="3066415"/>
            <wp:effectExtent l="0" t="0" r="5080" b="635"/>
            <wp:docPr id="26" name="Picture 2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bar chart&#10;&#10;Description automatically generated"/>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614670" cy="3066415"/>
                    </a:xfrm>
                    <a:prstGeom prst="rect">
                      <a:avLst/>
                    </a:prstGeom>
                    <a:noFill/>
                  </pic:spPr>
                </pic:pic>
              </a:graphicData>
            </a:graphic>
          </wp:inline>
        </w:drawing>
      </w:r>
    </w:p>
    <w:p w14:paraId="07C67564" w14:textId="77777777" w:rsidR="00AF46FC" w:rsidRDefault="00AF46FC" w:rsidP="00AF46FC">
      <w:pPr>
        <w:spacing w:before="15"/>
        <w:ind w:right="-22"/>
        <w:jc w:val="center"/>
        <w:rPr>
          <w:b/>
          <w:bCs/>
          <w:color w:val="5B518E"/>
          <w:sz w:val="28"/>
          <w:szCs w:val="28"/>
        </w:rPr>
      </w:pPr>
    </w:p>
    <w:p w14:paraId="63922244" w14:textId="77777777" w:rsidR="00AF46FC" w:rsidRDefault="00AF46FC" w:rsidP="00AF46FC">
      <w:pPr>
        <w:spacing w:before="15"/>
        <w:ind w:right="-22"/>
        <w:jc w:val="center"/>
        <w:rPr>
          <w:b/>
          <w:bCs/>
          <w:color w:val="5B518E"/>
          <w:sz w:val="28"/>
          <w:szCs w:val="28"/>
        </w:rPr>
      </w:pPr>
      <w:r>
        <w:rPr>
          <w:b/>
          <w:bCs/>
          <w:noProof/>
          <w:color w:val="5B518E"/>
          <w:sz w:val="28"/>
          <w:szCs w:val="28"/>
        </w:rPr>
        <w:drawing>
          <wp:inline distT="0" distB="0" distL="0" distR="0" wp14:anchorId="5931AFEB" wp14:editId="6236AE66">
            <wp:extent cx="5114925" cy="3736975"/>
            <wp:effectExtent l="0" t="0" r="9525" b="0"/>
            <wp:docPr id="27" name="Picture 2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ar chart&#10;&#10;Description automatically generated"/>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114925" cy="3736975"/>
                    </a:xfrm>
                    <a:prstGeom prst="rect">
                      <a:avLst/>
                    </a:prstGeom>
                    <a:noFill/>
                  </pic:spPr>
                </pic:pic>
              </a:graphicData>
            </a:graphic>
          </wp:inline>
        </w:drawing>
      </w:r>
    </w:p>
    <w:p w14:paraId="78397998" w14:textId="77777777" w:rsidR="00AF46FC" w:rsidRDefault="00AF46FC" w:rsidP="00AF46FC">
      <w:pPr>
        <w:spacing w:before="15"/>
        <w:ind w:right="-22"/>
        <w:jc w:val="center"/>
        <w:rPr>
          <w:b/>
          <w:bCs/>
          <w:color w:val="5B518E"/>
          <w:sz w:val="28"/>
          <w:szCs w:val="28"/>
        </w:rPr>
      </w:pPr>
    </w:p>
    <w:p w14:paraId="4FFAB5D4" w14:textId="77777777" w:rsidR="00AF46FC" w:rsidRDefault="00AF46FC" w:rsidP="00AF46FC">
      <w:pPr>
        <w:spacing w:before="15"/>
        <w:ind w:right="-22"/>
        <w:jc w:val="center"/>
        <w:rPr>
          <w:b/>
          <w:bCs/>
          <w:color w:val="5B518E"/>
          <w:sz w:val="28"/>
          <w:szCs w:val="28"/>
        </w:rPr>
      </w:pPr>
      <w:r>
        <w:rPr>
          <w:b/>
          <w:bCs/>
          <w:noProof/>
          <w:color w:val="5B518E"/>
          <w:sz w:val="28"/>
          <w:szCs w:val="28"/>
        </w:rPr>
        <w:lastRenderedPageBreak/>
        <w:drawing>
          <wp:inline distT="0" distB="0" distL="0" distR="0" wp14:anchorId="66CD6BB3" wp14:editId="71A99A66">
            <wp:extent cx="5114925" cy="3736975"/>
            <wp:effectExtent l="0" t="0" r="9525" b="0"/>
            <wp:docPr id="28" name="Picture 2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ar chart&#10;&#10;Description automatically generated"/>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114925" cy="3736975"/>
                    </a:xfrm>
                    <a:prstGeom prst="rect">
                      <a:avLst/>
                    </a:prstGeom>
                    <a:noFill/>
                  </pic:spPr>
                </pic:pic>
              </a:graphicData>
            </a:graphic>
          </wp:inline>
        </w:drawing>
      </w:r>
    </w:p>
    <w:p w14:paraId="601E585C" w14:textId="77777777" w:rsidR="00AF46FC" w:rsidRDefault="00AF46FC" w:rsidP="00AF46FC">
      <w:pPr>
        <w:rPr>
          <w:b/>
          <w:bCs/>
          <w:color w:val="5B518E"/>
          <w:sz w:val="28"/>
          <w:szCs w:val="28"/>
        </w:rPr>
      </w:pPr>
      <w:r>
        <w:rPr>
          <w:b/>
          <w:bCs/>
          <w:color w:val="5B518E"/>
          <w:sz w:val="28"/>
          <w:szCs w:val="28"/>
        </w:rPr>
        <w:br w:type="page"/>
      </w:r>
    </w:p>
    <w:p w14:paraId="0730B32B" w14:textId="77777777" w:rsidR="00AF46FC" w:rsidRDefault="00AF46FC" w:rsidP="00AF46FC">
      <w:pPr>
        <w:spacing w:before="15"/>
        <w:ind w:right="-22"/>
        <w:jc w:val="center"/>
        <w:rPr>
          <w:b/>
          <w:bCs/>
          <w:color w:val="5B518E"/>
          <w:sz w:val="28"/>
          <w:szCs w:val="28"/>
        </w:rPr>
      </w:pPr>
      <w:r w:rsidRPr="00C218B4">
        <w:rPr>
          <w:b/>
          <w:bCs/>
          <w:color w:val="5B518E"/>
          <w:sz w:val="28"/>
          <w:szCs w:val="28"/>
        </w:rPr>
        <w:lastRenderedPageBreak/>
        <w:t>Pharmacy contract numbers</w:t>
      </w:r>
    </w:p>
    <w:p w14:paraId="725621C1" w14:textId="77777777" w:rsidR="00AF46FC" w:rsidRDefault="00AF46FC" w:rsidP="00AF46FC">
      <w:r>
        <w:t>A waterfall chart of net change in pharmacy numbers per month indicates a cumulative drop of c-628 in the total number of pharmacy contracts since the announcement of the funding cuts.</w:t>
      </w:r>
    </w:p>
    <w:p w14:paraId="6D59DE99" w14:textId="77777777" w:rsidR="00AF46FC" w:rsidRDefault="00AF46FC" w:rsidP="00AF46FC">
      <w:r>
        <w:rPr>
          <w:noProof/>
        </w:rPr>
        <w:drawing>
          <wp:inline distT="0" distB="0" distL="0" distR="0" wp14:anchorId="12953C3C" wp14:editId="023482F9">
            <wp:extent cx="6172199" cy="3190875"/>
            <wp:effectExtent l="0" t="0" r="635" b="0"/>
            <wp:docPr id="31" name="Picture 3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10;&#10;Description automatically generated"/>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189586" cy="3199864"/>
                    </a:xfrm>
                    <a:prstGeom prst="rect">
                      <a:avLst/>
                    </a:prstGeom>
                    <a:noFill/>
                  </pic:spPr>
                </pic:pic>
              </a:graphicData>
            </a:graphic>
          </wp:inline>
        </w:drawing>
      </w:r>
    </w:p>
    <w:p w14:paraId="2BBD8C98" w14:textId="77777777" w:rsidR="00AF46FC" w:rsidRDefault="00AF46FC" w:rsidP="00AF46FC"/>
    <w:p w14:paraId="21C7642F" w14:textId="77777777" w:rsidR="00AF46FC" w:rsidRPr="00C218B4" w:rsidRDefault="00AF46FC" w:rsidP="00AF46FC">
      <w:r w:rsidRPr="00C218B4">
        <w:t>A long view of pharmacy contract numbers demonstrates steady growth since the introduction of the new contract in 2005, followed by a reversal from early 2018 onwards.</w:t>
      </w:r>
    </w:p>
    <w:p w14:paraId="795B250E" w14:textId="77777777" w:rsidR="00AF46FC" w:rsidRDefault="00AF46FC" w:rsidP="00AF46FC">
      <w:pPr>
        <w:jc w:val="center"/>
      </w:pPr>
      <w:r>
        <w:rPr>
          <w:noProof/>
        </w:rPr>
        <w:drawing>
          <wp:inline distT="0" distB="0" distL="0" distR="0" wp14:anchorId="33912E46" wp14:editId="63A90687">
            <wp:extent cx="6119105" cy="3162300"/>
            <wp:effectExtent l="0" t="0" r="0" b="0"/>
            <wp:docPr id="32" name="Picture 3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screenshot of a computer&#10;&#10;Description automatically generated with medium confidence"/>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125958" cy="3165842"/>
                    </a:xfrm>
                    <a:prstGeom prst="rect">
                      <a:avLst/>
                    </a:prstGeom>
                    <a:noFill/>
                  </pic:spPr>
                </pic:pic>
              </a:graphicData>
            </a:graphic>
          </wp:inline>
        </w:drawing>
      </w:r>
    </w:p>
    <w:p w14:paraId="38A97CF4" w14:textId="77777777" w:rsidR="00AF46FC" w:rsidRDefault="00AF46FC" w:rsidP="00AF46FC">
      <w:pPr>
        <w:jc w:val="center"/>
      </w:pPr>
    </w:p>
    <w:p w14:paraId="297B8241" w14:textId="77777777" w:rsidR="004E3620" w:rsidRPr="008D6F1B" w:rsidRDefault="004E3620" w:rsidP="004E3620">
      <w:pPr>
        <w:pStyle w:val="paragraph"/>
        <w:spacing w:before="0" w:beforeAutospacing="0" w:after="0" w:afterAutospacing="0"/>
        <w:textAlignment w:val="baseline"/>
        <w:rPr>
          <w:rStyle w:val="eop"/>
          <w:sz w:val="22"/>
          <w:szCs w:val="22"/>
        </w:rPr>
      </w:pPr>
    </w:p>
    <w:sectPr w:rsidR="004E3620" w:rsidRPr="008D6F1B" w:rsidSect="008D6F1B">
      <w:headerReference w:type="default" r:id="rId132"/>
      <w:footerReference w:type="default" r:id="rId1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7C10" w14:textId="77777777" w:rsidR="00B24E61" w:rsidRDefault="00B24E61">
      <w:pPr>
        <w:spacing w:after="0" w:line="240" w:lineRule="auto"/>
      </w:pPr>
      <w:r>
        <w:separator/>
      </w:r>
    </w:p>
  </w:endnote>
  <w:endnote w:type="continuationSeparator" w:id="0">
    <w:p w14:paraId="4D6374A0" w14:textId="77777777" w:rsidR="00B24E61" w:rsidRDefault="00B24E61">
      <w:pPr>
        <w:spacing w:after="0" w:line="240" w:lineRule="auto"/>
      </w:pPr>
      <w:r>
        <w:continuationSeparator/>
      </w:r>
    </w:p>
  </w:endnote>
  <w:endnote w:type="continuationNotice" w:id="1">
    <w:p w14:paraId="2914C21F" w14:textId="77777777" w:rsidR="00B24E61" w:rsidRDefault="00B24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Gothic"/>
    <w:charset w:val="80"/>
    <w:family w:val="roman"/>
    <w:pitch w:val="variable"/>
    <w:sig w:usb0="800002E7" w:usb1="2AC7FCFF" w:usb2="00000012" w:usb3="00000000" w:csb0="0002009F" w:csb1="00000000"/>
  </w:font>
  <w:font w:name="Ubuntu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9316"/>
      <w:docPartObj>
        <w:docPartGallery w:val="Page Numbers (Bottom of Page)"/>
        <w:docPartUnique/>
      </w:docPartObj>
    </w:sdtPr>
    <w:sdtEndPr>
      <w:rPr>
        <w:noProof/>
      </w:rPr>
    </w:sdtEndPr>
    <w:sdtContent>
      <w:p w14:paraId="0B5EE451" w14:textId="2C2AB691" w:rsidR="009C55C9" w:rsidRDefault="009C55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09614" w14:textId="60A9790F" w:rsidR="52CB99FF" w:rsidRDefault="52CB99FF" w:rsidP="52CB9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BF28" w14:textId="77777777" w:rsidR="00B24E61" w:rsidRDefault="00B24E61">
      <w:pPr>
        <w:spacing w:after="0" w:line="240" w:lineRule="auto"/>
      </w:pPr>
      <w:r>
        <w:separator/>
      </w:r>
    </w:p>
  </w:footnote>
  <w:footnote w:type="continuationSeparator" w:id="0">
    <w:p w14:paraId="12905096" w14:textId="77777777" w:rsidR="00B24E61" w:rsidRDefault="00B24E61">
      <w:pPr>
        <w:spacing w:after="0" w:line="240" w:lineRule="auto"/>
      </w:pPr>
      <w:r>
        <w:continuationSeparator/>
      </w:r>
    </w:p>
  </w:footnote>
  <w:footnote w:type="continuationNotice" w:id="1">
    <w:p w14:paraId="7E9B9E0A" w14:textId="77777777" w:rsidR="00B24E61" w:rsidRDefault="00B24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1965"/>
      <w:gridCol w:w="4005"/>
    </w:tblGrid>
    <w:tr w:rsidR="52CB99FF" w14:paraId="783D4D91" w14:textId="77777777" w:rsidTr="06EF27C7">
      <w:tc>
        <w:tcPr>
          <w:tcW w:w="3005" w:type="dxa"/>
        </w:tcPr>
        <w:p w14:paraId="51F5E2CA" w14:textId="64843D9A" w:rsidR="52CB99FF" w:rsidRDefault="52CB99FF" w:rsidP="52CB99FF">
          <w:pPr>
            <w:pStyle w:val="Header"/>
            <w:ind w:left="-115"/>
          </w:pPr>
        </w:p>
      </w:tc>
      <w:tc>
        <w:tcPr>
          <w:tcW w:w="1965" w:type="dxa"/>
        </w:tcPr>
        <w:p w14:paraId="7B6EE15E" w14:textId="418ED714" w:rsidR="52CB99FF" w:rsidRDefault="52CB99FF" w:rsidP="52CB99FF">
          <w:pPr>
            <w:pStyle w:val="Header"/>
            <w:jc w:val="center"/>
          </w:pPr>
        </w:p>
      </w:tc>
      <w:tc>
        <w:tcPr>
          <w:tcW w:w="4005" w:type="dxa"/>
        </w:tcPr>
        <w:p w14:paraId="49B88C5D" w14:textId="18C1B0F3" w:rsidR="52CB99FF" w:rsidRDefault="52CB99FF" w:rsidP="52CB99FF">
          <w:pPr>
            <w:pStyle w:val="Header"/>
            <w:ind w:right="-115"/>
            <w:jc w:val="right"/>
          </w:pPr>
        </w:p>
      </w:tc>
    </w:tr>
  </w:tbl>
  <w:p w14:paraId="5B166179" w14:textId="54BD195E" w:rsidR="52CB99FF" w:rsidRDefault="52CB99FF" w:rsidP="52CB9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501"/>
    <w:multiLevelType w:val="hybridMultilevel"/>
    <w:tmpl w:val="FFFFFFFF"/>
    <w:lvl w:ilvl="0" w:tplc="9C5C03D8">
      <w:start w:val="1"/>
      <w:numFmt w:val="bullet"/>
      <w:lvlText w:val=""/>
      <w:lvlJc w:val="left"/>
      <w:pPr>
        <w:ind w:left="720" w:hanging="360"/>
      </w:pPr>
      <w:rPr>
        <w:rFonts w:ascii="Symbol" w:hAnsi="Symbol" w:hint="default"/>
      </w:rPr>
    </w:lvl>
    <w:lvl w:ilvl="1" w:tplc="EDF0A5A0">
      <w:start w:val="1"/>
      <w:numFmt w:val="bullet"/>
      <w:lvlText w:val="o"/>
      <w:lvlJc w:val="left"/>
      <w:pPr>
        <w:ind w:left="1440" w:hanging="360"/>
      </w:pPr>
      <w:rPr>
        <w:rFonts w:ascii="Courier New" w:hAnsi="Courier New" w:hint="default"/>
      </w:rPr>
    </w:lvl>
    <w:lvl w:ilvl="2" w:tplc="821C11B2">
      <w:start w:val="1"/>
      <w:numFmt w:val="bullet"/>
      <w:lvlText w:val=""/>
      <w:lvlJc w:val="left"/>
      <w:pPr>
        <w:ind w:left="2160" w:hanging="360"/>
      </w:pPr>
      <w:rPr>
        <w:rFonts w:ascii="Wingdings" w:hAnsi="Wingdings" w:hint="default"/>
      </w:rPr>
    </w:lvl>
    <w:lvl w:ilvl="3" w:tplc="3912D088">
      <w:start w:val="1"/>
      <w:numFmt w:val="bullet"/>
      <w:lvlText w:val=""/>
      <w:lvlJc w:val="left"/>
      <w:pPr>
        <w:ind w:left="2880" w:hanging="360"/>
      </w:pPr>
      <w:rPr>
        <w:rFonts w:ascii="Symbol" w:hAnsi="Symbol" w:hint="default"/>
      </w:rPr>
    </w:lvl>
    <w:lvl w:ilvl="4" w:tplc="916EA998">
      <w:start w:val="1"/>
      <w:numFmt w:val="bullet"/>
      <w:lvlText w:val="o"/>
      <w:lvlJc w:val="left"/>
      <w:pPr>
        <w:ind w:left="3600" w:hanging="360"/>
      </w:pPr>
      <w:rPr>
        <w:rFonts w:ascii="Courier New" w:hAnsi="Courier New" w:hint="default"/>
      </w:rPr>
    </w:lvl>
    <w:lvl w:ilvl="5" w:tplc="A6BA99A6">
      <w:start w:val="1"/>
      <w:numFmt w:val="bullet"/>
      <w:lvlText w:val=""/>
      <w:lvlJc w:val="left"/>
      <w:pPr>
        <w:ind w:left="4320" w:hanging="360"/>
      </w:pPr>
      <w:rPr>
        <w:rFonts w:ascii="Wingdings" w:hAnsi="Wingdings" w:hint="default"/>
      </w:rPr>
    </w:lvl>
    <w:lvl w:ilvl="6" w:tplc="11B6E56A">
      <w:start w:val="1"/>
      <w:numFmt w:val="bullet"/>
      <w:lvlText w:val=""/>
      <w:lvlJc w:val="left"/>
      <w:pPr>
        <w:ind w:left="5040" w:hanging="360"/>
      </w:pPr>
      <w:rPr>
        <w:rFonts w:ascii="Symbol" w:hAnsi="Symbol" w:hint="default"/>
      </w:rPr>
    </w:lvl>
    <w:lvl w:ilvl="7" w:tplc="D786EC24">
      <w:start w:val="1"/>
      <w:numFmt w:val="bullet"/>
      <w:lvlText w:val="o"/>
      <w:lvlJc w:val="left"/>
      <w:pPr>
        <w:ind w:left="5760" w:hanging="360"/>
      </w:pPr>
      <w:rPr>
        <w:rFonts w:ascii="Courier New" w:hAnsi="Courier New" w:hint="default"/>
      </w:rPr>
    </w:lvl>
    <w:lvl w:ilvl="8" w:tplc="AE4E54E0">
      <w:start w:val="1"/>
      <w:numFmt w:val="bullet"/>
      <w:lvlText w:val=""/>
      <w:lvlJc w:val="left"/>
      <w:pPr>
        <w:ind w:left="6480" w:hanging="360"/>
      </w:pPr>
      <w:rPr>
        <w:rFonts w:ascii="Wingdings" w:hAnsi="Wingdings" w:hint="default"/>
      </w:rPr>
    </w:lvl>
  </w:abstractNum>
  <w:abstractNum w:abstractNumId="1" w15:restartNumberingAfterBreak="0">
    <w:nsid w:val="0B573975"/>
    <w:multiLevelType w:val="multilevel"/>
    <w:tmpl w:val="0546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62A36"/>
    <w:multiLevelType w:val="hybridMultilevel"/>
    <w:tmpl w:val="142C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653E2"/>
    <w:multiLevelType w:val="hybridMultilevel"/>
    <w:tmpl w:val="2FA2D7E8"/>
    <w:lvl w:ilvl="0" w:tplc="7BEEC498">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F4321"/>
    <w:multiLevelType w:val="hybridMultilevel"/>
    <w:tmpl w:val="1660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C97D1"/>
    <w:multiLevelType w:val="hybridMultilevel"/>
    <w:tmpl w:val="FFFFFFFF"/>
    <w:lvl w:ilvl="0" w:tplc="1C369ADE">
      <w:start w:val="1"/>
      <w:numFmt w:val="bullet"/>
      <w:lvlText w:val=""/>
      <w:lvlJc w:val="left"/>
      <w:pPr>
        <w:ind w:left="720" w:hanging="360"/>
      </w:pPr>
      <w:rPr>
        <w:rFonts w:ascii="Symbol" w:hAnsi="Symbol" w:hint="default"/>
      </w:rPr>
    </w:lvl>
    <w:lvl w:ilvl="1" w:tplc="C8DE83FA">
      <w:start w:val="1"/>
      <w:numFmt w:val="bullet"/>
      <w:lvlText w:val="o"/>
      <w:lvlJc w:val="left"/>
      <w:pPr>
        <w:ind w:left="1440" w:hanging="360"/>
      </w:pPr>
      <w:rPr>
        <w:rFonts w:ascii="Courier New" w:hAnsi="Courier New" w:hint="default"/>
      </w:rPr>
    </w:lvl>
    <w:lvl w:ilvl="2" w:tplc="B44C4672">
      <w:start w:val="1"/>
      <w:numFmt w:val="bullet"/>
      <w:lvlText w:val=""/>
      <w:lvlJc w:val="left"/>
      <w:pPr>
        <w:ind w:left="2160" w:hanging="360"/>
      </w:pPr>
      <w:rPr>
        <w:rFonts w:ascii="Wingdings" w:hAnsi="Wingdings" w:hint="default"/>
      </w:rPr>
    </w:lvl>
    <w:lvl w:ilvl="3" w:tplc="1A2C9068">
      <w:start w:val="1"/>
      <w:numFmt w:val="bullet"/>
      <w:lvlText w:val=""/>
      <w:lvlJc w:val="left"/>
      <w:pPr>
        <w:ind w:left="2880" w:hanging="360"/>
      </w:pPr>
      <w:rPr>
        <w:rFonts w:ascii="Symbol" w:hAnsi="Symbol" w:hint="default"/>
      </w:rPr>
    </w:lvl>
    <w:lvl w:ilvl="4" w:tplc="922AF464">
      <w:start w:val="1"/>
      <w:numFmt w:val="bullet"/>
      <w:lvlText w:val="o"/>
      <w:lvlJc w:val="left"/>
      <w:pPr>
        <w:ind w:left="3600" w:hanging="360"/>
      </w:pPr>
      <w:rPr>
        <w:rFonts w:ascii="Courier New" w:hAnsi="Courier New" w:hint="default"/>
      </w:rPr>
    </w:lvl>
    <w:lvl w:ilvl="5" w:tplc="31085620">
      <w:start w:val="1"/>
      <w:numFmt w:val="bullet"/>
      <w:lvlText w:val=""/>
      <w:lvlJc w:val="left"/>
      <w:pPr>
        <w:ind w:left="4320" w:hanging="360"/>
      </w:pPr>
      <w:rPr>
        <w:rFonts w:ascii="Wingdings" w:hAnsi="Wingdings" w:hint="default"/>
      </w:rPr>
    </w:lvl>
    <w:lvl w:ilvl="6" w:tplc="7B04EEBA">
      <w:start w:val="1"/>
      <w:numFmt w:val="bullet"/>
      <w:lvlText w:val=""/>
      <w:lvlJc w:val="left"/>
      <w:pPr>
        <w:ind w:left="5040" w:hanging="360"/>
      </w:pPr>
      <w:rPr>
        <w:rFonts w:ascii="Symbol" w:hAnsi="Symbol" w:hint="default"/>
      </w:rPr>
    </w:lvl>
    <w:lvl w:ilvl="7" w:tplc="1C5A2CDA">
      <w:start w:val="1"/>
      <w:numFmt w:val="bullet"/>
      <w:lvlText w:val="o"/>
      <w:lvlJc w:val="left"/>
      <w:pPr>
        <w:ind w:left="5760" w:hanging="360"/>
      </w:pPr>
      <w:rPr>
        <w:rFonts w:ascii="Courier New" w:hAnsi="Courier New" w:hint="default"/>
      </w:rPr>
    </w:lvl>
    <w:lvl w:ilvl="8" w:tplc="F26839BC">
      <w:start w:val="1"/>
      <w:numFmt w:val="bullet"/>
      <w:lvlText w:val=""/>
      <w:lvlJc w:val="left"/>
      <w:pPr>
        <w:ind w:left="6480" w:hanging="360"/>
      </w:pPr>
      <w:rPr>
        <w:rFonts w:ascii="Wingdings" w:hAnsi="Wingdings" w:hint="default"/>
      </w:rPr>
    </w:lvl>
  </w:abstractNum>
  <w:abstractNum w:abstractNumId="6" w15:restartNumberingAfterBreak="0">
    <w:nsid w:val="1A380D5A"/>
    <w:multiLevelType w:val="hybridMultilevel"/>
    <w:tmpl w:val="1F2648C2"/>
    <w:lvl w:ilvl="0" w:tplc="08090019">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1CB9245D"/>
    <w:multiLevelType w:val="hybridMultilevel"/>
    <w:tmpl w:val="75AA7BEC"/>
    <w:lvl w:ilvl="0" w:tplc="6C56A7DA">
      <w:start w:val="1"/>
      <w:numFmt w:val="bullet"/>
      <w:lvlText w:val=""/>
      <w:lvlJc w:val="left"/>
      <w:pPr>
        <w:tabs>
          <w:tab w:val="num" w:pos="720"/>
        </w:tabs>
        <w:ind w:left="720" w:hanging="360"/>
      </w:pPr>
      <w:rPr>
        <w:rFonts w:ascii="Symbol" w:hAnsi="Symbol" w:hint="default"/>
        <w:sz w:val="20"/>
      </w:rPr>
    </w:lvl>
    <w:lvl w:ilvl="1" w:tplc="F2D0A758" w:tentative="1">
      <w:start w:val="1"/>
      <w:numFmt w:val="bullet"/>
      <w:lvlText w:val="o"/>
      <w:lvlJc w:val="left"/>
      <w:pPr>
        <w:tabs>
          <w:tab w:val="num" w:pos="1440"/>
        </w:tabs>
        <w:ind w:left="1440" w:hanging="360"/>
      </w:pPr>
      <w:rPr>
        <w:rFonts w:ascii="Courier New" w:hAnsi="Courier New" w:hint="default"/>
        <w:sz w:val="20"/>
      </w:rPr>
    </w:lvl>
    <w:lvl w:ilvl="2" w:tplc="74067680" w:tentative="1">
      <w:start w:val="1"/>
      <w:numFmt w:val="bullet"/>
      <w:lvlText w:val=""/>
      <w:lvlJc w:val="left"/>
      <w:pPr>
        <w:tabs>
          <w:tab w:val="num" w:pos="2160"/>
        </w:tabs>
        <w:ind w:left="2160" w:hanging="360"/>
      </w:pPr>
      <w:rPr>
        <w:rFonts w:ascii="Wingdings" w:hAnsi="Wingdings" w:hint="default"/>
        <w:sz w:val="20"/>
      </w:rPr>
    </w:lvl>
    <w:lvl w:ilvl="3" w:tplc="8A707DF2" w:tentative="1">
      <w:start w:val="1"/>
      <w:numFmt w:val="bullet"/>
      <w:lvlText w:val=""/>
      <w:lvlJc w:val="left"/>
      <w:pPr>
        <w:tabs>
          <w:tab w:val="num" w:pos="2880"/>
        </w:tabs>
        <w:ind w:left="2880" w:hanging="360"/>
      </w:pPr>
      <w:rPr>
        <w:rFonts w:ascii="Wingdings" w:hAnsi="Wingdings" w:hint="default"/>
        <w:sz w:val="20"/>
      </w:rPr>
    </w:lvl>
    <w:lvl w:ilvl="4" w:tplc="1BCE2C38" w:tentative="1">
      <w:start w:val="1"/>
      <w:numFmt w:val="bullet"/>
      <w:lvlText w:val=""/>
      <w:lvlJc w:val="left"/>
      <w:pPr>
        <w:tabs>
          <w:tab w:val="num" w:pos="3600"/>
        </w:tabs>
        <w:ind w:left="3600" w:hanging="360"/>
      </w:pPr>
      <w:rPr>
        <w:rFonts w:ascii="Wingdings" w:hAnsi="Wingdings" w:hint="default"/>
        <w:sz w:val="20"/>
      </w:rPr>
    </w:lvl>
    <w:lvl w:ilvl="5" w:tplc="A7D8ADDC" w:tentative="1">
      <w:start w:val="1"/>
      <w:numFmt w:val="bullet"/>
      <w:lvlText w:val=""/>
      <w:lvlJc w:val="left"/>
      <w:pPr>
        <w:tabs>
          <w:tab w:val="num" w:pos="4320"/>
        </w:tabs>
        <w:ind w:left="4320" w:hanging="360"/>
      </w:pPr>
      <w:rPr>
        <w:rFonts w:ascii="Wingdings" w:hAnsi="Wingdings" w:hint="default"/>
        <w:sz w:val="20"/>
      </w:rPr>
    </w:lvl>
    <w:lvl w:ilvl="6" w:tplc="8104EF1C" w:tentative="1">
      <w:start w:val="1"/>
      <w:numFmt w:val="bullet"/>
      <w:lvlText w:val=""/>
      <w:lvlJc w:val="left"/>
      <w:pPr>
        <w:tabs>
          <w:tab w:val="num" w:pos="5040"/>
        </w:tabs>
        <w:ind w:left="5040" w:hanging="360"/>
      </w:pPr>
      <w:rPr>
        <w:rFonts w:ascii="Wingdings" w:hAnsi="Wingdings" w:hint="default"/>
        <w:sz w:val="20"/>
      </w:rPr>
    </w:lvl>
    <w:lvl w:ilvl="7" w:tplc="BD96D0AC" w:tentative="1">
      <w:start w:val="1"/>
      <w:numFmt w:val="bullet"/>
      <w:lvlText w:val=""/>
      <w:lvlJc w:val="left"/>
      <w:pPr>
        <w:tabs>
          <w:tab w:val="num" w:pos="5760"/>
        </w:tabs>
        <w:ind w:left="5760" w:hanging="360"/>
      </w:pPr>
      <w:rPr>
        <w:rFonts w:ascii="Wingdings" w:hAnsi="Wingdings" w:hint="default"/>
        <w:sz w:val="20"/>
      </w:rPr>
    </w:lvl>
    <w:lvl w:ilvl="8" w:tplc="DFA09CA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0768E"/>
    <w:multiLevelType w:val="hybridMultilevel"/>
    <w:tmpl w:val="2A88E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6016E"/>
    <w:multiLevelType w:val="multilevel"/>
    <w:tmpl w:val="30B8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23945"/>
    <w:multiLevelType w:val="hybridMultilevel"/>
    <w:tmpl w:val="AF9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1E333"/>
    <w:multiLevelType w:val="hybridMultilevel"/>
    <w:tmpl w:val="6E845C48"/>
    <w:lvl w:ilvl="0" w:tplc="A89A9EE6">
      <w:start w:val="1"/>
      <w:numFmt w:val="lowerRoman"/>
      <w:lvlText w:val="%1."/>
      <w:lvlJc w:val="left"/>
      <w:pPr>
        <w:ind w:left="720" w:hanging="360"/>
      </w:pPr>
    </w:lvl>
    <w:lvl w:ilvl="1" w:tplc="6D804876">
      <w:start w:val="1"/>
      <w:numFmt w:val="lowerLetter"/>
      <w:lvlText w:val="%2."/>
      <w:lvlJc w:val="left"/>
      <w:pPr>
        <w:ind w:left="1440" w:hanging="360"/>
      </w:pPr>
    </w:lvl>
    <w:lvl w:ilvl="2" w:tplc="3B965F0A">
      <w:start w:val="1"/>
      <w:numFmt w:val="lowerRoman"/>
      <w:lvlText w:val="%3."/>
      <w:lvlJc w:val="right"/>
      <w:pPr>
        <w:ind w:left="2160" w:hanging="180"/>
      </w:pPr>
    </w:lvl>
    <w:lvl w:ilvl="3" w:tplc="62A8659A">
      <w:start w:val="1"/>
      <w:numFmt w:val="decimal"/>
      <w:lvlText w:val="%4."/>
      <w:lvlJc w:val="left"/>
      <w:pPr>
        <w:ind w:left="2880" w:hanging="360"/>
      </w:pPr>
    </w:lvl>
    <w:lvl w:ilvl="4" w:tplc="30825342">
      <w:start w:val="1"/>
      <w:numFmt w:val="lowerLetter"/>
      <w:lvlText w:val="%5."/>
      <w:lvlJc w:val="left"/>
      <w:pPr>
        <w:ind w:left="3600" w:hanging="360"/>
      </w:pPr>
    </w:lvl>
    <w:lvl w:ilvl="5" w:tplc="5E207DE6">
      <w:start w:val="1"/>
      <w:numFmt w:val="lowerRoman"/>
      <w:lvlText w:val="%6."/>
      <w:lvlJc w:val="right"/>
      <w:pPr>
        <w:ind w:left="4320" w:hanging="180"/>
      </w:pPr>
    </w:lvl>
    <w:lvl w:ilvl="6" w:tplc="671C128A">
      <w:start w:val="1"/>
      <w:numFmt w:val="decimal"/>
      <w:lvlText w:val="%7."/>
      <w:lvlJc w:val="left"/>
      <w:pPr>
        <w:ind w:left="5040" w:hanging="360"/>
      </w:pPr>
    </w:lvl>
    <w:lvl w:ilvl="7" w:tplc="828EE18A">
      <w:start w:val="1"/>
      <w:numFmt w:val="lowerLetter"/>
      <w:lvlText w:val="%8."/>
      <w:lvlJc w:val="left"/>
      <w:pPr>
        <w:ind w:left="5760" w:hanging="360"/>
      </w:pPr>
    </w:lvl>
    <w:lvl w:ilvl="8" w:tplc="12F8F580">
      <w:start w:val="1"/>
      <w:numFmt w:val="lowerRoman"/>
      <w:lvlText w:val="%9."/>
      <w:lvlJc w:val="right"/>
      <w:pPr>
        <w:ind w:left="6480" w:hanging="180"/>
      </w:pPr>
    </w:lvl>
  </w:abstractNum>
  <w:abstractNum w:abstractNumId="12" w15:restartNumberingAfterBreak="0">
    <w:nsid w:val="2F3C41E4"/>
    <w:multiLevelType w:val="hybridMultilevel"/>
    <w:tmpl w:val="43DC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2408D1"/>
    <w:multiLevelType w:val="multilevel"/>
    <w:tmpl w:val="B40A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8E76B"/>
    <w:multiLevelType w:val="hybridMultilevel"/>
    <w:tmpl w:val="CA8E4480"/>
    <w:lvl w:ilvl="0" w:tplc="0088CFE8">
      <w:start w:val="1"/>
      <w:numFmt w:val="bullet"/>
      <w:lvlText w:val=""/>
      <w:lvlJc w:val="left"/>
      <w:pPr>
        <w:ind w:left="720" w:hanging="360"/>
      </w:pPr>
      <w:rPr>
        <w:rFonts w:ascii="Symbol" w:hAnsi="Symbol" w:hint="default"/>
      </w:rPr>
    </w:lvl>
    <w:lvl w:ilvl="1" w:tplc="9656CA7C">
      <w:start w:val="1"/>
      <w:numFmt w:val="bullet"/>
      <w:lvlText w:val="o"/>
      <w:lvlJc w:val="left"/>
      <w:pPr>
        <w:ind w:left="1440" w:hanging="360"/>
      </w:pPr>
      <w:rPr>
        <w:rFonts w:ascii="Courier New" w:hAnsi="Courier New" w:hint="default"/>
      </w:rPr>
    </w:lvl>
    <w:lvl w:ilvl="2" w:tplc="79AC2388">
      <w:start w:val="1"/>
      <w:numFmt w:val="bullet"/>
      <w:lvlText w:val=""/>
      <w:lvlJc w:val="left"/>
      <w:pPr>
        <w:ind w:left="2160" w:hanging="360"/>
      </w:pPr>
      <w:rPr>
        <w:rFonts w:ascii="Wingdings" w:hAnsi="Wingdings" w:hint="default"/>
      </w:rPr>
    </w:lvl>
    <w:lvl w:ilvl="3" w:tplc="7DB2A314">
      <w:start w:val="1"/>
      <w:numFmt w:val="bullet"/>
      <w:lvlText w:val=""/>
      <w:lvlJc w:val="left"/>
      <w:pPr>
        <w:ind w:left="2880" w:hanging="360"/>
      </w:pPr>
      <w:rPr>
        <w:rFonts w:ascii="Symbol" w:hAnsi="Symbol" w:hint="default"/>
      </w:rPr>
    </w:lvl>
    <w:lvl w:ilvl="4" w:tplc="E9F053E4">
      <w:start w:val="1"/>
      <w:numFmt w:val="bullet"/>
      <w:lvlText w:val="o"/>
      <w:lvlJc w:val="left"/>
      <w:pPr>
        <w:ind w:left="3600" w:hanging="360"/>
      </w:pPr>
      <w:rPr>
        <w:rFonts w:ascii="Courier New" w:hAnsi="Courier New" w:hint="default"/>
      </w:rPr>
    </w:lvl>
    <w:lvl w:ilvl="5" w:tplc="B02C34B4">
      <w:start w:val="1"/>
      <w:numFmt w:val="bullet"/>
      <w:lvlText w:val=""/>
      <w:lvlJc w:val="left"/>
      <w:pPr>
        <w:ind w:left="4320" w:hanging="360"/>
      </w:pPr>
      <w:rPr>
        <w:rFonts w:ascii="Wingdings" w:hAnsi="Wingdings" w:hint="default"/>
      </w:rPr>
    </w:lvl>
    <w:lvl w:ilvl="6" w:tplc="5422F890">
      <w:start w:val="1"/>
      <w:numFmt w:val="bullet"/>
      <w:lvlText w:val=""/>
      <w:lvlJc w:val="left"/>
      <w:pPr>
        <w:ind w:left="5040" w:hanging="360"/>
      </w:pPr>
      <w:rPr>
        <w:rFonts w:ascii="Symbol" w:hAnsi="Symbol" w:hint="default"/>
      </w:rPr>
    </w:lvl>
    <w:lvl w:ilvl="7" w:tplc="385A62FA">
      <w:start w:val="1"/>
      <w:numFmt w:val="bullet"/>
      <w:lvlText w:val="o"/>
      <w:lvlJc w:val="left"/>
      <w:pPr>
        <w:ind w:left="5760" w:hanging="360"/>
      </w:pPr>
      <w:rPr>
        <w:rFonts w:ascii="Courier New" w:hAnsi="Courier New" w:hint="default"/>
      </w:rPr>
    </w:lvl>
    <w:lvl w:ilvl="8" w:tplc="7B2A6092">
      <w:start w:val="1"/>
      <w:numFmt w:val="bullet"/>
      <w:lvlText w:val=""/>
      <w:lvlJc w:val="left"/>
      <w:pPr>
        <w:ind w:left="6480" w:hanging="360"/>
      </w:pPr>
      <w:rPr>
        <w:rFonts w:ascii="Wingdings" w:hAnsi="Wingdings" w:hint="default"/>
      </w:rPr>
    </w:lvl>
  </w:abstractNum>
  <w:abstractNum w:abstractNumId="15" w15:restartNumberingAfterBreak="0">
    <w:nsid w:val="5D4449E4"/>
    <w:multiLevelType w:val="hybridMultilevel"/>
    <w:tmpl w:val="0A44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46836"/>
    <w:multiLevelType w:val="multilevel"/>
    <w:tmpl w:val="3C4A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80AF1"/>
    <w:multiLevelType w:val="multilevel"/>
    <w:tmpl w:val="D124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811F06"/>
    <w:multiLevelType w:val="hybridMultilevel"/>
    <w:tmpl w:val="86025BA2"/>
    <w:styleLink w:val="ImportedStyle2"/>
    <w:lvl w:ilvl="0" w:tplc="BECC10A0">
      <w:start w:val="1"/>
      <w:numFmt w:val="bullet"/>
      <w:lvlText w:val="o"/>
      <w:lvlJc w:val="left"/>
      <w:pPr>
        <w:ind w:left="720" w:hanging="360"/>
      </w:pPr>
      <w:rPr>
        <w:rFonts w:ascii="Courier New" w:hAnsi="Courier New" w:hint="default"/>
      </w:rPr>
    </w:lvl>
    <w:lvl w:ilvl="1" w:tplc="2D964586">
      <w:start w:val="1"/>
      <w:numFmt w:val="bullet"/>
      <w:lvlText w:val="o"/>
      <w:lvlJc w:val="left"/>
      <w:pPr>
        <w:ind w:left="1440" w:hanging="360"/>
      </w:pPr>
      <w:rPr>
        <w:rFonts w:ascii="Courier New" w:hAnsi="Courier New" w:hint="default"/>
      </w:rPr>
    </w:lvl>
    <w:lvl w:ilvl="2" w:tplc="B2EA4AB0">
      <w:start w:val="1"/>
      <w:numFmt w:val="bullet"/>
      <w:lvlText w:val=""/>
      <w:lvlJc w:val="left"/>
      <w:pPr>
        <w:ind w:left="2160" w:hanging="360"/>
      </w:pPr>
      <w:rPr>
        <w:rFonts w:ascii="Wingdings" w:hAnsi="Wingdings" w:hint="default"/>
      </w:rPr>
    </w:lvl>
    <w:lvl w:ilvl="3" w:tplc="90BC0C28">
      <w:start w:val="1"/>
      <w:numFmt w:val="bullet"/>
      <w:lvlText w:val=""/>
      <w:lvlJc w:val="left"/>
      <w:pPr>
        <w:ind w:left="2880" w:hanging="360"/>
      </w:pPr>
      <w:rPr>
        <w:rFonts w:ascii="Symbol" w:hAnsi="Symbol" w:hint="default"/>
      </w:rPr>
    </w:lvl>
    <w:lvl w:ilvl="4" w:tplc="A1B2CAB0">
      <w:start w:val="1"/>
      <w:numFmt w:val="bullet"/>
      <w:lvlText w:val="o"/>
      <w:lvlJc w:val="left"/>
      <w:pPr>
        <w:ind w:left="3600" w:hanging="360"/>
      </w:pPr>
      <w:rPr>
        <w:rFonts w:ascii="Courier New" w:hAnsi="Courier New" w:hint="default"/>
      </w:rPr>
    </w:lvl>
    <w:lvl w:ilvl="5" w:tplc="3BD602DA">
      <w:start w:val="1"/>
      <w:numFmt w:val="bullet"/>
      <w:lvlText w:val=""/>
      <w:lvlJc w:val="left"/>
      <w:pPr>
        <w:ind w:left="4320" w:hanging="360"/>
      </w:pPr>
      <w:rPr>
        <w:rFonts w:ascii="Wingdings" w:hAnsi="Wingdings" w:hint="default"/>
      </w:rPr>
    </w:lvl>
    <w:lvl w:ilvl="6" w:tplc="D2303B36">
      <w:start w:val="1"/>
      <w:numFmt w:val="bullet"/>
      <w:lvlText w:val=""/>
      <w:lvlJc w:val="left"/>
      <w:pPr>
        <w:ind w:left="5040" w:hanging="360"/>
      </w:pPr>
      <w:rPr>
        <w:rFonts w:ascii="Symbol" w:hAnsi="Symbol" w:hint="default"/>
      </w:rPr>
    </w:lvl>
    <w:lvl w:ilvl="7" w:tplc="DD246F52">
      <w:start w:val="1"/>
      <w:numFmt w:val="bullet"/>
      <w:lvlText w:val="o"/>
      <w:lvlJc w:val="left"/>
      <w:pPr>
        <w:ind w:left="5760" w:hanging="360"/>
      </w:pPr>
      <w:rPr>
        <w:rFonts w:ascii="Courier New" w:hAnsi="Courier New" w:hint="default"/>
      </w:rPr>
    </w:lvl>
    <w:lvl w:ilvl="8" w:tplc="1DDCD98C">
      <w:start w:val="1"/>
      <w:numFmt w:val="bullet"/>
      <w:lvlText w:val=""/>
      <w:lvlJc w:val="left"/>
      <w:pPr>
        <w:ind w:left="6480" w:hanging="360"/>
      </w:pPr>
      <w:rPr>
        <w:rFonts w:ascii="Wingdings" w:hAnsi="Wingdings" w:hint="default"/>
      </w:rPr>
    </w:lvl>
  </w:abstractNum>
  <w:abstractNum w:abstractNumId="19" w15:restartNumberingAfterBreak="0">
    <w:nsid w:val="77792DBB"/>
    <w:multiLevelType w:val="hybridMultilevel"/>
    <w:tmpl w:val="E8EC460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143B3E"/>
    <w:multiLevelType w:val="multilevel"/>
    <w:tmpl w:val="11C4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0498114">
    <w:abstractNumId w:val="3"/>
  </w:num>
  <w:num w:numId="2" w16cid:durableId="1633749748">
    <w:abstractNumId w:val="6"/>
  </w:num>
  <w:num w:numId="3" w16cid:durableId="120155634">
    <w:abstractNumId w:val="12"/>
  </w:num>
  <w:num w:numId="4" w16cid:durableId="429087546">
    <w:abstractNumId w:val="14"/>
  </w:num>
  <w:num w:numId="5" w16cid:durableId="2117291337">
    <w:abstractNumId w:val="8"/>
  </w:num>
  <w:num w:numId="6" w16cid:durableId="767623995">
    <w:abstractNumId w:val="0"/>
  </w:num>
  <w:num w:numId="7" w16cid:durableId="701830873">
    <w:abstractNumId w:val="11"/>
  </w:num>
  <w:num w:numId="8" w16cid:durableId="1028288652">
    <w:abstractNumId w:val="10"/>
  </w:num>
  <w:num w:numId="9" w16cid:durableId="1746876003">
    <w:abstractNumId w:val="18"/>
  </w:num>
  <w:num w:numId="10" w16cid:durableId="1014310041">
    <w:abstractNumId w:val="9"/>
  </w:num>
  <w:num w:numId="11" w16cid:durableId="769013657">
    <w:abstractNumId w:val="16"/>
  </w:num>
  <w:num w:numId="12" w16cid:durableId="359360097">
    <w:abstractNumId w:val="13"/>
  </w:num>
  <w:num w:numId="13" w16cid:durableId="1986471859">
    <w:abstractNumId w:val="20"/>
  </w:num>
  <w:num w:numId="14" w16cid:durableId="718481149">
    <w:abstractNumId w:val="7"/>
  </w:num>
  <w:num w:numId="15" w16cid:durableId="2015182315">
    <w:abstractNumId w:val="1"/>
  </w:num>
  <w:num w:numId="16" w16cid:durableId="345911078">
    <w:abstractNumId w:val="17"/>
  </w:num>
  <w:num w:numId="17" w16cid:durableId="1853913979">
    <w:abstractNumId w:val="4"/>
  </w:num>
  <w:num w:numId="18" w16cid:durableId="33580833">
    <w:abstractNumId w:val="2"/>
  </w:num>
  <w:num w:numId="19" w16cid:durableId="518086333">
    <w:abstractNumId w:val="19"/>
  </w:num>
  <w:num w:numId="20" w16cid:durableId="526985198">
    <w:abstractNumId w:val="15"/>
  </w:num>
  <w:num w:numId="21" w16cid:durableId="22541069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3E"/>
    <w:rsid w:val="000079E9"/>
    <w:rsid w:val="000209B0"/>
    <w:rsid w:val="00025A44"/>
    <w:rsid w:val="00040CA5"/>
    <w:rsid w:val="00047372"/>
    <w:rsid w:val="000A5BDA"/>
    <w:rsid w:val="000C5ADE"/>
    <w:rsid w:val="000C6911"/>
    <w:rsid w:val="000D2B1D"/>
    <w:rsid w:val="000F5489"/>
    <w:rsid w:val="001008FE"/>
    <w:rsid w:val="0010343E"/>
    <w:rsid w:val="00112496"/>
    <w:rsid w:val="00113913"/>
    <w:rsid w:val="00115718"/>
    <w:rsid w:val="00133EF7"/>
    <w:rsid w:val="001448E2"/>
    <w:rsid w:val="00181176"/>
    <w:rsid w:val="00186619"/>
    <w:rsid w:val="001A1691"/>
    <w:rsid w:val="001C28E2"/>
    <w:rsid w:val="001D6582"/>
    <w:rsid w:val="001E1063"/>
    <w:rsid w:val="001E3925"/>
    <w:rsid w:val="001F191B"/>
    <w:rsid w:val="001F4B20"/>
    <w:rsid w:val="00231680"/>
    <w:rsid w:val="00255DA5"/>
    <w:rsid w:val="0025638F"/>
    <w:rsid w:val="0028386C"/>
    <w:rsid w:val="002A5019"/>
    <w:rsid w:val="002C1170"/>
    <w:rsid w:val="002C1F7A"/>
    <w:rsid w:val="002F67AF"/>
    <w:rsid w:val="003008A5"/>
    <w:rsid w:val="00301250"/>
    <w:rsid w:val="00346EF5"/>
    <w:rsid w:val="003A328F"/>
    <w:rsid w:val="003B67C9"/>
    <w:rsid w:val="0042480A"/>
    <w:rsid w:val="00426388"/>
    <w:rsid w:val="00460B45"/>
    <w:rsid w:val="004B10C4"/>
    <w:rsid w:val="004C2E7A"/>
    <w:rsid w:val="004C33E9"/>
    <w:rsid w:val="004E3620"/>
    <w:rsid w:val="004F5BE9"/>
    <w:rsid w:val="0051516E"/>
    <w:rsid w:val="005331FC"/>
    <w:rsid w:val="00536D0A"/>
    <w:rsid w:val="005404F2"/>
    <w:rsid w:val="00547FF1"/>
    <w:rsid w:val="005517DF"/>
    <w:rsid w:val="00562D0D"/>
    <w:rsid w:val="00596F20"/>
    <w:rsid w:val="005A1650"/>
    <w:rsid w:val="005B7FA2"/>
    <w:rsid w:val="005C0FA6"/>
    <w:rsid w:val="00607EBB"/>
    <w:rsid w:val="00610E2F"/>
    <w:rsid w:val="00682EAB"/>
    <w:rsid w:val="006A6A01"/>
    <w:rsid w:val="006E4AF6"/>
    <w:rsid w:val="00707DD4"/>
    <w:rsid w:val="00721BA7"/>
    <w:rsid w:val="00725D5A"/>
    <w:rsid w:val="00737EBF"/>
    <w:rsid w:val="007549AA"/>
    <w:rsid w:val="007561AE"/>
    <w:rsid w:val="007616D0"/>
    <w:rsid w:val="0076576B"/>
    <w:rsid w:val="00783695"/>
    <w:rsid w:val="007934C4"/>
    <w:rsid w:val="007B2E33"/>
    <w:rsid w:val="007B7566"/>
    <w:rsid w:val="007D2E49"/>
    <w:rsid w:val="007D324E"/>
    <w:rsid w:val="00837305"/>
    <w:rsid w:val="008476E8"/>
    <w:rsid w:val="008846C1"/>
    <w:rsid w:val="008D0D14"/>
    <w:rsid w:val="008D6F1B"/>
    <w:rsid w:val="008E7955"/>
    <w:rsid w:val="009040AA"/>
    <w:rsid w:val="00913303"/>
    <w:rsid w:val="00942197"/>
    <w:rsid w:val="00943DFC"/>
    <w:rsid w:val="00944702"/>
    <w:rsid w:val="00972F1B"/>
    <w:rsid w:val="00977489"/>
    <w:rsid w:val="00984A91"/>
    <w:rsid w:val="009C55C9"/>
    <w:rsid w:val="009D3A46"/>
    <w:rsid w:val="009F19BD"/>
    <w:rsid w:val="00A01FB7"/>
    <w:rsid w:val="00A04D96"/>
    <w:rsid w:val="00A07DE3"/>
    <w:rsid w:val="00A17174"/>
    <w:rsid w:val="00A17D8D"/>
    <w:rsid w:val="00A27943"/>
    <w:rsid w:val="00A31EDE"/>
    <w:rsid w:val="00A33E62"/>
    <w:rsid w:val="00A358A3"/>
    <w:rsid w:val="00A479BF"/>
    <w:rsid w:val="00A77AD5"/>
    <w:rsid w:val="00A821DB"/>
    <w:rsid w:val="00A9649D"/>
    <w:rsid w:val="00AA0254"/>
    <w:rsid w:val="00AA5FE6"/>
    <w:rsid w:val="00AB5014"/>
    <w:rsid w:val="00AC1A6E"/>
    <w:rsid w:val="00AC51DD"/>
    <w:rsid w:val="00AF450B"/>
    <w:rsid w:val="00AF46FC"/>
    <w:rsid w:val="00B0353F"/>
    <w:rsid w:val="00B038C1"/>
    <w:rsid w:val="00B0513E"/>
    <w:rsid w:val="00B24E61"/>
    <w:rsid w:val="00B475A9"/>
    <w:rsid w:val="00B97CC2"/>
    <w:rsid w:val="00BC049B"/>
    <w:rsid w:val="00BC6FC3"/>
    <w:rsid w:val="00BD5062"/>
    <w:rsid w:val="00C05F39"/>
    <w:rsid w:val="00C06261"/>
    <w:rsid w:val="00C1487C"/>
    <w:rsid w:val="00C2769F"/>
    <w:rsid w:val="00C57515"/>
    <w:rsid w:val="00C929E2"/>
    <w:rsid w:val="00C950AC"/>
    <w:rsid w:val="00CA11DF"/>
    <w:rsid w:val="00CC65E9"/>
    <w:rsid w:val="00CD33F2"/>
    <w:rsid w:val="00CE21EA"/>
    <w:rsid w:val="00CE556F"/>
    <w:rsid w:val="00D15C7B"/>
    <w:rsid w:val="00D83AC4"/>
    <w:rsid w:val="00DE2551"/>
    <w:rsid w:val="00DE6BCD"/>
    <w:rsid w:val="00DF5B19"/>
    <w:rsid w:val="00DF733B"/>
    <w:rsid w:val="00E1296E"/>
    <w:rsid w:val="00E3682A"/>
    <w:rsid w:val="00E373BA"/>
    <w:rsid w:val="00E44AEA"/>
    <w:rsid w:val="00E50C50"/>
    <w:rsid w:val="00E703F3"/>
    <w:rsid w:val="00E813F9"/>
    <w:rsid w:val="00E95F77"/>
    <w:rsid w:val="00E963E6"/>
    <w:rsid w:val="00E965E1"/>
    <w:rsid w:val="00E9790F"/>
    <w:rsid w:val="00EA4FCF"/>
    <w:rsid w:val="00EB3D9A"/>
    <w:rsid w:val="00ED6A6F"/>
    <w:rsid w:val="00EF1B26"/>
    <w:rsid w:val="00F078A8"/>
    <w:rsid w:val="00F14693"/>
    <w:rsid w:val="00F15BEC"/>
    <w:rsid w:val="00F3666F"/>
    <w:rsid w:val="00F43B81"/>
    <w:rsid w:val="00F55EC5"/>
    <w:rsid w:val="00F67FBD"/>
    <w:rsid w:val="00F843AB"/>
    <w:rsid w:val="00F9616F"/>
    <w:rsid w:val="00F970B1"/>
    <w:rsid w:val="00FA3801"/>
    <w:rsid w:val="00FB6DE6"/>
    <w:rsid w:val="00FB7900"/>
    <w:rsid w:val="00FD7751"/>
    <w:rsid w:val="00FE633F"/>
    <w:rsid w:val="0215C42A"/>
    <w:rsid w:val="0265210D"/>
    <w:rsid w:val="0400F16E"/>
    <w:rsid w:val="04998FA9"/>
    <w:rsid w:val="04A04FFF"/>
    <w:rsid w:val="04B58919"/>
    <w:rsid w:val="05513E63"/>
    <w:rsid w:val="059CC1CF"/>
    <w:rsid w:val="059DD88B"/>
    <w:rsid w:val="05B82AAB"/>
    <w:rsid w:val="06AD39A8"/>
    <w:rsid w:val="06D06622"/>
    <w:rsid w:val="06E89438"/>
    <w:rsid w:val="06EF27C7"/>
    <w:rsid w:val="076F57D5"/>
    <w:rsid w:val="080F3514"/>
    <w:rsid w:val="08961C94"/>
    <w:rsid w:val="08B3BB5E"/>
    <w:rsid w:val="095895B4"/>
    <w:rsid w:val="0A36CF5D"/>
    <w:rsid w:val="0B4CE41F"/>
    <w:rsid w:val="0B6ED72D"/>
    <w:rsid w:val="0BBC055B"/>
    <w:rsid w:val="0C408A56"/>
    <w:rsid w:val="0D45A258"/>
    <w:rsid w:val="0D6635C9"/>
    <w:rsid w:val="0D6CD67E"/>
    <w:rsid w:val="0DD5A373"/>
    <w:rsid w:val="0E0078CA"/>
    <w:rsid w:val="0E349989"/>
    <w:rsid w:val="0E63A6AD"/>
    <w:rsid w:val="0E9B086F"/>
    <w:rsid w:val="0EA0B041"/>
    <w:rsid w:val="0FB54251"/>
    <w:rsid w:val="119B476F"/>
    <w:rsid w:val="1227E543"/>
    <w:rsid w:val="1233DC56"/>
    <w:rsid w:val="12E353F8"/>
    <w:rsid w:val="13BD355C"/>
    <w:rsid w:val="14759470"/>
    <w:rsid w:val="1549BF44"/>
    <w:rsid w:val="1573A5B8"/>
    <w:rsid w:val="15768CB9"/>
    <w:rsid w:val="157D8C28"/>
    <w:rsid w:val="15E69648"/>
    <w:rsid w:val="1676C742"/>
    <w:rsid w:val="178266A9"/>
    <w:rsid w:val="1854606C"/>
    <w:rsid w:val="1873AE87"/>
    <w:rsid w:val="19293986"/>
    <w:rsid w:val="195B416E"/>
    <w:rsid w:val="19AAD577"/>
    <w:rsid w:val="1A962B59"/>
    <w:rsid w:val="1C7B65B0"/>
    <w:rsid w:val="1C9CE7D2"/>
    <w:rsid w:val="1CA4B960"/>
    <w:rsid w:val="1F6ED8E4"/>
    <w:rsid w:val="1FBCFCA5"/>
    <w:rsid w:val="1FF8C3AA"/>
    <w:rsid w:val="20CEBF0E"/>
    <w:rsid w:val="21074E29"/>
    <w:rsid w:val="218034DE"/>
    <w:rsid w:val="21B6EAAA"/>
    <w:rsid w:val="21DFA259"/>
    <w:rsid w:val="22C09E95"/>
    <w:rsid w:val="23525DA3"/>
    <w:rsid w:val="23A2F115"/>
    <w:rsid w:val="251956B0"/>
    <w:rsid w:val="268AB898"/>
    <w:rsid w:val="27D64E05"/>
    <w:rsid w:val="281675B2"/>
    <w:rsid w:val="28613A86"/>
    <w:rsid w:val="28B0DC71"/>
    <w:rsid w:val="28E632B4"/>
    <w:rsid w:val="28FAD5D2"/>
    <w:rsid w:val="29721E66"/>
    <w:rsid w:val="299C885C"/>
    <w:rsid w:val="2A085415"/>
    <w:rsid w:val="2AF01464"/>
    <w:rsid w:val="2B47F848"/>
    <w:rsid w:val="2B93D247"/>
    <w:rsid w:val="2C1103BF"/>
    <w:rsid w:val="2C75CF62"/>
    <w:rsid w:val="2CEC37D4"/>
    <w:rsid w:val="2CF05E2A"/>
    <w:rsid w:val="2D59BA1C"/>
    <w:rsid w:val="2DAB899A"/>
    <w:rsid w:val="2DBB18BC"/>
    <w:rsid w:val="2DE4FC03"/>
    <w:rsid w:val="2F1FDAF2"/>
    <w:rsid w:val="2FE8389B"/>
    <w:rsid w:val="301CD371"/>
    <w:rsid w:val="30C4F2E1"/>
    <w:rsid w:val="318C62EF"/>
    <w:rsid w:val="32565B93"/>
    <w:rsid w:val="32731468"/>
    <w:rsid w:val="341967FA"/>
    <w:rsid w:val="34672B86"/>
    <w:rsid w:val="3478C1EB"/>
    <w:rsid w:val="34CA8DAD"/>
    <w:rsid w:val="354DCBBE"/>
    <w:rsid w:val="355B95D8"/>
    <w:rsid w:val="36D12042"/>
    <w:rsid w:val="36DC86AD"/>
    <w:rsid w:val="37110C13"/>
    <w:rsid w:val="37C76B49"/>
    <w:rsid w:val="38546DDD"/>
    <w:rsid w:val="39D042F4"/>
    <w:rsid w:val="3AA0DD3F"/>
    <w:rsid w:val="3AB6ADB7"/>
    <w:rsid w:val="3AF86EAC"/>
    <w:rsid w:val="3B2C7F29"/>
    <w:rsid w:val="3C1B5A13"/>
    <w:rsid w:val="3CFCEB7E"/>
    <w:rsid w:val="3DECC9C6"/>
    <w:rsid w:val="3E3468F7"/>
    <w:rsid w:val="3EBDECBD"/>
    <w:rsid w:val="3F071607"/>
    <w:rsid w:val="3F4F7646"/>
    <w:rsid w:val="3FA96520"/>
    <w:rsid w:val="400F4C01"/>
    <w:rsid w:val="40F30054"/>
    <w:rsid w:val="41087B33"/>
    <w:rsid w:val="410B130B"/>
    <w:rsid w:val="41159677"/>
    <w:rsid w:val="4184E8BC"/>
    <w:rsid w:val="41906E74"/>
    <w:rsid w:val="42B61739"/>
    <w:rsid w:val="4310D9B8"/>
    <w:rsid w:val="43F9D2B2"/>
    <w:rsid w:val="44EB3C81"/>
    <w:rsid w:val="45654F9E"/>
    <w:rsid w:val="4598A412"/>
    <w:rsid w:val="45AF7359"/>
    <w:rsid w:val="45C8FAE5"/>
    <w:rsid w:val="4725DDB4"/>
    <w:rsid w:val="476CC512"/>
    <w:rsid w:val="47906D7A"/>
    <w:rsid w:val="483A3DAF"/>
    <w:rsid w:val="487B46C8"/>
    <w:rsid w:val="48E4E68F"/>
    <w:rsid w:val="49F466E1"/>
    <w:rsid w:val="4B7BA7AD"/>
    <w:rsid w:val="4B9DE375"/>
    <w:rsid w:val="4BEF068E"/>
    <w:rsid w:val="4C22328F"/>
    <w:rsid w:val="4C7D59BB"/>
    <w:rsid w:val="4D4BC9B5"/>
    <w:rsid w:val="4DF317E2"/>
    <w:rsid w:val="4E3C62C4"/>
    <w:rsid w:val="4E6DB004"/>
    <w:rsid w:val="4E8FF5D0"/>
    <w:rsid w:val="4EA0A578"/>
    <w:rsid w:val="4EAEB347"/>
    <w:rsid w:val="4ED2D31F"/>
    <w:rsid w:val="4F9C691B"/>
    <w:rsid w:val="4FED64E0"/>
    <w:rsid w:val="4FFAA429"/>
    <w:rsid w:val="5085C5C3"/>
    <w:rsid w:val="50F1A6FD"/>
    <w:rsid w:val="51402D92"/>
    <w:rsid w:val="51F7CC57"/>
    <w:rsid w:val="5216D1C0"/>
    <w:rsid w:val="5287C831"/>
    <w:rsid w:val="52BCC125"/>
    <w:rsid w:val="52CB99FF"/>
    <w:rsid w:val="5579DA8C"/>
    <w:rsid w:val="559468DB"/>
    <w:rsid w:val="55EB2927"/>
    <w:rsid w:val="5644344B"/>
    <w:rsid w:val="56B65193"/>
    <w:rsid w:val="57268712"/>
    <w:rsid w:val="57FD732A"/>
    <w:rsid w:val="580FCEE1"/>
    <w:rsid w:val="5887E6F4"/>
    <w:rsid w:val="58C2FEC1"/>
    <w:rsid w:val="58EF5FCC"/>
    <w:rsid w:val="592B3281"/>
    <w:rsid w:val="59C3524F"/>
    <w:rsid w:val="59FE7709"/>
    <w:rsid w:val="5A320010"/>
    <w:rsid w:val="5A4A5109"/>
    <w:rsid w:val="5A9B08CB"/>
    <w:rsid w:val="5B10EBF2"/>
    <w:rsid w:val="5BFC29CE"/>
    <w:rsid w:val="5DB7B25F"/>
    <w:rsid w:val="5E000C78"/>
    <w:rsid w:val="5E4B53B1"/>
    <w:rsid w:val="5E57F8CA"/>
    <w:rsid w:val="5F3FE189"/>
    <w:rsid w:val="5FCAFB88"/>
    <w:rsid w:val="5FD0204E"/>
    <w:rsid w:val="60AB1CE7"/>
    <w:rsid w:val="60ACD0ED"/>
    <w:rsid w:val="60E6DE1A"/>
    <w:rsid w:val="61D580FE"/>
    <w:rsid w:val="636DC92B"/>
    <w:rsid w:val="637E501A"/>
    <w:rsid w:val="6417B948"/>
    <w:rsid w:val="64FC4F27"/>
    <w:rsid w:val="65D1A353"/>
    <w:rsid w:val="65ECCBEA"/>
    <w:rsid w:val="66068C43"/>
    <w:rsid w:val="660F7705"/>
    <w:rsid w:val="6672B848"/>
    <w:rsid w:val="668BBB0A"/>
    <w:rsid w:val="66EDFFD0"/>
    <w:rsid w:val="67E8365D"/>
    <w:rsid w:val="680861DB"/>
    <w:rsid w:val="68D48BDE"/>
    <w:rsid w:val="68F043B1"/>
    <w:rsid w:val="691B79D6"/>
    <w:rsid w:val="69FCCCDB"/>
    <w:rsid w:val="6A531491"/>
    <w:rsid w:val="6A83D3B0"/>
    <w:rsid w:val="6AA3CC37"/>
    <w:rsid w:val="6AE28381"/>
    <w:rsid w:val="6B24B736"/>
    <w:rsid w:val="6B3340CB"/>
    <w:rsid w:val="6C02DE14"/>
    <w:rsid w:val="6C0880C3"/>
    <w:rsid w:val="6C626217"/>
    <w:rsid w:val="6C961F15"/>
    <w:rsid w:val="6CD7B72E"/>
    <w:rsid w:val="6DBACE6F"/>
    <w:rsid w:val="6DC6CBFB"/>
    <w:rsid w:val="6DDC5091"/>
    <w:rsid w:val="6F757EB3"/>
    <w:rsid w:val="6FB7532B"/>
    <w:rsid w:val="6FF9B0D5"/>
    <w:rsid w:val="700F57F0"/>
    <w:rsid w:val="701D7D48"/>
    <w:rsid w:val="7114888B"/>
    <w:rsid w:val="7215D474"/>
    <w:rsid w:val="7292577B"/>
    <w:rsid w:val="72FE9422"/>
    <w:rsid w:val="730A5A1E"/>
    <w:rsid w:val="734C5514"/>
    <w:rsid w:val="73DDAC15"/>
    <w:rsid w:val="7416BF3A"/>
    <w:rsid w:val="7496407C"/>
    <w:rsid w:val="75BB19B2"/>
    <w:rsid w:val="7622D239"/>
    <w:rsid w:val="7722F954"/>
    <w:rsid w:val="78FCE618"/>
    <w:rsid w:val="7983BDF2"/>
    <w:rsid w:val="79B4F861"/>
    <w:rsid w:val="7A1914E7"/>
    <w:rsid w:val="7A70DFB6"/>
    <w:rsid w:val="7ADC0511"/>
    <w:rsid w:val="7B90D890"/>
    <w:rsid w:val="7BC55B16"/>
    <w:rsid w:val="7C887F6E"/>
    <w:rsid w:val="7D37F628"/>
    <w:rsid w:val="7DBCBFC5"/>
    <w:rsid w:val="7E9198DF"/>
    <w:rsid w:val="7EF8E1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877"/>
  <w15:chartTrackingRefBased/>
  <w15:docId w15:val="{4386A3D6-BB28-4C8F-B74D-DAF1B837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D0A"/>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bidi="en-US"/>
    </w:rPr>
  </w:style>
  <w:style w:type="paragraph" w:styleId="Heading2">
    <w:name w:val="heading 2"/>
    <w:basedOn w:val="Normal"/>
    <w:next w:val="Normal"/>
    <w:link w:val="Heading2Char"/>
    <w:uiPriority w:val="9"/>
    <w:unhideWhenUsed/>
    <w:qFormat/>
    <w:rsid w:val="00536D0A"/>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paragraph" w:styleId="Heading3">
    <w:name w:val="heading 3"/>
    <w:basedOn w:val="Normal"/>
    <w:next w:val="Normal"/>
    <w:link w:val="Heading3Char"/>
    <w:uiPriority w:val="9"/>
    <w:unhideWhenUsed/>
    <w:qFormat/>
    <w:rsid w:val="009C55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55C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en-GB"/>
    </w:rPr>
  </w:style>
  <w:style w:type="paragraph" w:styleId="Heading5">
    <w:name w:val="heading 5"/>
    <w:basedOn w:val="Normal"/>
    <w:next w:val="Normal"/>
    <w:link w:val="Heading5Char"/>
    <w:uiPriority w:val="9"/>
    <w:unhideWhenUsed/>
    <w:qFormat/>
    <w:rsid w:val="009C55C9"/>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343E"/>
  </w:style>
  <w:style w:type="character" w:customStyle="1" w:styleId="eop">
    <w:name w:val="eop"/>
    <w:basedOn w:val="DefaultParagraphFont"/>
    <w:rsid w:val="0010343E"/>
  </w:style>
  <w:style w:type="character" w:customStyle="1" w:styleId="scxw96657786">
    <w:name w:val="scxw96657786"/>
    <w:basedOn w:val="DefaultParagraphFont"/>
    <w:rsid w:val="0010343E"/>
  </w:style>
  <w:style w:type="paragraph" w:styleId="ListParagraph">
    <w:name w:val="List Paragraph"/>
    <w:basedOn w:val="Normal"/>
    <w:link w:val="ListParagraphChar"/>
    <w:uiPriority w:val="34"/>
    <w:qFormat/>
    <w:rsid w:val="0010343E"/>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536D0A"/>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536D0A"/>
    <w:rPr>
      <w:rFonts w:asciiTheme="majorHAnsi" w:eastAsiaTheme="majorEastAsia" w:hAnsiTheme="majorHAnsi" w:cstheme="majorBidi"/>
      <w:color w:val="2F5496" w:themeColor="accent1" w:themeShade="BF"/>
      <w:sz w:val="26"/>
      <w:szCs w:val="26"/>
      <w:lang w:bidi="en-US"/>
    </w:rPr>
  </w:style>
  <w:style w:type="paragraph" w:customStyle="1" w:styleId="TableParagraph">
    <w:name w:val="Table Paragraph"/>
    <w:basedOn w:val="Normal"/>
    <w:uiPriority w:val="1"/>
    <w:qFormat/>
    <w:rsid w:val="00536D0A"/>
    <w:pPr>
      <w:widowControl w:val="0"/>
      <w:autoSpaceDE w:val="0"/>
      <w:autoSpaceDN w:val="0"/>
      <w:spacing w:after="0" w:line="240" w:lineRule="auto"/>
    </w:pPr>
    <w:rPr>
      <w:rFonts w:ascii="Calibri" w:eastAsia="Calibri" w:hAnsi="Calibri" w:cs="Calibri"/>
      <w:lang w:bidi="en-US"/>
    </w:rPr>
  </w:style>
  <w:style w:type="character" w:customStyle="1" w:styleId="ListParagraphChar">
    <w:name w:val="List Paragraph Char"/>
    <w:basedOn w:val="DefaultParagraphFont"/>
    <w:link w:val="ListParagraph"/>
    <w:uiPriority w:val="34"/>
    <w:locked/>
    <w:rsid w:val="00536D0A"/>
  </w:style>
  <w:style w:type="character" w:styleId="Hyperlink">
    <w:name w:val="Hyperlink"/>
    <w:basedOn w:val="DefaultParagraphFont"/>
    <w:uiPriority w:val="99"/>
    <w:unhideWhenUsed/>
    <w:rsid w:val="00536D0A"/>
    <w:rPr>
      <w:color w:val="0563C1" w:themeColor="hyperlink"/>
      <w:u w:val="single"/>
    </w:rPr>
  </w:style>
  <w:style w:type="paragraph" w:customStyle="1" w:styleId="pf0">
    <w:name w:val="pf0"/>
    <w:basedOn w:val="Normal"/>
    <w:rsid w:val="00536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36D0A"/>
    <w:rPr>
      <w:rFonts w:ascii="Segoe UI" w:hAnsi="Segoe UI" w:cs="Segoe UI" w:hint="default"/>
      <w:sz w:val="18"/>
      <w:szCs w:val="18"/>
    </w:rPr>
  </w:style>
  <w:style w:type="character" w:customStyle="1" w:styleId="Heading3Char">
    <w:name w:val="Heading 3 Char"/>
    <w:basedOn w:val="DefaultParagraphFont"/>
    <w:link w:val="Heading3"/>
    <w:uiPriority w:val="9"/>
    <w:rsid w:val="009C55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C55C9"/>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rsid w:val="009C55C9"/>
    <w:rPr>
      <w:rFonts w:asciiTheme="majorHAnsi" w:eastAsiaTheme="majorEastAsia" w:hAnsiTheme="majorHAnsi" w:cstheme="majorBidi"/>
      <w:color w:val="2F5496" w:themeColor="accent1" w:themeShade="BF"/>
      <w:lang w:bidi="en-US"/>
    </w:rPr>
  </w:style>
  <w:style w:type="paragraph" w:styleId="BodyText">
    <w:name w:val="Body Text"/>
    <w:basedOn w:val="Normal"/>
    <w:link w:val="BodyTextChar"/>
    <w:uiPriority w:val="1"/>
    <w:qFormat/>
    <w:rsid w:val="009C55C9"/>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C55C9"/>
    <w:rPr>
      <w:rFonts w:ascii="Calibri" w:eastAsia="Calibri" w:hAnsi="Calibri" w:cs="Calibri"/>
      <w:lang w:bidi="en-US"/>
    </w:rPr>
  </w:style>
  <w:style w:type="paragraph" w:styleId="NoSpacing">
    <w:name w:val="No Spacing"/>
    <w:uiPriority w:val="1"/>
    <w:qFormat/>
    <w:rsid w:val="009C55C9"/>
    <w:pPr>
      <w:spacing w:after="0" w:line="240" w:lineRule="auto"/>
    </w:pPr>
  </w:style>
  <w:style w:type="paragraph" w:styleId="NormalWeb">
    <w:name w:val="Normal (Web)"/>
    <w:basedOn w:val="Normal"/>
    <w:uiPriority w:val="99"/>
    <w:unhideWhenUsed/>
    <w:rsid w:val="009C55C9"/>
    <w:pPr>
      <w:widowControl w:val="0"/>
      <w:autoSpaceDE w:val="0"/>
      <w:autoSpaceDN w:val="0"/>
      <w:spacing w:after="0" w:line="240" w:lineRule="auto"/>
    </w:pPr>
    <w:rPr>
      <w:rFonts w:ascii="Times New Roman" w:eastAsia="Calibri" w:hAnsi="Times New Roman" w:cs="Times New Roman"/>
      <w:sz w:val="24"/>
      <w:szCs w:val="24"/>
      <w:lang w:bidi="en-US"/>
    </w:rPr>
  </w:style>
  <w:style w:type="character" w:styleId="UnresolvedMention">
    <w:name w:val="Unresolved Mention"/>
    <w:basedOn w:val="DefaultParagraphFont"/>
    <w:uiPriority w:val="99"/>
    <w:semiHidden/>
    <w:unhideWhenUsed/>
    <w:rsid w:val="009C55C9"/>
    <w:rPr>
      <w:color w:val="605E5C"/>
      <w:shd w:val="clear" w:color="auto" w:fill="E1DFDD"/>
    </w:rPr>
  </w:style>
  <w:style w:type="character" w:styleId="Strong">
    <w:name w:val="Strong"/>
    <w:basedOn w:val="DefaultParagraphFont"/>
    <w:uiPriority w:val="22"/>
    <w:qFormat/>
    <w:rsid w:val="009C55C9"/>
    <w:rPr>
      <w:b/>
      <w:bCs/>
    </w:rPr>
  </w:style>
  <w:style w:type="character" w:styleId="Emphasis">
    <w:name w:val="Emphasis"/>
    <w:basedOn w:val="DefaultParagraphFont"/>
    <w:uiPriority w:val="20"/>
    <w:qFormat/>
    <w:rsid w:val="009C55C9"/>
    <w:rPr>
      <w:i/>
      <w:iCs/>
    </w:rPr>
  </w:style>
  <w:style w:type="character" w:styleId="FollowedHyperlink">
    <w:name w:val="FollowedHyperlink"/>
    <w:basedOn w:val="DefaultParagraphFont"/>
    <w:uiPriority w:val="99"/>
    <w:semiHidden/>
    <w:unhideWhenUsed/>
    <w:rsid w:val="009C55C9"/>
    <w:rPr>
      <w:color w:val="954F72" w:themeColor="followedHyperlink"/>
      <w:u w:val="single"/>
    </w:rPr>
  </w:style>
  <w:style w:type="paragraph" w:styleId="BalloonText">
    <w:name w:val="Balloon Text"/>
    <w:basedOn w:val="Normal"/>
    <w:link w:val="BalloonTextChar"/>
    <w:uiPriority w:val="99"/>
    <w:semiHidden/>
    <w:unhideWhenUsed/>
    <w:rsid w:val="009C55C9"/>
    <w:pPr>
      <w:widowControl w:val="0"/>
      <w:autoSpaceDE w:val="0"/>
      <w:autoSpaceDN w:val="0"/>
      <w:spacing w:after="0" w:line="240" w:lineRule="auto"/>
    </w:pPr>
    <w:rPr>
      <w:rFonts w:ascii="Segoe UI" w:eastAsia="Calibri" w:hAnsi="Segoe UI" w:cs="Segoe UI"/>
      <w:sz w:val="18"/>
      <w:szCs w:val="18"/>
      <w:lang w:bidi="en-US"/>
    </w:rPr>
  </w:style>
  <w:style w:type="character" w:customStyle="1" w:styleId="BalloonTextChar">
    <w:name w:val="Balloon Text Char"/>
    <w:basedOn w:val="DefaultParagraphFont"/>
    <w:link w:val="BalloonText"/>
    <w:uiPriority w:val="99"/>
    <w:semiHidden/>
    <w:rsid w:val="009C55C9"/>
    <w:rPr>
      <w:rFonts w:ascii="Segoe UI" w:eastAsia="Calibri" w:hAnsi="Segoe UI" w:cs="Segoe UI"/>
      <w:sz w:val="18"/>
      <w:szCs w:val="18"/>
      <w:lang w:bidi="en-US"/>
    </w:rPr>
  </w:style>
  <w:style w:type="table" w:customStyle="1" w:styleId="TableGrid1">
    <w:name w:val="Table Grid1"/>
    <w:basedOn w:val="TableNormal"/>
    <w:next w:val="TableGrid"/>
    <w:uiPriority w:val="39"/>
    <w:rsid w:val="009C55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5990408">
    <w:name w:val="scxw195990408"/>
    <w:basedOn w:val="DefaultParagraphFont"/>
    <w:rsid w:val="009C55C9"/>
  </w:style>
  <w:style w:type="numbering" w:customStyle="1" w:styleId="ImportedStyle2">
    <w:name w:val="Imported Style 2"/>
    <w:rsid w:val="009C55C9"/>
    <w:pPr>
      <w:numPr>
        <w:numId w:val="9"/>
      </w:numPr>
    </w:pPr>
  </w:style>
  <w:style w:type="character" w:styleId="CommentReference">
    <w:name w:val="annotation reference"/>
    <w:basedOn w:val="DefaultParagraphFont"/>
    <w:uiPriority w:val="99"/>
    <w:semiHidden/>
    <w:unhideWhenUsed/>
    <w:rsid w:val="009C55C9"/>
    <w:rPr>
      <w:sz w:val="16"/>
      <w:szCs w:val="16"/>
    </w:rPr>
  </w:style>
  <w:style w:type="paragraph" w:styleId="CommentText">
    <w:name w:val="annotation text"/>
    <w:basedOn w:val="Normal"/>
    <w:link w:val="CommentTextChar"/>
    <w:uiPriority w:val="99"/>
    <w:unhideWhenUsed/>
    <w:rsid w:val="009C55C9"/>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uiPriority w:val="99"/>
    <w:rsid w:val="009C55C9"/>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55C9"/>
    <w:rPr>
      <w:b/>
      <w:bCs/>
    </w:rPr>
  </w:style>
  <w:style w:type="character" w:customStyle="1" w:styleId="CommentSubjectChar">
    <w:name w:val="Comment Subject Char"/>
    <w:basedOn w:val="CommentTextChar"/>
    <w:link w:val="CommentSubject"/>
    <w:uiPriority w:val="99"/>
    <w:semiHidden/>
    <w:rsid w:val="009C55C9"/>
    <w:rPr>
      <w:rFonts w:ascii="Verdana" w:eastAsia="Times New Roman" w:hAnsi="Verdana" w:cs="Times New Roman"/>
      <w:b/>
      <w:bCs/>
      <w:sz w:val="20"/>
      <w:szCs w:val="20"/>
      <w:lang w:eastAsia="en-GB"/>
    </w:rPr>
  </w:style>
  <w:style w:type="character" w:customStyle="1" w:styleId="markqzm8tievw">
    <w:name w:val="markqzm8tievw"/>
    <w:basedOn w:val="DefaultParagraphFont"/>
    <w:rsid w:val="009C55C9"/>
  </w:style>
  <w:style w:type="character" w:customStyle="1" w:styleId="markw3t9ynfv0">
    <w:name w:val="markw3t9ynfv0"/>
    <w:basedOn w:val="DefaultParagraphFont"/>
    <w:rsid w:val="009C55C9"/>
  </w:style>
  <w:style w:type="character" w:styleId="FootnoteReference">
    <w:name w:val="footnote reference"/>
    <w:basedOn w:val="DefaultParagraphFont"/>
    <w:uiPriority w:val="99"/>
    <w:semiHidden/>
    <w:unhideWhenUsed/>
    <w:rsid w:val="009C55C9"/>
    <w:rPr>
      <w:vertAlign w:val="superscript"/>
    </w:rPr>
  </w:style>
  <w:style w:type="paragraph" w:styleId="Revision">
    <w:name w:val="Revision"/>
    <w:hidden/>
    <w:uiPriority w:val="99"/>
    <w:semiHidden/>
    <w:rsid w:val="009C55C9"/>
    <w:pPr>
      <w:spacing w:after="0" w:line="240" w:lineRule="auto"/>
    </w:pPr>
    <w:rPr>
      <w:rFonts w:ascii="Calibri" w:eastAsia="Calibri" w:hAnsi="Calibri" w:cs="Calibri"/>
      <w:lang w:bidi="en-US"/>
    </w:rPr>
  </w:style>
  <w:style w:type="paragraph" w:customStyle="1" w:styleId="xmsolistparagraph">
    <w:name w:val="x_msolistparagraph"/>
    <w:basedOn w:val="Normal"/>
    <w:rsid w:val="009C55C9"/>
    <w:pPr>
      <w:spacing w:before="100" w:beforeAutospacing="1" w:after="100" w:afterAutospacing="1" w:line="240" w:lineRule="auto"/>
      <w:ind w:left="720" w:hanging="360"/>
    </w:pPr>
    <w:rPr>
      <w:rFonts w:ascii="Calibri" w:hAnsi="Calibri" w:cs="Calibri"/>
      <w:color w:val="000000"/>
      <w:lang w:eastAsia="en-GB"/>
    </w:rPr>
  </w:style>
  <w:style w:type="character" w:customStyle="1" w:styleId="scxw154344830">
    <w:name w:val="scxw154344830"/>
    <w:basedOn w:val="DefaultParagraphFont"/>
    <w:rsid w:val="009C55C9"/>
  </w:style>
  <w:style w:type="paragraph" w:customStyle="1" w:styleId="xxxmsonormal">
    <w:name w:val="x_xxmsonormal"/>
    <w:basedOn w:val="Normal"/>
    <w:rsid w:val="009C55C9"/>
    <w:pPr>
      <w:spacing w:after="0" w:line="240" w:lineRule="auto"/>
    </w:pPr>
    <w:rPr>
      <w:rFonts w:ascii="Calibri" w:hAnsi="Calibri" w:cs="Calibri"/>
      <w:lang w:eastAsia="en-GB"/>
    </w:rPr>
  </w:style>
  <w:style w:type="paragraph" w:customStyle="1" w:styleId="xmsonormal">
    <w:name w:val="x_msonormal"/>
    <w:basedOn w:val="Normal"/>
    <w:rsid w:val="009C55C9"/>
    <w:pPr>
      <w:spacing w:after="0" w:line="240" w:lineRule="auto"/>
    </w:pPr>
    <w:rPr>
      <w:rFonts w:ascii="Calibri" w:hAnsi="Calibri" w:cs="Calibri"/>
      <w:lang w:eastAsia="en-GB"/>
    </w:rPr>
  </w:style>
  <w:style w:type="paragraph" w:customStyle="1" w:styleId="xxmsonormal">
    <w:name w:val="x_xmsonormal"/>
    <w:basedOn w:val="Normal"/>
    <w:rsid w:val="009C55C9"/>
    <w:pPr>
      <w:spacing w:after="0" w:line="240" w:lineRule="auto"/>
    </w:pPr>
    <w:rPr>
      <w:rFonts w:ascii="Calibri" w:hAnsi="Calibri" w:cs="Calibri"/>
      <w:lang w:eastAsia="en-GB"/>
    </w:rPr>
  </w:style>
  <w:style w:type="character" w:customStyle="1" w:styleId="xxxnormaltextrun">
    <w:name w:val="x_xxnormaltextrun"/>
    <w:basedOn w:val="DefaultParagraphFont"/>
    <w:rsid w:val="009C55C9"/>
  </w:style>
  <w:style w:type="character" w:customStyle="1" w:styleId="markcjnwqxrsz">
    <w:name w:val="markcjnwqxrsz"/>
    <w:basedOn w:val="DefaultParagraphFont"/>
    <w:rsid w:val="009C55C9"/>
  </w:style>
  <w:style w:type="character" w:customStyle="1" w:styleId="textrun">
    <w:name w:val="textrun"/>
    <w:basedOn w:val="DefaultParagraphFont"/>
    <w:rsid w:val="009C55C9"/>
  </w:style>
  <w:style w:type="character" w:customStyle="1" w:styleId="findhit">
    <w:name w:val="findhit"/>
    <w:basedOn w:val="DefaultParagraphFont"/>
    <w:rsid w:val="009C55C9"/>
  </w:style>
  <w:style w:type="character" w:customStyle="1" w:styleId="a2alabel">
    <w:name w:val="a2a_label"/>
    <w:basedOn w:val="DefaultParagraphFont"/>
    <w:rsid w:val="009C55C9"/>
  </w:style>
  <w:style w:type="character" w:customStyle="1" w:styleId="mark69md9wvd7">
    <w:name w:val="mark69md9wvd7"/>
    <w:basedOn w:val="DefaultParagraphFont"/>
    <w:rsid w:val="009C55C9"/>
  </w:style>
  <w:style w:type="character" w:styleId="Mention">
    <w:name w:val="Mention"/>
    <w:basedOn w:val="DefaultParagraphFont"/>
    <w:uiPriority w:val="99"/>
    <w:unhideWhenUsed/>
    <w:rsid w:val="009C55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4673">
      <w:bodyDiv w:val="1"/>
      <w:marLeft w:val="0"/>
      <w:marRight w:val="0"/>
      <w:marTop w:val="0"/>
      <w:marBottom w:val="0"/>
      <w:divBdr>
        <w:top w:val="none" w:sz="0" w:space="0" w:color="auto"/>
        <w:left w:val="none" w:sz="0" w:space="0" w:color="auto"/>
        <w:bottom w:val="none" w:sz="0" w:space="0" w:color="auto"/>
        <w:right w:val="none" w:sz="0" w:space="0" w:color="auto"/>
      </w:divBdr>
      <w:divsChild>
        <w:div w:id="30807512">
          <w:marLeft w:val="0"/>
          <w:marRight w:val="0"/>
          <w:marTop w:val="0"/>
          <w:marBottom w:val="0"/>
          <w:divBdr>
            <w:top w:val="none" w:sz="0" w:space="0" w:color="auto"/>
            <w:left w:val="none" w:sz="0" w:space="0" w:color="auto"/>
            <w:bottom w:val="none" w:sz="0" w:space="0" w:color="auto"/>
            <w:right w:val="none" w:sz="0" w:space="0" w:color="auto"/>
          </w:divBdr>
        </w:div>
        <w:div w:id="147480190">
          <w:marLeft w:val="0"/>
          <w:marRight w:val="0"/>
          <w:marTop w:val="0"/>
          <w:marBottom w:val="0"/>
          <w:divBdr>
            <w:top w:val="none" w:sz="0" w:space="0" w:color="auto"/>
            <w:left w:val="none" w:sz="0" w:space="0" w:color="auto"/>
            <w:bottom w:val="none" w:sz="0" w:space="0" w:color="auto"/>
            <w:right w:val="none" w:sz="0" w:space="0" w:color="auto"/>
          </w:divBdr>
        </w:div>
        <w:div w:id="249579378">
          <w:marLeft w:val="0"/>
          <w:marRight w:val="0"/>
          <w:marTop w:val="0"/>
          <w:marBottom w:val="0"/>
          <w:divBdr>
            <w:top w:val="none" w:sz="0" w:space="0" w:color="auto"/>
            <w:left w:val="none" w:sz="0" w:space="0" w:color="auto"/>
            <w:bottom w:val="none" w:sz="0" w:space="0" w:color="auto"/>
            <w:right w:val="none" w:sz="0" w:space="0" w:color="auto"/>
          </w:divBdr>
        </w:div>
        <w:div w:id="279382100">
          <w:marLeft w:val="0"/>
          <w:marRight w:val="0"/>
          <w:marTop w:val="0"/>
          <w:marBottom w:val="0"/>
          <w:divBdr>
            <w:top w:val="none" w:sz="0" w:space="0" w:color="auto"/>
            <w:left w:val="none" w:sz="0" w:space="0" w:color="auto"/>
            <w:bottom w:val="none" w:sz="0" w:space="0" w:color="auto"/>
            <w:right w:val="none" w:sz="0" w:space="0" w:color="auto"/>
          </w:divBdr>
          <w:divsChild>
            <w:div w:id="1239317633">
              <w:marLeft w:val="0"/>
              <w:marRight w:val="0"/>
              <w:marTop w:val="0"/>
              <w:marBottom w:val="0"/>
              <w:divBdr>
                <w:top w:val="none" w:sz="0" w:space="0" w:color="auto"/>
                <w:left w:val="none" w:sz="0" w:space="0" w:color="auto"/>
                <w:bottom w:val="none" w:sz="0" w:space="0" w:color="auto"/>
                <w:right w:val="none" w:sz="0" w:space="0" w:color="auto"/>
              </w:divBdr>
            </w:div>
            <w:div w:id="1389838690">
              <w:marLeft w:val="0"/>
              <w:marRight w:val="0"/>
              <w:marTop w:val="0"/>
              <w:marBottom w:val="0"/>
              <w:divBdr>
                <w:top w:val="none" w:sz="0" w:space="0" w:color="auto"/>
                <w:left w:val="none" w:sz="0" w:space="0" w:color="auto"/>
                <w:bottom w:val="none" w:sz="0" w:space="0" w:color="auto"/>
                <w:right w:val="none" w:sz="0" w:space="0" w:color="auto"/>
              </w:divBdr>
            </w:div>
            <w:div w:id="1501846961">
              <w:marLeft w:val="0"/>
              <w:marRight w:val="0"/>
              <w:marTop w:val="0"/>
              <w:marBottom w:val="0"/>
              <w:divBdr>
                <w:top w:val="none" w:sz="0" w:space="0" w:color="auto"/>
                <w:left w:val="none" w:sz="0" w:space="0" w:color="auto"/>
                <w:bottom w:val="none" w:sz="0" w:space="0" w:color="auto"/>
                <w:right w:val="none" w:sz="0" w:space="0" w:color="auto"/>
              </w:divBdr>
            </w:div>
            <w:div w:id="1524317937">
              <w:marLeft w:val="0"/>
              <w:marRight w:val="0"/>
              <w:marTop w:val="0"/>
              <w:marBottom w:val="0"/>
              <w:divBdr>
                <w:top w:val="none" w:sz="0" w:space="0" w:color="auto"/>
                <w:left w:val="none" w:sz="0" w:space="0" w:color="auto"/>
                <w:bottom w:val="none" w:sz="0" w:space="0" w:color="auto"/>
                <w:right w:val="none" w:sz="0" w:space="0" w:color="auto"/>
              </w:divBdr>
            </w:div>
            <w:div w:id="1899238793">
              <w:marLeft w:val="0"/>
              <w:marRight w:val="0"/>
              <w:marTop w:val="0"/>
              <w:marBottom w:val="0"/>
              <w:divBdr>
                <w:top w:val="none" w:sz="0" w:space="0" w:color="auto"/>
                <w:left w:val="none" w:sz="0" w:space="0" w:color="auto"/>
                <w:bottom w:val="none" w:sz="0" w:space="0" w:color="auto"/>
                <w:right w:val="none" w:sz="0" w:space="0" w:color="auto"/>
              </w:divBdr>
            </w:div>
          </w:divsChild>
        </w:div>
        <w:div w:id="388847833">
          <w:marLeft w:val="0"/>
          <w:marRight w:val="0"/>
          <w:marTop w:val="0"/>
          <w:marBottom w:val="0"/>
          <w:divBdr>
            <w:top w:val="none" w:sz="0" w:space="0" w:color="auto"/>
            <w:left w:val="none" w:sz="0" w:space="0" w:color="auto"/>
            <w:bottom w:val="none" w:sz="0" w:space="0" w:color="auto"/>
            <w:right w:val="none" w:sz="0" w:space="0" w:color="auto"/>
          </w:divBdr>
        </w:div>
        <w:div w:id="486089545">
          <w:marLeft w:val="0"/>
          <w:marRight w:val="0"/>
          <w:marTop w:val="0"/>
          <w:marBottom w:val="0"/>
          <w:divBdr>
            <w:top w:val="none" w:sz="0" w:space="0" w:color="auto"/>
            <w:left w:val="none" w:sz="0" w:space="0" w:color="auto"/>
            <w:bottom w:val="none" w:sz="0" w:space="0" w:color="auto"/>
            <w:right w:val="none" w:sz="0" w:space="0" w:color="auto"/>
          </w:divBdr>
        </w:div>
        <w:div w:id="493304632">
          <w:marLeft w:val="0"/>
          <w:marRight w:val="0"/>
          <w:marTop w:val="0"/>
          <w:marBottom w:val="0"/>
          <w:divBdr>
            <w:top w:val="none" w:sz="0" w:space="0" w:color="auto"/>
            <w:left w:val="none" w:sz="0" w:space="0" w:color="auto"/>
            <w:bottom w:val="none" w:sz="0" w:space="0" w:color="auto"/>
            <w:right w:val="none" w:sz="0" w:space="0" w:color="auto"/>
          </w:divBdr>
        </w:div>
        <w:div w:id="629289734">
          <w:marLeft w:val="0"/>
          <w:marRight w:val="0"/>
          <w:marTop w:val="0"/>
          <w:marBottom w:val="0"/>
          <w:divBdr>
            <w:top w:val="none" w:sz="0" w:space="0" w:color="auto"/>
            <w:left w:val="none" w:sz="0" w:space="0" w:color="auto"/>
            <w:bottom w:val="none" w:sz="0" w:space="0" w:color="auto"/>
            <w:right w:val="none" w:sz="0" w:space="0" w:color="auto"/>
          </w:divBdr>
        </w:div>
        <w:div w:id="713234759">
          <w:marLeft w:val="0"/>
          <w:marRight w:val="0"/>
          <w:marTop w:val="0"/>
          <w:marBottom w:val="0"/>
          <w:divBdr>
            <w:top w:val="none" w:sz="0" w:space="0" w:color="auto"/>
            <w:left w:val="none" w:sz="0" w:space="0" w:color="auto"/>
            <w:bottom w:val="none" w:sz="0" w:space="0" w:color="auto"/>
            <w:right w:val="none" w:sz="0" w:space="0" w:color="auto"/>
          </w:divBdr>
        </w:div>
        <w:div w:id="946738304">
          <w:marLeft w:val="0"/>
          <w:marRight w:val="0"/>
          <w:marTop w:val="0"/>
          <w:marBottom w:val="0"/>
          <w:divBdr>
            <w:top w:val="none" w:sz="0" w:space="0" w:color="auto"/>
            <w:left w:val="none" w:sz="0" w:space="0" w:color="auto"/>
            <w:bottom w:val="none" w:sz="0" w:space="0" w:color="auto"/>
            <w:right w:val="none" w:sz="0" w:space="0" w:color="auto"/>
          </w:divBdr>
        </w:div>
        <w:div w:id="1166094964">
          <w:marLeft w:val="0"/>
          <w:marRight w:val="0"/>
          <w:marTop w:val="0"/>
          <w:marBottom w:val="0"/>
          <w:divBdr>
            <w:top w:val="none" w:sz="0" w:space="0" w:color="auto"/>
            <w:left w:val="none" w:sz="0" w:space="0" w:color="auto"/>
            <w:bottom w:val="none" w:sz="0" w:space="0" w:color="auto"/>
            <w:right w:val="none" w:sz="0" w:space="0" w:color="auto"/>
          </w:divBdr>
          <w:divsChild>
            <w:div w:id="583881760">
              <w:marLeft w:val="0"/>
              <w:marRight w:val="0"/>
              <w:marTop w:val="0"/>
              <w:marBottom w:val="0"/>
              <w:divBdr>
                <w:top w:val="none" w:sz="0" w:space="0" w:color="auto"/>
                <w:left w:val="none" w:sz="0" w:space="0" w:color="auto"/>
                <w:bottom w:val="none" w:sz="0" w:space="0" w:color="auto"/>
                <w:right w:val="none" w:sz="0" w:space="0" w:color="auto"/>
              </w:divBdr>
            </w:div>
            <w:div w:id="894007081">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1684356526">
              <w:marLeft w:val="0"/>
              <w:marRight w:val="0"/>
              <w:marTop w:val="0"/>
              <w:marBottom w:val="0"/>
              <w:divBdr>
                <w:top w:val="none" w:sz="0" w:space="0" w:color="auto"/>
                <w:left w:val="none" w:sz="0" w:space="0" w:color="auto"/>
                <w:bottom w:val="none" w:sz="0" w:space="0" w:color="auto"/>
                <w:right w:val="none" w:sz="0" w:space="0" w:color="auto"/>
              </w:divBdr>
            </w:div>
            <w:div w:id="1751266681">
              <w:marLeft w:val="0"/>
              <w:marRight w:val="0"/>
              <w:marTop w:val="0"/>
              <w:marBottom w:val="0"/>
              <w:divBdr>
                <w:top w:val="none" w:sz="0" w:space="0" w:color="auto"/>
                <w:left w:val="none" w:sz="0" w:space="0" w:color="auto"/>
                <w:bottom w:val="none" w:sz="0" w:space="0" w:color="auto"/>
                <w:right w:val="none" w:sz="0" w:space="0" w:color="auto"/>
              </w:divBdr>
            </w:div>
          </w:divsChild>
        </w:div>
        <w:div w:id="1214463898">
          <w:marLeft w:val="0"/>
          <w:marRight w:val="0"/>
          <w:marTop w:val="0"/>
          <w:marBottom w:val="0"/>
          <w:divBdr>
            <w:top w:val="none" w:sz="0" w:space="0" w:color="auto"/>
            <w:left w:val="none" w:sz="0" w:space="0" w:color="auto"/>
            <w:bottom w:val="none" w:sz="0" w:space="0" w:color="auto"/>
            <w:right w:val="none" w:sz="0" w:space="0" w:color="auto"/>
          </w:divBdr>
          <w:divsChild>
            <w:div w:id="789472192">
              <w:marLeft w:val="0"/>
              <w:marRight w:val="0"/>
              <w:marTop w:val="0"/>
              <w:marBottom w:val="0"/>
              <w:divBdr>
                <w:top w:val="none" w:sz="0" w:space="0" w:color="auto"/>
                <w:left w:val="none" w:sz="0" w:space="0" w:color="auto"/>
                <w:bottom w:val="none" w:sz="0" w:space="0" w:color="auto"/>
                <w:right w:val="none" w:sz="0" w:space="0" w:color="auto"/>
              </w:divBdr>
            </w:div>
            <w:div w:id="1450588640">
              <w:marLeft w:val="0"/>
              <w:marRight w:val="0"/>
              <w:marTop w:val="0"/>
              <w:marBottom w:val="0"/>
              <w:divBdr>
                <w:top w:val="none" w:sz="0" w:space="0" w:color="auto"/>
                <w:left w:val="none" w:sz="0" w:space="0" w:color="auto"/>
                <w:bottom w:val="none" w:sz="0" w:space="0" w:color="auto"/>
                <w:right w:val="none" w:sz="0" w:space="0" w:color="auto"/>
              </w:divBdr>
            </w:div>
            <w:div w:id="1518035933">
              <w:marLeft w:val="0"/>
              <w:marRight w:val="0"/>
              <w:marTop w:val="0"/>
              <w:marBottom w:val="0"/>
              <w:divBdr>
                <w:top w:val="none" w:sz="0" w:space="0" w:color="auto"/>
                <w:left w:val="none" w:sz="0" w:space="0" w:color="auto"/>
                <w:bottom w:val="none" w:sz="0" w:space="0" w:color="auto"/>
                <w:right w:val="none" w:sz="0" w:space="0" w:color="auto"/>
              </w:divBdr>
            </w:div>
            <w:div w:id="1660813707">
              <w:marLeft w:val="0"/>
              <w:marRight w:val="0"/>
              <w:marTop w:val="0"/>
              <w:marBottom w:val="0"/>
              <w:divBdr>
                <w:top w:val="none" w:sz="0" w:space="0" w:color="auto"/>
                <w:left w:val="none" w:sz="0" w:space="0" w:color="auto"/>
                <w:bottom w:val="none" w:sz="0" w:space="0" w:color="auto"/>
                <w:right w:val="none" w:sz="0" w:space="0" w:color="auto"/>
              </w:divBdr>
            </w:div>
            <w:div w:id="1966736781">
              <w:marLeft w:val="0"/>
              <w:marRight w:val="0"/>
              <w:marTop w:val="0"/>
              <w:marBottom w:val="0"/>
              <w:divBdr>
                <w:top w:val="none" w:sz="0" w:space="0" w:color="auto"/>
                <w:left w:val="none" w:sz="0" w:space="0" w:color="auto"/>
                <w:bottom w:val="none" w:sz="0" w:space="0" w:color="auto"/>
                <w:right w:val="none" w:sz="0" w:space="0" w:color="auto"/>
              </w:divBdr>
            </w:div>
          </w:divsChild>
        </w:div>
        <w:div w:id="1290549927">
          <w:marLeft w:val="0"/>
          <w:marRight w:val="0"/>
          <w:marTop w:val="0"/>
          <w:marBottom w:val="0"/>
          <w:divBdr>
            <w:top w:val="none" w:sz="0" w:space="0" w:color="auto"/>
            <w:left w:val="none" w:sz="0" w:space="0" w:color="auto"/>
            <w:bottom w:val="none" w:sz="0" w:space="0" w:color="auto"/>
            <w:right w:val="none" w:sz="0" w:space="0" w:color="auto"/>
          </w:divBdr>
        </w:div>
        <w:div w:id="1417436156">
          <w:marLeft w:val="0"/>
          <w:marRight w:val="0"/>
          <w:marTop w:val="0"/>
          <w:marBottom w:val="0"/>
          <w:divBdr>
            <w:top w:val="none" w:sz="0" w:space="0" w:color="auto"/>
            <w:left w:val="none" w:sz="0" w:space="0" w:color="auto"/>
            <w:bottom w:val="none" w:sz="0" w:space="0" w:color="auto"/>
            <w:right w:val="none" w:sz="0" w:space="0" w:color="auto"/>
          </w:divBdr>
        </w:div>
        <w:div w:id="1515148165">
          <w:marLeft w:val="0"/>
          <w:marRight w:val="0"/>
          <w:marTop w:val="0"/>
          <w:marBottom w:val="0"/>
          <w:divBdr>
            <w:top w:val="none" w:sz="0" w:space="0" w:color="auto"/>
            <w:left w:val="none" w:sz="0" w:space="0" w:color="auto"/>
            <w:bottom w:val="none" w:sz="0" w:space="0" w:color="auto"/>
            <w:right w:val="none" w:sz="0" w:space="0" w:color="auto"/>
          </w:divBdr>
          <w:divsChild>
            <w:div w:id="470513962">
              <w:marLeft w:val="0"/>
              <w:marRight w:val="0"/>
              <w:marTop w:val="0"/>
              <w:marBottom w:val="0"/>
              <w:divBdr>
                <w:top w:val="none" w:sz="0" w:space="0" w:color="auto"/>
                <w:left w:val="none" w:sz="0" w:space="0" w:color="auto"/>
                <w:bottom w:val="none" w:sz="0" w:space="0" w:color="auto"/>
                <w:right w:val="none" w:sz="0" w:space="0" w:color="auto"/>
              </w:divBdr>
            </w:div>
            <w:div w:id="537401445">
              <w:marLeft w:val="0"/>
              <w:marRight w:val="0"/>
              <w:marTop w:val="0"/>
              <w:marBottom w:val="0"/>
              <w:divBdr>
                <w:top w:val="none" w:sz="0" w:space="0" w:color="auto"/>
                <w:left w:val="none" w:sz="0" w:space="0" w:color="auto"/>
                <w:bottom w:val="none" w:sz="0" w:space="0" w:color="auto"/>
                <w:right w:val="none" w:sz="0" w:space="0" w:color="auto"/>
              </w:divBdr>
            </w:div>
            <w:div w:id="1043215741">
              <w:marLeft w:val="0"/>
              <w:marRight w:val="0"/>
              <w:marTop w:val="0"/>
              <w:marBottom w:val="0"/>
              <w:divBdr>
                <w:top w:val="none" w:sz="0" w:space="0" w:color="auto"/>
                <w:left w:val="none" w:sz="0" w:space="0" w:color="auto"/>
                <w:bottom w:val="none" w:sz="0" w:space="0" w:color="auto"/>
                <w:right w:val="none" w:sz="0" w:space="0" w:color="auto"/>
              </w:divBdr>
            </w:div>
            <w:div w:id="1065833491">
              <w:marLeft w:val="0"/>
              <w:marRight w:val="0"/>
              <w:marTop w:val="0"/>
              <w:marBottom w:val="0"/>
              <w:divBdr>
                <w:top w:val="none" w:sz="0" w:space="0" w:color="auto"/>
                <w:left w:val="none" w:sz="0" w:space="0" w:color="auto"/>
                <w:bottom w:val="none" w:sz="0" w:space="0" w:color="auto"/>
                <w:right w:val="none" w:sz="0" w:space="0" w:color="auto"/>
              </w:divBdr>
            </w:div>
            <w:div w:id="2005623753">
              <w:marLeft w:val="0"/>
              <w:marRight w:val="0"/>
              <w:marTop w:val="0"/>
              <w:marBottom w:val="0"/>
              <w:divBdr>
                <w:top w:val="none" w:sz="0" w:space="0" w:color="auto"/>
                <w:left w:val="none" w:sz="0" w:space="0" w:color="auto"/>
                <w:bottom w:val="none" w:sz="0" w:space="0" w:color="auto"/>
                <w:right w:val="none" w:sz="0" w:space="0" w:color="auto"/>
              </w:divBdr>
            </w:div>
          </w:divsChild>
        </w:div>
        <w:div w:id="1534152026">
          <w:marLeft w:val="0"/>
          <w:marRight w:val="0"/>
          <w:marTop w:val="0"/>
          <w:marBottom w:val="0"/>
          <w:divBdr>
            <w:top w:val="none" w:sz="0" w:space="0" w:color="auto"/>
            <w:left w:val="none" w:sz="0" w:space="0" w:color="auto"/>
            <w:bottom w:val="none" w:sz="0" w:space="0" w:color="auto"/>
            <w:right w:val="none" w:sz="0" w:space="0" w:color="auto"/>
          </w:divBdr>
        </w:div>
        <w:div w:id="1729526959">
          <w:marLeft w:val="0"/>
          <w:marRight w:val="0"/>
          <w:marTop w:val="0"/>
          <w:marBottom w:val="0"/>
          <w:divBdr>
            <w:top w:val="none" w:sz="0" w:space="0" w:color="auto"/>
            <w:left w:val="none" w:sz="0" w:space="0" w:color="auto"/>
            <w:bottom w:val="none" w:sz="0" w:space="0" w:color="auto"/>
            <w:right w:val="none" w:sz="0" w:space="0" w:color="auto"/>
          </w:divBdr>
          <w:divsChild>
            <w:div w:id="180239233">
              <w:marLeft w:val="0"/>
              <w:marRight w:val="0"/>
              <w:marTop w:val="0"/>
              <w:marBottom w:val="0"/>
              <w:divBdr>
                <w:top w:val="none" w:sz="0" w:space="0" w:color="auto"/>
                <w:left w:val="none" w:sz="0" w:space="0" w:color="auto"/>
                <w:bottom w:val="none" w:sz="0" w:space="0" w:color="auto"/>
                <w:right w:val="none" w:sz="0" w:space="0" w:color="auto"/>
              </w:divBdr>
            </w:div>
            <w:div w:id="580140134">
              <w:marLeft w:val="0"/>
              <w:marRight w:val="0"/>
              <w:marTop w:val="0"/>
              <w:marBottom w:val="0"/>
              <w:divBdr>
                <w:top w:val="none" w:sz="0" w:space="0" w:color="auto"/>
                <w:left w:val="none" w:sz="0" w:space="0" w:color="auto"/>
                <w:bottom w:val="none" w:sz="0" w:space="0" w:color="auto"/>
                <w:right w:val="none" w:sz="0" w:space="0" w:color="auto"/>
              </w:divBdr>
            </w:div>
            <w:div w:id="821115782">
              <w:marLeft w:val="0"/>
              <w:marRight w:val="0"/>
              <w:marTop w:val="0"/>
              <w:marBottom w:val="0"/>
              <w:divBdr>
                <w:top w:val="none" w:sz="0" w:space="0" w:color="auto"/>
                <w:left w:val="none" w:sz="0" w:space="0" w:color="auto"/>
                <w:bottom w:val="none" w:sz="0" w:space="0" w:color="auto"/>
                <w:right w:val="none" w:sz="0" w:space="0" w:color="auto"/>
              </w:divBdr>
            </w:div>
            <w:div w:id="1472553621">
              <w:marLeft w:val="0"/>
              <w:marRight w:val="0"/>
              <w:marTop w:val="0"/>
              <w:marBottom w:val="0"/>
              <w:divBdr>
                <w:top w:val="none" w:sz="0" w:space="0" w:color="auto"/>
                <w:left w:val="none" w:sz="0" w:space="0" w:color="auto"/>
                <w:bottom w:val="none" w:sz="0" w:space="0" w:color="auto"/>
                <w:right w:val="none" w:sz="0" w:space="0" w:color="auto"/>
              </w:divBdr>
            </w:div>
            <w:div w:id="2127314786">
              <w:marLeft w:val="0"/>
              <w:marRight w:val="0"/>
              <w:marTop w:val="0"/>
              <w:marBottom w:val="0"/>
              <w:divBdr>
                <w:top w:val="none" w:sz="0" w:space="0" w:color="auto"/>
                <w:left w:val="none" w:sz="0" w:space="0" w:color="auto"/>
                <w:bottom w:val="none" w:sz="0" w:space="0" w:color="auto"/>
                <w:right w:val="none" w:sz="0" w:space="0" w:color="auto"/>
              </w:divBdr>
            </w:div>
          </w:divsChild>
        </w:div>
        <w:div w:id="2032341204">
          <w:marLeft w:val="0"/>
          <w:marRight w:val="0"/>
          <w:marTop w:val="0"/>
          <w:marBottom w:val="0"/>
          <w:divBdr>
            <w:top w:val="none" w:sz="0" w:space="0" w:color="auto"/>
            <w:left w:val="none" w:sz="0" w:space="0" w:color="auto"/>
            <w:bottom w:val="none" w:sz="0" w:space="0" w:color="auto"/>
            <w:right w:val="none" w:sz="0" w:space="0" w:color="auto"/>
          </w:divBdr>
          <w:divsChild>
            <w:div w:id="42413387">
              <w:marLeft w:val="0"/>
              <w:marRight w:val="0"/>
              <w:marTop w:val="0"/>
              <w:marBottom w:val="0"/>
              <w:divBdr>
                <w:top w:val="none" w:sz="0" w:space="0" w:color="auto"/>
                <w:left w:val="none" w:sz="0" w:space="0" w:color="auto"/>
                <w:bottom w:val="none" w:sz="0" w:space="0" w:color="auto"/>
                <w:right w:val="none" w:sz="0" w:space="0" w:color="auto"/>
              </w:divBdr>
            </w:div>
            <w:div w:id="281154932">
              <w:marLeft w:val="0"/>
              <w:marRight w:val="0"/>
              <w:marTop w:val="0"/>
              <w:marBottom w:val="0"/>
              <w:divBdr>
                <w:top w:val="none" w:sz="0" w:space="0" w:color="auto"/>
                <w:left w:val="none" w:sz="0" w:space="0" w:color="auto"/>
                <w:bottom w:val="none" w:sz="0" w:space="0" w:color="auto"/>
                <w:right w:val="none" w:sz="0" w:space="0" w:color="auto"/>
              </w:divBdr>
            </w:div>
            <w:div w:id="536164764">
              <w:marLeft w:val="0"/>
              <w:marRight w:val="0"/>
              <w:marTop w:val="0"/>
              <w:marBottom w:val="0"/>
              <w:divBdr>
                <w:top w:val="none" w:sz="0" w:space="0" w:color="auto"/>
                <w:left w:val="none" w:sz="0" w:space="0" w:color="auto"/>
                <w:bottom w:val="none" w:sz="0" w:space="0" w:color="auto"/>
                <w:right w:val="none" w:sz="0" w:space="0" w:color="auto"/>
              </w:divBdr>
            </w:div>
            <w:div w:id="979115860">
              <w:marLeft w:val="0"/>
              <w:marRight w:val="0"/>
              <w:marTop w:val="0"/>
              <w:marBottom w:val="0"/>
              <w:divBdr>
                <w:top w:val="none" w:sz="0" w:space="0" w:color="auto"/>
                <w:left w:val="none" w:sz="0" w:space="0" w:color="auto"/>
                <w:bottom w:val="none" w:sz="0" w:space="0" w:color="auto"/>
                <w:right w:val="none" w:sz="0" w:space="0" w:color="auto"/>
              </w:divBdr>
            </w:div>
            <w:div w:id="2017003277">
              <w:marLeft w:val="0"/>
              <w:marRight w:val="0"/>
              <w:marTop w:val="0"/>
              <w:marBottom w:val="0"/>
              <w:divBdr>
                <w:top w:val="none" w:sz="0" w:space="0" w:color="auto"/>
                <w:left w:val="none" w:sz="0" w:space="0" w:color="auto"/>
                <w:bottom w:val="none" w:sz="0" w:space="0" w:color="auto"/>
                <w:right w:val="none" w:sz="0" w:space="0" w:color="auto"/>
              </w:divBdr>
            </w:div>
          </w:divsChild>
        </w:div>
        <w:div w:id="2092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snc.org.uk/dispensing-supply/receiving-a-prescription/who-can-prescribe-what/" TargetMode="External"/><Relationship Id="rId21" Type="http://schemas.openxmlformats.org/officeDocument/2006/relationships/hyperlink" Target="https://www.nhsbsa.nhs.uk/pharmacies-gp-practices-and-appliance-contractors/serious-shortage-protocols-ssps" TargetMode="External"/><Relationship Id="rId42" Type="http://schemas.openxmlformats.org/officeDocument/2006/relationships/hyperlink" Target="https://www.nhsbsa.nhs.uk/sites/default/files/2022-05/Endorsement%20guidance%20SSP023%20Oestrogel%20substitution%20and%20restriction%2023052022.pdf" TargetMode="External"/><Relationship Id="rId63" Type="http://schemas.openxmlformats.org/officeDocument/2006/relationships/hyperlink" Target="https://www.nhsbsa.nhs.uk/pharmacies-gp-practices-and-appliance-contractors/serious-shortage-protocols-ssps" TargetMode="External"/><Relationship Id="rId84" Type="http://schemas.openxmlformats.org/officeDocument/2006/relationships/hyperlink" Target="https://psnc.org.uk/briefings/psnc-briefing-005-21-real-time-exemption-checking-rtec-faqs-factsheet/" TargetMode="External"/><Relationship Id="rId16" Type="http://schemas.openxmlformats.org/officeDocument/2006/relationships/hyperlink" Target="https://www.nhsbsa.nhs.uk/pharmacies-gp-practices-and-appliance-contractors/drug-tariff" TargetMode="External"/><Relationship Id="rId107" Type="http://schemas.openxmlformats.org/officeDocument/2006/relationships/hyperlink" Target="https://psnc.org.uk/our-news/medicine-supply-notification-suprefact-and-suprecur/" TargetMode="External"/><Relationship Id="rId11" Type="http://schemas.openxmlformats.org/officeDocument/2006/relationships/chart" Target="charts/chart1.xml"/><Relationship Id="rId32" Type="http://schemas.openxmlformats.org/officeDocument/2006/relationships/hyperlink" Target="https://psnc.org.uk/dispensing-supply/supply-chain/live-ssps/" TargetMode="External"/><Relationship Id="rId37" Type="http://schemas.openxmlformats.org/officeDocument/2006/relationships/hyperlink" Target="https://www.nhsbsa.nhs.uk/sites/default/files/2022-04/Supporting%20endorsement%20guidance%20Oestrogel%20.pdf" TargetMode="External"/><Relationship Id="rId53" Type="http://schemas.openxmlformats.org/officeDocument/2006/relationships/hyperlink" Target="https://www.nhsbsa.nhs.uk/pharmacies-gp-practices-and-appliance-contractors/serious-shortage-protocols-ssps" TargetMode="External"/><Relationship Id="rId58" Type="http://schemas.openxmlformats.org/officeDocument/2006/relationships/hyperlink" Target="https://www.nhsbsa.nhs.uk/sites/default/files/2022-05/Endorsement%20guidance%20SSP031%20Sandrena%20substitution%20and%20restriction%2023052022.pdf" TargetMode="External"/><Relationship Id="rId74" Type="http://schemas.openxmlformats.org/officeDocument/2006/relationships/hyperlink" Target="https://www.nhsbsa.nhs.uk/pharmacies-gp-practices-and-appliance-contractors/serious-shortage-protocols-ssps" TargetMode="External"/><Relationship Id="rId79" Type="http://schemas.openxmlformats.org/officeDocument/2006/relationships/hyperlink" Target="https://services.nhsbsa.nhs.uk/nhs-prescription-services-submissions/login" TargetMode="External"/><Relationship Id="rId102" Type="http://schemas.openxmlformats.org/officeDocument/2006/relationships/hyperlink" Target="https://psnc.org.uk/our-news/medicine-supply-notification-insulin-isophane-biphasic-human-50-50-insuman-comb-50-100units-ml-suspension-for-injection-3ml-cartridge/" TargetMode="External"/><Relationship Id="rId123" Type="http://schemas.openxmlformats.org/officeDocument/2006/relationships/image" Target="media/image5.png"/><Relationship Id="rId128" Type="http://schemas.openxmlformats.org/officeDocument/2006/relationships/image" Target="media/image10.png"/><Relationship Id="rId5" Type="http://schemas.openxmlformats.org/officeDocument/2006/relationships/styles" Target="styles.xml"/><Relationship Id="rId90" Type="http://schemas.openxmlformats.org/officeDocument/2006/relationships/hyperlink" Target="https://mailchi.mp/nhsbsa.nhs.uk/hints-and-tips-issue-1877637" TargetMode="External"/><Relationship Id="rId95" Type="http://schemas.openxmlformats.org/officeDocument/2006/relationships/hyperlink" Target="https://psnc.org.uk/our-news/medicine-supply-notification-methylprednisolone-medrone-4mg-tablets/" TargetMode="External"/><Relationship Id="rId22" Type="http://schemas.openxmlformats.org/officeDocument/2006/relationships/hyperlink" Target="https://psnc.org.uk/digital-and-technology/contingency-it/reporting-it/" TargetMode="External"/><Relationship Id="rId27" Type="http://schemas.openxmlformats.org/officeDocument/2006/relationships/hyperlink" Target="https://www.nhsbsa.nhs.uk/pharmacies-gp-practices-and-appliance-contractors/serious-shortage-protocols-ssps" TargetMode="External"/><Relationship Id="rId43" Type="http://schemas.openxmlformats.org/officeDocument/2006/relationships/hyperlink" Target="https://www.nhsbsa.nhs.uk/pharmacies-gp-practices-and-appliance-contractors/serious-shortage-protocols-ssps" TargetMode="External"/><Relationship Id="rId48" Type="http://schemas.openxmlformats.org/officeDocument/2006/relationships/hyperlink" Target="https://www.nhsbsa.nhs.uk/sites/default/files/2022-05/Endorsement%20guidance%20SSP026%20Lenzetto%20restriction%2023052022.pdf" TargetMode="External"/><Relationship Id="rId64" Type="http://schemas.openxmlformats.org/officeDocument/2006/relationships/hyperlink" Target="https://www.nhsbsa.nhs.uk/sites/default/files/2022-05/Endorsement%20guidance%20SSP033%20Paracetamol%20120mg%20suppositories%2031052022.pdf" TargetMode="External"/><Relationship Id="rId69" Type="http://schemas.openxmlformats.org/officeDocument/2006/relationships/hyperlink" Target="https://www.nhsbsa.nhs.uk/sites/default/files/2022-02/SSP014%20Reactivated%20Supporting%20endorsement%20guidance%20Salazopyrin%20EN-Tabs%20500mg.pdf" TargetMode="External"/><Relationship Id="rId113" Type="http://schemas.openxmlformats.org/officeDocument/2006/relationships/hyperlink" Target="https://psnc.org.uk/dispensing-supply/dispensing-controlled-drugs/controlled-drug-prescription-forms-and-validity/" TargetMode="External"/><Relationship Id="rId118" Type="http://schemas.openxmlformats.org/officeDocument/2006/relationships/hyperlink" Target="https://psnc.org.uk/dispensing-and-supply/prescription-processing/receiving-a-prescription/patient-charges/" TargetMode="External"/><Relationship Id="rId134" Type="http://schemas.openxmlformats.org/officeDocument/2006/relationships/fontTable" Target="fontTable.xml"/><Relationship Id="rId80" Type="http://schemas.openxmlformats.org/officeDocument/2006/relationships/hyperlink" Target="https://www.nhsbsa.nhs.uk/pharmacies-gp-practices-and-appliance-contractors/dispensing-contractors-information/manage-your-service-mys" TargetMode="External"/><Relationship Id="rId85" Type="http://schemas.openxmlformats.org/officeDocument/2006/relationships/hyperlink" Target="https://psnc.org.uk/dispensing-supply/dispensing-a-prescription/special-containers/special-containers-notice-of-change-to-product-special-container-status/" TargetMode="External"/><Relationship Id="rId12" Type="http://schemas.openxmlformats.org/officeDocument/2006/relationships/chart" Target="charts/chart2.xml"/><Relationship Id="rId17" Type="http://schemas.openxmlformats.org/officeDocument/2006/relationships/hyperlink" Target="https://psnc.org.uk/our-news/july-price-concessions-4th-update/" TargetMode="External"/><Relationship Id="rId33" Type="http://schemas.openxmlformats.org/officeDocument/2006/relationships/hyperlink" Target="https://www.nhsbsa.nhs.uk/pharmacies-gp-practices-and-appliance-contractors/serious-shortage-protocols-ssps" TargetMode="External"/><Relationship Id="rId38" Type="http://schemas.openxmlformats.org/officeDocument/2006/relationships/hyperlink" Target="https://www.nhsbsa.nhs.uk/sites/default/files/2022-04/Supporting%20endorsement%20guidance%20Ovestin.pdf" TargetMode="External"/><Relationship Id="rId59" Type="http://schemas.openxmlformats.org/officeDocument/2006/relationships/hyperlink" Target="https://www.nhsbsa.nhs.uk/pharmacies-gp-practices-and-appliance-contractors/serious-shortage-protocols-ssps" TargetMode="External"/><Relationship Id="rId103" Type="http://schemas.openxmlformats.org/officeDocument/2006/relationships/hyperlink" Target="https://psnc.org.uk/our-news/medicine-supply-notification-aripiprazole-10mg-tablets/" TargetMode="External"/><Relationship Id="rId108" Type="http://schemas.openxmlformats.org/officeDocument/2006/relationships/hyperlink" Target="https://psnc.org.uk/our-news/medicine-supply-notification-promethazine-hydrochloride-25mg-tablets/" TargetMode="External"/><Relationship Id="rId124" Type="http://schemas.openxmlformats.org/officeDocument/2006/relationships/image" Target="media/image6.png"/><Relationship Id="rId129" Type="http://schemas.openxmlformats.org/officeDocument/2006/relationships/image" Target="media/image11.png"/><Relationship Id="rId54" Type="http://schemas.openxmlformats.org/officeDocument/2006/relationships/hyperlink" Target="https://www.nhsbsa.nhs.uk/sites/default/files/2022-05/Endorsement%20guidance%20SSP029%20Sandrena%20restriction%2023052022.pdf" TargetMode="External"/><Relationship Id="rId70" Type="http://schemas.openxmlformats.org/officeDocument/2006/relationships/hyperlink" Target="https://www.nhsbsa.nhs.uk/pharmacies-gp-practices-and-appliance-contractors/serious-shortage-protocols-ssps" TargetMode="External"/><Relationship Id="rId75" Type="http://schemas.openxmlformats.org/officeDocument/2006/relationships/hyperlink" Target="https://www.nhsbsa.nhs.uk/sites/default/files/2022-01/SSP015%20endorsement%20guidance%20250122_1.pdf" TargetMode="External"/><Relationship Id="rId91" Type="http://schemas.openxmlformats.org/officeDocument/2006/relationships/hyperlink" Target="https://mailchi.mp/nhsbsa.nhs.uk/hints-and-tips-issue-1877637" TargetMode="External"/><Relationship Id="rId96" Type="http://schemas.openxmlformats.org/officeDocument/2006/relationships/hyperlink" Target="https://psnc.org.uk/our-news/medicine-supply-notification-acebutolol-sectral-100mg-and-200mg-capsules-and-400mg-tablets/"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nhsbsa.nhs.uk/sites/default/files/2022-03/SSP018%20-%20Salazopyrin%20500mg%20tablets.pdf" TargetMode="External"/><Relationship Id="rId28" Type="http://schemas.openxmlformats.org/officeDocument/2006/relationships/image" Target="media/image1.png"/><Relationship Id="rId49" Type="http://schemas.openxmlformats.org/officeDocument/2006/relationships/hyperlink" Target="https://www.nhsbsa.nhs.uk/pharmacies-gp-practices-and-appliance-contractors/serious-shortage-protocols-ssps" TargetMode="External"/><Relationship Id="rId114" Type="http://schemas.openxmlformats.org/officeDocument/2006/relationships/hyperlink" Target="https://psnc.org.uk/dispensing-supply/receiving-a-prescription/is-this-prescription-form-valid/" TargetMode="External"/><Relationship Id="rId119" Type="http://schemas.openxmlformats.org/officeDocument/2006/relationships/hyperlink" Target="https://psnc.org.uk/dispensing-and-supply/dispensing-process/dispensing-controlled-drugs/instalment-dispensing-fp10-and-fp10mda-including-liquid-oral-methadone/" TargetMode="External"/><Relationship Id="rId44" Type="http://schemas.openxmlformats.org/officeDocument/2006/relationships/hyperlink" Target="https://www.nhsbsa.nhs.uk/sites/default/files/2022-07/Endorsement%20guidance%20SSP024%20Ovestin%20substitution%2028072022.pdf" TargetMode="External"/><Relationship Id="rId60" Type="http://schemas.openxmlformats.org/officeDocument/2006/relationships/hyperlink" Target="https://www.nhsbsa.nhs.uk/sites/default/files/2022-05/Endorsement%20guidance%20SSP032%20Atorvastatin%20Chewable%2031052022.pdf" TargetMode="External"/><Relationship Id="rId65" Type="http://schemas.openxmlformats.org/officeDocument/2006/relationships/hyperlink" Target="https://www.nhsbsa.nhs.uk/sites/default/files/2022-04/Supporting%20endorsement%20guidance%20Premique%20low%20dose%20tablets.pdf" TargetMode="External"/><Relationship Id="rId81" Type="http://schemas.openxmlformats.org/officeDocument/2006/relationships/hyperlink" Target="https://psnc.org.uk/dispensing-supply/payment-accuracy/prescription-submission/prescription-returns/" TargetMode="External"/><Relationship Id="rId86" Type="http://schemas.openxmlformats.org/officeDocument/2006/relationships/hyperlink" Target="https://mailchi.mp/nhsbsa.nhs.uk/hints-and-tips-issue-1877637" TargetMode="External"/><Relationship Id="rId130" Type="http://schemas.openxmlformats.org/officeDocument/2006/relationships/image" Target="media/image12.png"/><Relationship Id="rId135" Type="http://schemas.openxmlformats.org/officeDocument/2006/relationships/theme" Target="theme/theme1.xml"/><Relationship Id="rId13" Type="http://schemas.openxmlformats.org/officeDocument/2006/relationships/hyperlink" Target="https://www.gov.uk/government/consultations/community-pharmacy-drug-reimbursement-reform" TargetMode="External"/><Relationship Id="rId18" Type="http://schemas.openxmlformats.org/officeDocument/2006/relationships/hyperlink" Target="https://www.nhsbsa.nhs.uk/pharmacies-gp-practices-and-appliance-contractors/drug-tariff" TargetMode="External"/><Relationship Id="rId39" Type="http://schemas.openxmlformats.org/officeDocument/2006/relationships/hyperlink" Target="https://www.nhsbsa.nhs.uk/pharmacies-gp-practices-and-appliance-contractors/serious-shortage-protocols-ssps" TargetMode="External"/><Relationship Id="rId109" Type="http://schemas.openxmlformats.org/officeDocument/2006/relationships/hyperlink" Target="https://psnc.org.uk/our-news/medicine-supply-notification-eletriptan-relpax-20mg-tablets/" TargetMode="External"/><Relationship Id="rId34" Type="http://schemas.openxmlformats.org/officeDocument/2006/relationships/hyperlink" Target="https://www.nhsbsa.nhs.uk/pharmacies-gp-practices-and-appliance-contractors/serious-shortage-protocols-ssps" TargetMode="External"/><Relationship Id="rId50" Type="http://schemas.openxmlformats.org/officeDocument/2006/relationships/hyperlink" Target="https://www.nhsbsa.nhs.uk/sites/default/files/2022-05/Endorsement%20guidance%20SSP027%20Lenzetto%20substitution%2023052022.pdf" TargetMode="External"/><Relationship Id="rId55" Type="http://schemas.openxmlformats.org/officeDocument/2006/relationships/hyperlink" Target="https://www.nhsbsa.nhs.uk/pharmacies-gp-practices-and-appliance-contractors/serious-shortage-protocols-ssps" TargetMode="External"/><Relationship Id="rId76" Type="http://schemas.openxmlformats.org/officeDocument/2006/relationships/hyperlink" Target="https://www.nhsbsa.nhs.uk/pharmacies-gp-practices-and-appliance-contractors/serious-shortage-protocols-ssps" TargetMode="External"/><Relationship Id="rId97" Type="http://schemas.openxmlformats.org/officeDocument/2006/relationships/hyperlink" Target="https://psnc.org.uk/our-news/medicine-supply-notification-bowel-evacuation-preparations/" TargetMode="External"/><Relationship Id="rId104" Type="http://schemas.openxmlformats.org/officeDocument/2006/relationships/hyperlink" Target="https://psnc.org.uk/our-news/medicine-supply-notification-fluticasone-125microgram-salmeterol-25microgram-combisal-pressurised-metered-dose-inhaler-pmdi/" TargetMode="External"/><Relationship Id="rId120" Type="http://schemas.openxmlformats.org/officeDocument/2006/relationships/image" Target="media/image2.png"/><Relationship Id="rId125" Type="http://schemas.openxmlformats.org/officeDocument/2006/relationships/image" Target="media/image7.emf"/><Relationship Id="rId7" Type="http://schemas.openxmlformats.org/officeDocument/2006/relationships/webSettings" Target="webSettings.xml"/><Relationship Id="rId71" Type="http://schemas.openxmlformats.org/officeDocument/2006/relationships/hyperlink" Target="https://www.nhsbsa.nhs.uk/sites/default/files/2022-03/Supporting%20endorsement%20guidance%20Salazopyrin%20500mg%20tablets%2010032022.pdf" TargetMode="External"/><Relationship Id="rId92" Type="http://schemas.openxmlformats.org/officeDocument/2006/relationships/hyperlink" Target="https://mailchi.mp/nhsbsa.nhs.uk/hints-and-tips-issue-1877637" TargetMode="External"/><Relationship Id="rId2" Type="http://schemas.openxmlformats.org/officeDocument/2006/relationships/customXml" Target="../customXml/item2.xml"/><Relationship Id="rId29" Type="http://schemas.openxmlformats.org/officeDocument/2006/relationships/hyperlink" Target="https://www.nhsbsa.nhs.uk/pharmacies-gp-practices-and-appliance-contractors/serious-shortage-protocols-ssps" TargetMode="External"/><Relationship Id="rId24" Type="http://schemas.openxmlformats.org/officeDocument/2006/relationships/hyperlink" Target="https://www.nhsbsa.nhs.uk/sites/default/files/2022-03/Supporting%20endorsement%20guidance%20Salazopyrin%20500mg%20tablets%2010032022.pdf" TargetMode="External"/><Relationship Id="rId40" Type="http://schemas.openxmlformats.org/officeDocument/2006/relationships/hyperlink" Target="https://www.nhsbsa.nhs.uk/sites/default/files/2022-05/Endorsement%20guidance%20SSP022%20Oestrogel%20substitution%2023052022.pdf" TargetMode="External"/><Relationship Id="rId45" Type="http://schemas.openxmlformats.org/officeDocument/2006/relationships/hyperlink" Target="https://www.nhsbsa.nhs.uk/pharmacies-gp-practices-and-appliance-contractors/serious-shortage-protocols-ssps" TargetMode="External"/><Relationship Id="rId66" Type="http://schemas.openxmlformats.org/officeDocument/2006/relationships/hyperlink" Target="https://www.nhsbsa.nhs.uk/pharmacies-gp-practices-and-appliance-contractors/serious-shortage-protocols-ssps" TargetMode="External"/><Relationship Id="rId87" Type="http://schemas.openxmlformats.org/officeDocument/2006/relationships/hyperlink" Target="https://mailchi.mp/nhsbsa.nhs.uk/hints-and-tips-issue-1877637" TargetMode="External"/><Relationship Id="rId110" Type="http://schemas.openxmlformats.org/officeDocument/2006/relationships/hyperlink" Target="https://psnc.org.uk/dispensing-supply/supply-chain/generic-shortages/" TargetMode="External"/><Relationship Id="rId115" Type="http://schemas.openxmlformats.org/officeDocument/2006/relationships/hyperlink" Target="https://psnc.org.uk/dispensing-supply/supply-chain/medicine-shortages/" TargetMode="External"/><Relationship Id="rId131" Type="http://schemas.openxmlformats.org/officeDocument/2006/relationships/image" Target="media/image13.png"/><Relationship Id="rId61" Type="http://schemas.openxmlformats.org/officeDocument/2006/relationships/hyperlink" Target="https://www.nhsbsa.nhs.uk/pharmacies-gp-practices-and-appliance-contractors/serious-shortage-protocols-ssps" TargetMode="External"/><Relationship Id="rId82" Type="http://schemas.openxmlformats.org/officeDocument/2006/relationships/hyperlink" Target="https://psnc.org.uk/briefings/understanding-prescription-returns-and-disallowed-items/" TargetMode="External"/><Relationship Id="rId19" Type="http://schemas.openxmlformats.org/officeDocument/2006/relationships/hyperlink" Target="https://psnc.org.uk/wp-content/uploads/2019/05/Dispensing-and-Supply-Factsheet-What-is-the-Price-Change-Mechanism.pdf" TargetMode="External"/><Relationship Id="rId14" Type="http://schemas.openxmlformats.org/officeDocument/2006/relationships/hyperlink" Target="https://psnc.org.uk/briefings/psnc-briefing-027-22-discount-deduction-scale-changes-explained/" TargetMode="External"/><Relationship Id="rId30" Type="http://schemas.openxmlformats.org/officeDocument/2006/relationships/hyperlink" Target="https://www.nhsbsa.nhs.uk/pharmacies-gp-practices-and-appliance-contractors/serious-shortage-protocols-ssps" TargetMode="External"/><Relationship Id="rId35" Type="http://schemas.openxmlformats.org/officeDocument/2006/relationships/hyperlink" Target="https://www.nhsbsa.nhs.uk/pharmacies-gp-practices-and-appliance-contractors/serious-shortage-protocols-ssps" TargetMode="External"/><Relationship Id="rId56" Type="http://schemas.openxmlformats.org/officeDocument/2006/relationships/hyperlink" Target="https://www.nhsbsa.nhs.uk/sites/default/files/2022-05/Endorsement%20guidance%20SSP030%20Sandrena%20substitution%2023052022.pdf" TargetMode="External"/><Relationship Id="rId77" Type="http://schemas.openxmlformats.org/officeDocument/2006/relationships/hyperlink" Target="https://psnc.org.uk/wp-content/uploads/2021/11/PSNC-Briefing-048.21-Serious-Shortage-Protocols-SSPs-SSP013-Atorvastatin-20mg-chewable-tablets.pdf" TargetMode="External"/><Relationship Id="rId100" Type="http://schemas.openxmlformats.org/officeDocument/2006/relationships/hyperlink" Target="https://psnc.org.uk/our-news/medicine-supply-notification-hydrocortisone-sodium-phosphate-100mg-1ml-solution-for-injection-ampoules/" TargetMode="External"/><Relationship Id="rId105" Type="http://schemas.openxmlformats.org/officeDocument/2006/relationships/hyperlink" Target="https://psnc.org.uk/our-news/medicine-supply-notification-paroxetine-seroxat-20mg-10ml-oral-suspension/" TargetMode="External"/><Relationship Id="rId126" Type="http://schemas.openxmlformats.org/officeDocument/2006/relationships/image" Target="media/image8.png"/><Relationship Id="rId8" Type="http://schemas.openxmlformats.org/officeDocument/2006/relationships/footnotes" Target="footnotes.xml"/><Relationship Id="rId51" Type="http://schemas.openxmlformats.org/officeDocument/2006/relationships/hyperlink" Target="https://www.nhsbsa.nhs.uk/pharmacies-gp-practices-and-appliance-contractors/serious-shortage-protocols-ssps" TargetMode="External"/><Relationship Id="rId72" Type="http://schemas.openxmlformats.org/officeDocument/2006/relationships/hyperlink" Target="https://www.nhsbsa.nhs.uk/pharmacies-gp-practices-and-appliance-contractors/serious-shortage-protocols-ssps" TargetMode="External"/><Relationship Id="rId93" Type="http://schemas.openxmlformats.org/officeDocument/2006/relationships/hyperlink" Target="https://www.nhsbsa.nhs.uk/pharmacies-gp-practices-and-appliance-contractors/hints-and-tips-open-days-and-webinars" TargetMode="External"/><Relationship Id="rId98" Type="http://schemas.openxmlformats.org/officeDocument/2006/relationships/hyperlink" Target="https://psnc.org.uk/our-news/medicine-supply-notification-diltiazem-tildiem-retard-90mg-and-120mg-modified-release-tablets/" TargetMode="External"/><Relationship Id="rId121" Type="http://schemas.openxmlformats.org/officeDocument/2006/relationships/image" Target="media/image3.png"/><Relationship Id="rId3" Type="http://schemas.openxmlformats.org/officeDocument/2006/relationships/customXml" Target="../customXml/item3.xml"/><Relationship Id="rId25" Type="http://schemas.openxmlformats.org/officeDocument/2006/relationships/hyperlink" Target="https://www.nhsbsa.nhs.uk/endorsing-serious-shortage-protocols-ssps-0" TargetMode="External"/><Relationship Id="rId46" Type="http://schemas.openxmlformats.org/officeDocument/2006/relationships/hyperlink" Target="https://www.nhsbsa.nhs.uk/sites/default/files/2022-07/Endorsement%20guidance%20SSP025%20Ovestin%20substitution%20and%20restriction%2028072022.pdf" TargetMode="External"/><Relationship Id="rId67" Type="http://schemas.openxmlformats.org/officeDocument/2006/relationships/hyperlink" Target="https://www.nhsbsa.nhs.uk/sites/default/files/2022-02/Supporting%20endorsement%20guidance%20SSP017%20atorvastatin%2020mg%20chewable%20tablets%2014022022.pdf" TargetMode="External"/><Relationship Id="rId116" Type="http://schemas.openxmlformats.org/officeDocument/2006/relationships/hyperlink" Target="https://psnc.org.uk/dispensing-and-supply/prescription-processing/receiving-a-prescription/patient-charges/exemptions/" TargetMode="External"/><Relationship Id="rId20" Type="http://schemas.openxmlformats.org/officeDocument/2006/relationships/hyperlink" Target="https://www.nhsbsa.nhs.uk/pharmacies-gp-practices-and-appliance-contractors/serious-shortage-protocols-ssps" TargetMode="External"/><Relationship Id="rId41" Type="http://schemas.openxmlformats.org/officeDocument/2006/relationships/hyperlink" Target="https://www.nhsbsa.nhs.uk/pharmacies-gp-practices-and-appliance-contractors/serious-shortage-protocols-ssps" TargetMode="External"/><Relationship Id="rId62" Type="http://schemas.openxmlformats.org/officeDocument/2006/relationships/hyperlink" Target="https://www.nhsbsa.nhs.uk/sites/default/files/2022-07/Endorsement%20guidance%20SSP034%20Combisal%2028072022%20FINAL.pdf" TargetMode="External"/><Relationship Id="rId83" Type="http://schemas.openxmlformats.org/officeDocument/2006/relationships/hyperlink" Target="https://psnc.org.uk/digital-and-technology/systems-apps/real-time-exemption-checking-rtec/" TargetMode="External"/><Relationship Id="rId88" Type="http://schemas.openxmlformats.org/officeDocument/2006/relationships/hyperlink" Target="https://mailchi.mp/nhsbsa.nhs.uk/hints-and-tips-issue-1877637" TargetMode="External"/><Relationship Id="rId111" Type="http://schemas.openxmlformats.org/officeDocument/2006/relationships/hyperlink" Target="https://psnc.org.uk/dispensing-and-supply/supply-chain/ssps/" TargetMode="External"/><Relationship Id="rId132" Type="http://schemas.openxmlformats.org/officeDocument/2006/relationships/header" Target="header1.xml"/><Relationship Id="rId15" Type="http://schemas.openxmlformats.org/officeDocument/2006/relationships/hyperlink" Target="https://psnc.org.uk/briefings/psnc-briefing-028-22-faqs-on-the-changes-to-the-discount-deduction-scale/" TargetMode="External"/><Relationship Id="rId36" Type="http://schemas.openxmlformats.org/officeDocument/2006/relationships/hyperlink" Target="https://psnc.org.uk/dispensing-supply/psnc-briefings-dispensing-and-supply/psnc-briefing-015-20-serious-shortage-protocols-ssps-ssp05-fluoxetine-10mg-tablets/" TargetMode="External"/><Relationship Id="rId57" Type="http://schemas.openxmlformats.org/officeDocument/2006/relationships/hyperlink" Target="https://www.nhsbsa.nhs.uk/pharmacies-gp-practices-and-appliance-contractors/serious-shortage-protocols-ssps" TargetMode="External"/><Relationship Id="rId106" Type="http://schemas.openxmlformats.org/officeDocument/2006/relationships/hyperlink" Target="https://psnc.org.uk/our-news/medicine-supply-notification-alendronic-acid-70mg-tablets/" TargetMode="External"/><Relationship Id="rId127" Type="http://schemas.openxmlformats.org/officeDocument/2006/relationships/image" Target="media/image9.png"/><Relationship Id="rId10" Type="http://schemas.openxmlformats.org/officeDocument/2006/relationships/hyperlink" Target="https://psnc.org.uk/our-news/psnc-to-seek-overhaul-of-pricing-concessions-system/" TargetMode="External"/><Relationship Id="rId31" Type="http://schemas.openxmlformats.org/officeDocument/2006/relationships/hyperlink" Target="https://www.nhsbsa.nhs.uk/endorsing-serious-shortage-protocols-ssps-0" TargetMode="External"/><Relationship Id="rId52" Type="http://schemas.openxmlformats.org/officeDocument/2006/relationships/hyperlink" Target="https://www.nhsbsa.nhs.uk/sites/default/files/2022-05/Endorsement%20guidance%20SSP028%20Lenzetto%20substitution%20and%20restriction%2023052022.pdf" TargetMode="External"/><Relationship Id="rId73" Type="http://schemas.openxmlformats.org/officeDocument/2006/relationships/hyperlink" Target="https://www.nhsbsa.nhs.uk/sites/default/files/2022-02/Supporting%20endorsement%20guidance%20SSP016%20atorvastatin%2010mg%20chewable%20tablets%2014022022.pdf" TargetMode="External"/><Relationship Id="rId78" Type="http://schemas.openxmlformats.org/officeDocument/2006/relationships/hyperlink" Target="https://psnc.org.uk/dispensing-supply/supply-chain/live-ssps/" TargetMode="External"/><Relationship Id="rId94" Type="http://schemas.openxmlformats.org/officeDocument/2006/relationships/hyperlink" Target="https://psnc.org.uk/our-news/medicine-supply-notification-medroxyprogesterone-provera-10mg-tablets/" TargetMode="External"/><Relationship Id="rId99" Type="http://schemas.openxmlformats.org/officeDocument/2006/relationships/hyperlink" Target="https://psnc.org.uk/our-news/vaccine-supply-notification-varicella-vaccine-live-powder-and-solvent-for-suspension-solution-for-injection-0-5ml-vials-varivax-and-varilrix/" TargetMode="External"/><Relationship Id="rId101" Type="http://schemas.openxmlformats.org/officeDocument/2006/relationships/hyperlink" Target="https://psnc.org.uk/our-news/medicine-supply-notification-disopyramide-150mg-capsules/" TargetMode="External"/><Relationship Id="rId122"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nhsbsa.nhs.uk/pharmacies-gp-practices-and-appliance-contractors/serious-shortage-protocols-ssps" TargetMode="External"/><Relationship Id="rId47" Type="http://schemas.openxmlformats.org/officeDocument/2006/relationships/hyperlink" Target="https://www.nhsbsa.nhs.uk/pharmacies-gp-practices-and-appliance-contractors/serious-shortage-protocols-ssps" TargetMode="External"/><Relationship Id="rId68" Type="http://schemas.openxmlformats.org/officeDocument/2006/relationships/hyperlink" Target="https://www.nhsbsa.nhs.uk/pharmacies-gp-practices-and-appliance-contractors/serious-shortage-protocols-ssps" TargetMode="External"/><Relationship Id="rId89" Type="http://schemas.openxmlformats.org/officeDocument/2006/relationships/hyperlink" Target="https://mailchi.mp/nhsbsa.nhs.uk/hints-and-tips-issue-1877637" TargetMode="External"/><Relationship Id="rId112" Type="http://schemas.openxmlformats.org/officeDocument/2006/relationships/hyperlink" Target="https://psnc.org.uk/dispensing-and-supply/dispensing-process/dispensing-a-prescription/special-containers/special-container-database/" TargetMode="External"/><Relationship Id="rId133"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onwar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onward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r>
              <a:rPr lang="en-US" sz="1100"/>
              <a:t>Percentage of price concessions agreed, agreed no price concession, imposed or not granted </a:t>
            </a:r>
          </a:p>
        </c:rich>
      </c:tx>
      <c:overlay val="0"/>
      <c:spPr>
        <a:noFill/>
        <a:ln>
          <a:noFill/>
        </a:ln>
        <a:effectLst/>
      </c:spPr>
      <c:txPr>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6.2376646527419762E-2"/>
          <c:y val="0.20758620689655172"/>
          <c:w val="0.73738117680441984"/>
          <c:h val="0.63851208254140646"/>
        </c:manualLayout>
      </c:layout>
      <c:barChart>
        <c:barDir val="col"/>
        <c:grouping val="percentStacked"/>
        <c:varyColors val="0"/>
        <c:ser>
          <c:idx val="0"/>
          <c:order val="0"/>
          <c:tx>
            <c:strRef>
              <c:f>'Summary &amp; Graphs'!$A$2</c:f>
              <c:strCache>
                <c:ptCount val="1"/>
                <c:pt idx="0">
                  <c:v>DHSC &amp; PSNC Agreed (not including agreed no concessionary prices)</c:v>
                </c:pt>
              </c:strCache>
            </c:strRef>
          </c:tx>
          <c:spPr>
            <a:solidFill>
              <a:srgbClr val="70AD47"/>
            </a:solidFill>
            <a:ln>
              <a:noFill/>
            </a:ln>
            <a:effectLst/>
          </c:spPr>
          <c:invertIfNegative val="0"/>
          <c:cat>
            <c:numRef>
              <c:f>'Summary &amp; Graphs'!$B$1:$BG$1</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'Summary &amp; Graphs'!$B$2:$BG$2</c:f>
              <c:numCache>
                <c:formatCode>General</c:formatCode>
                <c:ptCount val="20"/>
                <c:pt idx="0">
                  <c:v>31</c:v>
                </c:pt>
                <c:pt idx="1">
                  <c:v>37</c:v>
                </c:pt>
                <c:pt idx="2">
                  <c:v>35</c:v>
                </c:pt>
                <c:pt idx="3">
                  <c:v>26</c:v>
                </c:pt>
                <c:pt idx="4">
                  <c:v>31</c:v>
                </c:pt>
                <c:pt idx="5">
                  <c:v>32</c:v>
                </c:pt>
                <c:pt idx="6">
                  <c:v>27</c:v>
                </c:pt>
                <c:pt idx="7">
                  <c:v>34</c:v>
                </c:pt>
                <c:pt idx="8">
                  <c:v>42</c:v>
                </c:pt>
                <c:pt idx="9">
                  <c:v>40</c:v>
                </c:pt>
                <c:pt idx="10">
                  <c:v>52</c:v>
                </c:pt>
                <c:pt idx="11">
                  <c:v>64</c:v>
                </c:pt>
                <c:pt idx="12">
                  <c:v>81</c:v>
                </c:pt>
                <c:pt idx="13">
                  <c:v>76</c:v>
                </c:pt>
                <c:pt idx="14">
                  <c:v>85</c:v>
                </c:pt>
                <c:pt idx="15">
                  <c:v>70</c:v>
                </c:pt>
                <c:pt idx="16">
                  <c:v>79</c:v>
                </c:pt>
                <c:pt idx="17">
                  <c:v>86</c:v>
                </c:pt>
                <c:pt idx="18">
                  <c:v>54</c:v>
                </c:pt>
                <c:pt idx="19">
                  <c:v>99</c:v>
                </c:pt>
              </c:numCache>
            </c:numRef>
          </c:val>
          <c:extLst>
            <c:ext xmlns:c16="http://schemas.microsoft.com/office/drawing/2014/chart" uri="{C3380CC4-5D6E-409C-BE32-E72D297353CC}">
              <c16:uniqueId val="{00000000-0DF3-4DD3-8BED-34F624EA00A4}"/>
            </c:ext>
          </c:extLst>
        </c:ser>
        <c:ser>
          <c:idx val="1"/>
          <c:order val="1"/>
          <c:tx>
            <c:strRef>
              <c:f>'Summary &amp; Graphs'!$A$3</c:f>
              <c:strCache>
                <c:ptCount val="1"/>
                <c:pt idx="0">
                  <c:v>Agreed no concessionary price </c:v>
                </c:pt>
              </c:strCache>
            </c:strRef>
          </c:tx>
          <c:spPr>
            <a:solidFill>
              <a:srgbClr val="FFC000"/>
            </a:solidFill>
            <a:ln>
              <a:noFill/>
            </a:ln>
            <a:effectLst/>
          </c:spPr>
          <c:invertIfNegative val="0"/>
          <c:cat>
            <c:numRef>
              <c:f>'Summary &amp; Graphs'!$B$1:$BG$1</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'Summary &amp; Graphs'!$B$3:$BG$3</c:f>
              <c:numCache>
                <c:formatCode>General</c:formatCode>
                <c:ptCount val="20"/>
                <c:pt idx="0">
                  <c:v>0</c:v>
                </c:pt>
                <c:pt idx="1">
                  <c:v>0</c:v>
                </c:pt>
                <c:pt idx="2">
                  <c:v>1</c:v>
                </c:pt>
                <c:pt idx="3">
                  <c:v>3</c:v>
                </c:pt>
                <c:pt idx="4">
                  <c:v>0</c:v>
                </c:pt>
                <c:pt idx="5">
                  <c:v>3</c:v>
                </c:pt>
                <c:pt idx="6">
                  <c:v>4</c:v>
                </c:pt>
                <c:pt idx="7">
                  <c:v>1</c:v>
                </c:pt>
                <c:pt idx="8">
                  <c:v>1</c:v>
                </c:pt>
                <c:pt idx="9">
                  <c:v>1</c:v>
                </c:pt>
                <c:pt idx="10">
                  <c:v>2</c:v>
                </c:pt>
                <c:pt idx="11">
                  <c:v>2</c:v>
                </c:pt>
                <c:pt idx="12">
                  <c:v>11</c:v>
                </c:pt>
                <c:pt idx="13">
                  <c:v>14</c:v>
                </c:pt>
                <c:pt idx="14">
                  <c:v>3</c:v>
                </c:pt>
                <c:pt idx="15">
                  <c:v>0</c:v>
                </c:pt>
                <c:pt idx="16">
                  <c:v>0</c:v>
                </c:pt>
                <c:pt idx="17">
                  <c:v>2</c:v>
                </c:pt>
                <c:pt idx="18">
                  <c:v>1</c:v>
                </c:pt>
                <c:pt idx="19">
                  <c:v>1</c:v>
                </c:pt>
              </c:numCache>
            </c:numRef>
          </c:val>
          <c:extLst>
            <c:ext xmlns:c16="http://schemas.microsoft.com/office/drawing/2014/chart" uri="{C3380CC4-5D6E-409C-BE32-E72D297353CC}">
              <c16:uniqueId val="{00000001-0DF3-4DD3-8BED-34F624EA00A4}"/>
            </c:ext>
          </c:extLst>
        </c:ser>
        <c:ser>
          <c:idx val="2"/>
          <c:order val="2"/>
          <c:tx>
            <c:strRef>
              <c:f>'Summary &amp; Graphs'!$A$4</c:f>
              <c:strCache>
                <c:ptCount val="1"/>
                <c:pt idx="0">
                  <c:v>DHSC imposed</c:v>
                </c:pt>
              </c:strCache>
            </c:strRef>
          </c:tx>
          <c:spPr>
            <a:solidFill>
              <a:srgbClr val="FF0000"/>
            </a:solidFill>
            <a:ln>
              <a:noFill/>
            </a:ln>
            <a:effectLst/>
          </c:spPr>
          <c:invertIfNegative val="0"/>
          <c:cat>
            <c:numRef>
              <c:f>'Summary &amp; Graphs'!$B$1:$BG$1</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'Summary &amp; Graphs'!$B$4:$BG$4</c:f>
              <c:numCache>
                <c:formatCode>General</c:formatCode>
                <c:ptCount val="20"/>
                <c:pt idx="0">
                  <c:v>10</c:v>
                </c:pt>
                <c:pt idx="1">
                  <c:v>8</c:v>
                </c:pt>
                <c:pt idx="2">
                  <c:v>12</c:v>
                </c:pt>
                <c:pt idx="3">
                  <c:v>16</c:v>
                </c:pt>
                <c:pt idx="4">
                  <c:v>6</c:v>
                </c:pt>
                <c:pt idx="5">
                  <c:v>7</c:v>
                </c:pt>
                <c:pt idx="6">
                  <c:v>6</c:v>
                </c:pt>
                <c:pt idx="7">
                  <c:v>4</c:v>
                </c:pt>
                <c:pt idx="8">
                  <c:v>2</c:v>
                </c:pt>
                <c:pt idx="9">
                  <c:v>8</c:v>
                </c:pt>
                <c:pt idx="10">
                  <c:v>8</c:v>
                </c:pt>
                <c:pt idx="11">
                  <c:v>9</c:v>
                </c:pt>
                <c:pt idx="12">
                  <c:v>20</c:v>
                </c:pt>
                <c:pt idx="13">
                  <c:v>15</c:v>
                </c:pt>
                <c:pt idx="14">
                  <c:v>15</c:v>
                </c:pt>
                <c:pt idx="15">
                  <c:v>19</c:v>
                </c:pt>
                <c:pt idx="16">
                  <c:v>23</c:v>
                </c:pt>
                <c:pt idx="17">
                  <c:v>25</c:v>
                </c:pt>
                <c:pt idx="18">
                  <c:v>41</c:v>
                </c:pt>
                <c:pt idx="19">
                  <c:v>39</c:v>
                </c:pt>
              </c:numCache>
            </c:numRef>
          </c:val>
          <c:extLst>
            <c:ext xmlns:c16="http://schemas.microsoft.com/office/drawing/2014/chart" uri="{C3380CC4-5D6E-409C-BE32-E72D297353CC}">
              <c16:uniqueId val="{00000002-0DF3-4DD3-8BED-34F624EA00A4}"/>
            </c:ext>
          </c:extLst>
        </c:ser>
        <c:ser>
          <c:idx val="3"/>
          <c:order val="3"/>
          <c:tx>
            <c:strRef>
              <c:f>'Summary &amp; Graphs'!$A$5</c:f>
              <c:strCache>
                <c:ptCount val="1"/>
                <c:pt idx="0">
                  <c:v>DHSC refused to grant price concession</c:v>
                </c:pt>
              </c:strCache>
            </c:strRef>
          </c:tx>
          <c:spPr>
            <a:solidFill>
              <a:srgbClr val="4472C4"/>
            </a:solidFill>
            <a:ln>
              <a:noFill/>
            </a:ln>
            <a:effectLst/>
          </c:spPr>
          <c:invertIfNegative val="0"/>
          <c:cat>
            <c:numRef>
              <c:f>'Summary &amp; Graphs'!$B$1:$BG$1</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'Summary &amp; Graphs'!$B$5:$BG$5</c:f>
              <c:numCache>
                <c:formatCode>General</c:formatCode>
                <c:ptCount val="20"/>
                <c:pt idx="0">
                  <c:v>4</c:v>
                </c:pt>
                <c:pt idx="1">
                  <c:v>3</c:v>
                </c:pt>
                <c:pt idx="2">
                  <c:v>4</c:v>
                </c:pt>
                <c:pt idx="3">
                  <c:v>1</c:v>
                </c:pt>
                <c:pt idx="4">
                  <c:v>1</c:v>
                </c:pt>
                <c:pt idx="5">
                  <c:v>1</c:v>
                </c:pt>
                <c:pt idx="6">
                  <c:v>3</c:v>
                </c:pt>
                <c:pt idx="7">
                  <c:v>1</c:v>
                </c:pt>
                <c:pt idx="8">
                  <c:v>1</c:v>
                </c:pt>
                <c:pt idx="9">
                  <c:v>0</c:v>
                </c:pt>
                <c:pt idx="10">
                  <c:v>0</c:v>
                </c:pt>
                <c:pt idx="11">
                  <c:v>1</c:v>
                </c:pt>
                <c:pt idx="12">
                  <c:v>6</c:v>
                </c:pt>
                <c:pt idx="13">
                  <c:v>4</c:v>
                </c:pt>
                <c:pt idx="14">
                  <c:v>2</c:v>
                </c:pt>
                <c:pt idx="15">
                  <c:v>3</c:v>
                </c:pt>
                <c:pt idx="16">
                  <c:v>3</c:v>
                </c:pt>
                <c:pt idx="17">
                  <c:v>4</c:v>
                </c:pt>
                <c:pt idx="18">
                  <c:v>3</c:v>
                </c:pt>
                <c:pt idx="19">
                  <c:v>1</c:v>
                </c:pt>
              </c:numCache>
            </c:numRef>
          </c:val>
          <c:extLst>
            <c:ext xmlns:c16="http://schemas.microsoft.com/office/drawing/2014/chart" uri="{C3380CC4-5D6E-409C-BE32-E72D297353CC}">
              <c16:uniqueId val="{00000003-0DF3-4DD3-8BED-34F624EA00A4}"/>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max val="44775"/>
          <c:min val="44197"/>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82116601603928774"/>
          <c:y val="0.18233535463239506"/>
          <c:w val="0.16812988760698824"/>
          <c:h val="0.725983678165206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r>
              <a:rPr lang="en-US" sz="1100"/>
              <a:t>Number of price concessions agreed, agreed no price concession, imposed or not granted </a:t>
            </a:r>
          </a:p>
        </c:rich>
      </c:tx>
      <c:overlay val="0"/>
      <c:spPr>
        <a:noFill/>
        <a:ln>
          <a:noFill/>
        </a:ln>
        <a:effectLst/>
      </c:spPr>
      <c:txPr>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5.0887104419546143E-2"/>
          <c:y val="0.20758620689655172"/>
          <c:w val="0.75101395926479153"/>
          <c:h val="0.63851208254140646"/>
        </c:manualLayout>
      </c:layout>
      <c:barChart>
        <c:barDir val="col"/>
        <c:grouping val="stacked"/>
        <c:varyColors val="0"/>
        <c:ser>
          <c:idx val="0"/>
          <c:order val="0"/>
          <c:tx>
            <c:strRef>
              <c:f>'Summary &amp; Graphs'!$A$2</c:f>
              <c:strCache>
                <c:ptCount val="1"/>
                <c:pt idx="0">
                  <c:v>DHSC &amp; PSNC Agreed (not including agreed no concessionary prices)</c:v>
                </c:pt>
              </c:strCache>
            </c:strRef>
          </c:tx>
          <c:spPr>
            <a:solidFill>
              <a:srgbClr val="70AD47"/>
            </a:solidFill>
            <a:ln>
              <a:noFill/>
            </a:ln>
            <a:effectLst/>
          </c:spPr>
          <c:invertIfNegative val="0"/>
          <c:cat>
            <c:numRef>
              <c:f>'Summary &amp; Graphs'!$B$1:$BG$1</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'Summary &amp; Graphs'!$B$2:$BG$2</c:f>
              <c:numCache>
                <c:formatCode>General</c:formatCode>
                <c:ptCount val="20"/>
                <c:pt idx="0">
                  <c:v>31</c:v>
                </c:pt>
                <c:pt idx="1">
                  <c:v>37</c:v>
                </c:pt>
                <c:pt idx="2">
                  <c:v>35</c:v>
                </c:pt>
                <c:pt idx="3">
                  <c:v>26</c:v>
                </c:pt>
                <c:pt idx="4">
                  <c:v>31</c:v>
                </c:pt>
                <c:pt idx="5">
                  <c:v>32</c:v>
                </c:pt>
                <c:pt idx="6">
                  <c:v>27</c:v>
                </c:pt>
                <c:pt idx="7">
                  <c:v>34</c:v>
                </c:pt>
                <c:pt idx="8">
                  <c:v>42</c:v>
                </c:pt>
                <c:pt idx="9">
                  <c:v>40</c:v>
                </c:pt>
                <c:pt idx="10">
                  <c:v>52</c:v>
                </c:pt>
                <c:pt idx="11">
                  <c:v>64</c:v>
                </c:pt>
                <c:pt idx="12">
                  <c:v>81</c:v>
                </c:pt>
                <c:pt idx="13">
                  <c:v>76</c:v>
                </c:pt>
                <c:pt idx="14">
                  <c:v>85</c:v>
                </c:pt>
                <c:pt idx="15">
                  <c:v>70</c:v>
                </c:pt>
                <c:pt idx="16">
                  <c:v>79</c:v>
                </c:pt>
                <c:pt idx="17">
                  <c:v>86</c:v>
                </c:pt>
                <c:pt idx="18">
                  <c:v>54</c:v>
                </c:pt>
                <c:pt idx="19">
                  <c:v>99</c:v>
                </c:pt>
              </c:numCache>
            </c:numRef>
          </c:val>
          <c:extLst>
            <c:ext xmlns:c16="http://schemas.microsoft.com/office/drawing/2014/chart" uri="{C3380CC4-5D6E-409C-BE32-E72D297353CC}">
              <c16:uniqueId val="{00000000-C3C5-44F2-9AD8-FD2940618247}"/>
            </c:ext>
          </c:extLst>
        </c:ser>
        <c:ser>
          <c:idx val="1"/>
          <c:order val="1"/>
          <c:tx>
            <c:strRef>
              <c:f>'Summary &amp; Graphs'!$A$3</c:f>
              <c:strCache>
                <c:ptCount val="1"/>
                <c:pt idx="0">
                  <c:v>Agreed no concessionary price </c:v>
                </c:pt>
              </c:strCache>
            </c:strRef>
          </c:tx>
          <c:spPr>
            <a:solidFill>
              <a:srgbClr val="FFC000"/>
            </a:solidFill>
            <a:ln>
              <a:noFill/>
            </a:ln>
            <a:effectLst/>
          </c:spPr>
          <c:invertIfNegative val="0"/>
          <c:cat>
            <c:numRef>
              <c:f>'Summary &amp; Graphs'!$B$1:$BG$1</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'Summary &amp; Graphs'!$B$3:$BG$3</c:f>
              <c:numCache>
                <c:formatCode>General</c:formatCode>
                <c:ptCount val="20"/>
                <c:pt idx="0">
                  <c:v>0</c:v>
                </c:pt>
                <c:pt idx="1">
                  <c:v>0</c:v>
                </c:pt>
                <c:pt idx="2">
                  <c:v>1</c:v>
                </c:pt>
                <c:pt idx="3">
                  <c:v>3</c:v>
                </c:pt>
                <c:pt idx="4">
                  <c:v>0</c:v>
                </c:pt>
                <c:pt idx="5">
                  <c:v>3</c:v>
                </c:pt>
                <c:pt idx="6">
                  <c:v>4</c:v>
                </c:pt>
                <c:pt idx="7">
                  <c:v>1</c:v>
                </c:pt>
                <c:pt idx="8">
                  <c:v>1</c:v>
                </c:pt>
                <c:pt idx="9">
                  <c:v>1</c:v>
                </c:pt>
                <c:pt idx="10">
                  <c:v>2</c:v>
                </c:pt>
                <c:pt idx="11">
                  <c:v>2</c:v>
                </c:pt>
                <c:pt idx="12">
                  <c:v>11</c:v>
                </c:pt>
                <c:pt idx="13">
                  <c:v>14</c:v>
                </c:pt>
                <c:pt idx="14">
                  <c:v>3</c:v>
                </c:pt>
                <c:pt idx="15">
                  <c:v>0</c:v>
                </c:pt>
                <c:pt idx="16">
                  <c:v>0</c:v>
                </c:pt>
                <c:pt idx="17">
                  <c:v>2</c:v>
                </c:pt>
                <c:pt idx="18">
                  <c:v>1</c:v>
                </c:pt>
                <c:pt idx="19">
                  <c:v>1</c:v>
                </c:pt>
              </c:numCache>
            </c:numRef>
          </c:val>
          <c:extLst>
            <c:ext xmlns:c16="http://schemas.microsoft.com/office/drawing/2014/chart" uri="{C3380CC4-5D6E-409C-BE32-E72D297353CC}">
              <c16:uniqueId val="{00000001-C3C5-44F2-9AD8-FD2940618247}"/>
            </c:ext>
          </c:extLst>
        </c:ser>
        <c:ser>
          <c:idx val="2"/>
          <c:order val="2"/>
          <c:tx>
            <c:strRef>
              <c:f>'Summary &amp; Graphs'!$A$4</c:f>
              <c:strCache>
                <c:ptCount val="1"/>
                <c:pt idx="0">
                  <c:v>DHSC imposed</c:v>
                </c:pt>
              </c:strCache>
            </c:strRef>
          </c:tx>
          <c:spPr>
            <a:solidFill>
              <a:srgbClr val="FF0000"/>
            </a:solidFill>
            <a:ln>
              <a:noFill/>
            </a:ln>
            <a:effectLst/>
          </c:spPr>
          <c:invertIfNegative val="0"/>
          <c:cat>
            <c:numRef>
              <c:f>'Summary &amp; Graphs'!$B$1:$BG$1</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'Summary &amp; Graphs'!$B$4:$BG$4</c:f>
              <c:numCache>
                <c:formatCode>General</c:formatCode>
                <c:ptCount val="20"/>
                <c:pt idx="0">
                  <c:v>10</c:v>
                </c:pt>
                <c:pt idx="1">
                  <c:v>8</c:v>
                </c:pt>
                <c:pt idx="2">
                  <c:v>12</c:v>
                </c:pt>
                <c:pt idx="3">
                  <c:v>16</c:v>
                </c:pt>
                <c:pt idx="4">
                  <c:v>6</c:v>
                </c:pt>
                <c:pt idx="5">
                  <c:v>7</c:v>
                </c:pt>
                <c:pt idx="6">
                  <c:v>6</c:v>
                </c:pt>
                <c:pt idx="7">
                  <c:v>4</c:v>
                </c:pt>
                <c:pt idx="8">
                  <c:v>2</c:v>
                </c:pt>
                <c:pt idx="9">
                  <c:v>8</c:v>
                </c:pt>
                <c:pt idx="10">
                  <c:v>8</c:v>
                </c:pt>
                <c:pt idx="11">
                  <c:v>9</c:v>
                </c:pt>
                <c:pt idx="12">
                  <c:v>20</c:v>
                </c:pt>
                <c:pt idx="13">
                  <c:v>15</c:v>
                </c:pt>
                <c:pt idx="14">
                  <c:v>15</c:v>
                </c:pt>
                <c:pt idx="15">
                  <c:v>19</c:v>
                </c:pt>
                <c:pt idx="16">
                  <c:v>23</c:v>
                </c:pt>
                <c:pt idx="17">
                  <c:v>25</c:v>
                </c:pt>
                <c:pt idx="18">
                  <c:v>41</c:v>
                </c:pt>
                <c:pt idx="19">
                  <c:v>39</c:v>
                </c:pt>
              </c:numCache>
            </c:numRef>
          </c:val>
          <c:extLst>
            <c:ext xmlns:c16="http://schemas.microsoft.com/office/drawing/2014/chart" uri="{C3380CC4-5D6E-409C-BE32-E72D297353CC}">
              <c16:uniqueId val="{00000002-C3C5-44F2-9AD8-FD2940618247}"/>
            </c:ext>
          </c:extLst>
        </c:ser>
        <c:ser>
          <c:idx val="3"/>
          <c:order val="3"/>
          <c:tx>
            <c:strRef>
              <c:f>'Summary &amp; Graphs'!$A$5</c:f>
              <c:strCache>
                <c:ptCount val="1"/>
                <c:pt idx="0">
                  <c:v>DHSC refused to grant price concession</c:v>
                </c:pt>
              </c:strCache>
            </c:strRef>
          </c:tx>
          <c:spPr>
            <a:solidFill>
              <a:srgbClr val="4472C4"/>
            </a:solidFill>
            <a:ln>
              <a:noFill/>
            </a:ln>
            <a:effectLst/>
          </c:spPr>
          <c:invertIfNegative val="0"/>
          <c:cat>
            <c:numRef>
              <c:f>'Summary &amp; Graphs'!$B$1:$BG$1</c:f>
              <c:numCache>
                <c:formatCode>mmm\-yy</c:formatCode>
                <c:ptCount val="20"/>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numCache>
            </c:numRef>
          </c:cat>
          <c:val>
            <c:numRef>
              <c:f>'Summary &amp; Graphs'!$B$5:$BG$5</c:f>
              <c:numCache>
                <c:formatCode>General</c:formatCode>
                <c:ptCount val="20"/>
                <c:pt idx="0">
                  <c:v>4</c:v>
                </c:pt>
                <c:pt idx="1">
                  <c:v>3</c:v>
                </c:pt>
                <c:pt idx="2">
                  <c:v>4</c:v>
                </c:pt>
                <c:pt idx="3">
                  <c:v>1</c:v>
                </c:pt>
                <c:pt idx="4">
                  <c:v>1</c:v>
                </c:pt>
                <c:pt idx="5">
                  <c:v>1</c:v>
                </c:pt>
                <c:pt idx="6">
                  <c:v>3</c:v>
                </c:pt>
                <c:pt idx="7">
                  <c:v>1</c:v>
                </c:pt>
                <c:pt idx="8">
                  <c:v>1</c:v>
                </c:pt>
                <c:pt idx="9">
                  <c:v>0</c:v>
                </c:pt>
                <c:pt idx="10">
                  <c:v>0</c:v>
                </c:pt>
                <c:pt idx="11">
                  <c:v>1</c:v>
                </c:pt>
                <c:pt idx="12">
                  <c:v>6</c:v>
                </c:pt>
                <c:pt idx="13">
                  <c:v>4</c:v>
                </c:pt>
                <c:pt idx="14">
                  <c:v>2</c:v>
                </c:pt>
                <c:pt idx="15">
                  <c:v>3</c:v>
                </c:pt>
                <c:pt idx="16">
                  <c:v>3</c:v>
                </c:pt>
                <c:pt idx="17">
                  <c:v>4</c:v>
                </c:pt>
                <c:pt idx="18">
                  <c:v>3</c:v>
                </c:pt>
                <c:pt idx="19">
                  <c:v>1</c:v>
                </c:pt>
              </c:numCache>
            </c:numRef>
          </c:val>
          <c:extLst>
            <c:ext xmlns:c16="http://schemas.microsoft.com/office/drawing/2014/chart" uri="{C3380CC4-5D6E-409C-BE32-E72D297353CC}">
              <c16:uniqueId val="{00000003-C3C5-44F2-9AD8-FD2940618247}"/>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max val="44775"/>
          <c:min val="44197"/>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80040595306435447"/>
          <c:y val="0.19113182013297028"/>
          <c:w val="0.18889189721796196"/>
          <c:h val="0.7909116229385184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c89747c313f7345072a5033d5d2cb8c5">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3c9273cb9f44306528d8e35f0e6927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D28F056-94E3-4184-AEB7-EA35B55E0FDE}" ma:internalName="TaxCatchAll" ma:showField="CatchAllData" ma:web="{80bf1ca3-5488-4033-8636-208e155622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cc5b67-876a-46c4-84cc-1ae1b89d6c77">
      <Terms xmlns="http://schemas.microsoft.com/office/infopath/2007/PartnerControls"/>
    </lcf76f155ced4ddcb4097134ff3c332f>
    <TaxCatchAll xmlns="1c7d3551-5694-4f12-b35a-d9a7a462ea4b" xsi:nil="true"/>
  </documentManagement>
</p:properties>
</file>

<file path=customXml/itemProps1.xml><?xml version="1.0" encoding="utf-8"?>
<ds:datastoreItem xmlns:ds="http://schemas.openxmlformats.org/officeDocument/2006/customXml" ds:itemID="{E0E2E7F9-4D9A-4942-95FD-F9B57CD5BA4A}">
  <ds:schemaRefs>
    <ds:schemaRef ds:uri="http://schemas.microsoft.com/sharepoint/v3/contenttype/forms"/>
  </ds:schemaRefs>
</ds:datastoreItem>
</file>

<file path=customXml/itemProps2.xml><?xml version="1.0" encoding="utf-8"?>
<ds:datastoreItem xmlns:ds="http://schemas.openxmlformats.org/officeDocument/2006/customXml" ds:itemID="{CB699041-AE61-417A-9C77-3C605DA71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23F16-167A-439C-A492-C327AAAB366B}">
  <ds:schemaRefs>
    <ds:schemaRef ds:uri="http://schemas.microsoft.com/office/2006/metadata/properties"/>
    <ds:schemaRef ds:uri="http://schemas.microsoft.com/office/infopath/2007/PartnerControls"/>
    <ds:schemaRef ds:uri="5bcc5b67-876a-46c4-84cc-1ae1b89d6c77"/>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8791</Words>
  <Characters>50113</Characters>
  <Application>Microsoft Office Word</Application>
  <DocSecurity>0</DocSecurity>
  <Lines>417</Lines>
  <Paragraphs>117</Paragraphs>
  <ScaleCrop>false</ScaleCrop>
  <Company/>
  <LinksUpToDate>false</LinksUpToDate>
  <CharactersWithSpaces>58787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Jack Cresswell</cp:lastModifiedBy>
  <cp:revision>108</cp:revision>
  <dcterms:created xsi:type="dcterms:W3CDTF">2021-11-05T06:05:00Z</dcterms:created>
  <dcterms:modified xsi:type="dcterms:W3CDTF">2023-04-17T09:28:00Z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y fmtid="{D5CDD505-2E9C-101B-9397-08002B2CF9AE}" pid="3" name="MediaServiceImageTags">
    <vt:lpwstr/>
  </property>
</Properties>
</file>