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DE32" w14:textId="38082806" w:rsidR="00DB51B4" w:rsidRPr="00DA277B" w:rsidRDefault="00DB51B4" w:rsidP="00DA277B">
      <w:pPr>
        <w:pStyle w:val="CPE-Heading1"/>
        <w:spacing w:line="276" w:lineRule="auto"/>
        <w:rPr>
          <w:rFonts w:ascii="Mokoko Medium" w:eastAsia="Calibri" w:hAnsi="Mokoko Medium" w:cs="Mokoko Medium"/>
          <w:b w:val="0"/>
          <w:bCs w:val="0"/>
          <w:color w:val="0072CE" w:themeColor="text1"/>
          <w:sz w:val="72"/>
          <w:szCs w:val="72"/>
        </w:rPr>
      </w:pPr>
      <w:r w:rsidRPr="00DA277B">
        <w:rPr>
          <w:rFonts w:ascii="Mokoko Medium" w:eastAsia="Calibri" w:hAnsi="Mokoko Medium" w:cs="Mokoko Medium"/>
          <w:b w:val="0"/>
          <w:bCs w:val="0"/>
          <w:color w:val="0072CE" w:themeColor="text1"/>
          <w:sz w:val="72"/>
          <w:szCs w:val="72"/>
        </w:rPr>
        <w:t xml:space="preserve">LPC Governance </w:t>
      </w:r>
      <w:r w:rsidR="00594677">
        <w:rPr>
          <w:rFonts w:ascii="Mokoko Medium" w:eastAsia="Calibri" w:hAnsi="Mokoko Medium" w:cs="Mokoko Medium"/>
          <w:b w:val="0"/>
          <w:bCs w:val="0"/>
          <w:color w:val="0072CE" w:themeColor="text1"/>
          <w:sz w:val="72"/>
          <w:szCs w:val="72"/>
        </w:rPr>
        <w:t>S</w:t>
      </w:r>
      <w:r w:rsidRPr="00DA277B">
        <w:rPr>
          <w:rFonts w:ascii="Mokoko Medium" w:eastAsia="Calibri" w:hAnsi="Mokoko Medium" w:cs="Mokoko Medium"/>
          <w:b w:val="0"/>
          <w:bCs w:val="0"/>
          <w:color w:val="0072CE" w:themeColor="text1"/>
          <w:sz w:val="72"/>
          <w:szCs w:val="72"/>
        </w:rPr>
        <w:t>ubcommittee</w:t>
      </w:r>
    </w:p>
    <w:p w14:paraId="461EDE92" w14:textId="77777777" w:rsidR="00DB51B4" w:rsidRPr="00594677" w:rsidRDefault="00DB51B4" w:rsidP="00DA277B">
      <w:pPr>
        <w:pStyle w:val="CPE-Heading1"/>
        <w:spacing w:line="276" w:lineRule="auto"/>
        <w:rPr>
          <w:rFonts w:ascii="Mokoko Medium" w:eastAsiaTheme="majorEastAsia" w:hAnsi="Mokoko Medium" w:cs="Mokoko Medium"/>
          <w:color w:val="0072CE" w:themeColor="text1"/>
          <w:sz w:val="28"/>
          <w:szCs w:val="28"/>
        </w:rPr>
      </w:pPr>
      <w:r w:rsidRPr="00594677">
        <w:rPr>
          <w:rFonts w:ascii="Mokoko Medium" w:eastAsiaTheme="majorEastAsia" w:hAnsi="Mokoko Medium" w:cs="Mokoko Medium"/>
          <w:color w:val="0072CE" w:themeColor="text1"/>
          <w:sz w:val="28"/>
          <w:szCs w:val="28"/>
        </w:rPr>
        <w:t>Terms of Reference template</w:t>
      </w:r>
    </w:p>
    <w:p w14:paraId="294D5138" w14:textId="77777777" w:rsidR="00DB51B4" w:rsidRPr="0080585A" w:rsidRDefault="00DB51B4" w:rsidP="00DB51B4">
      <w:pPr>
        <w:autoSpaceDE w:val="0"/>
        <w:autoSpaceDN w:val="0"/>
        <w:adjustRightInd w:val="0"/>
        <w:spacing w:after="0" w:line="240" w:lineRule="auto"/>
        <w:rPr>
          <w:rFonts w:cs="TrebuchetMS-Bold"/>
          <w:bCs/>
          <w:sz w:val="24"/>
          <w:szCs w:val="24"/>
        </w:rPr>
      </w:pPr>
    </w:p>
    <w:p w14:paraId="033DDD95" w14:textId="7BDB07B3" w:rsidR="00F862D9" w:rsidRPr="00455380" w:rsidRDefault="00390EEF" w:rsidP="00455380">
      <w:pPr>
        <w:pStyle w:val="Heading2"/>
        <w:spacing w:before="120" w:line="276" w:lineRule="auto"/>
        <w:ind w:left="578" w:hanging="578"/>
        <w:rPr>
          <w:rFonts w:ascii="Mokoko Medium" w:hAnsi="Mokoko Medium" w:cs="Mokoko Medium"/>
          <w:b/>
          <w:bCs/>
          <w:color w:val="2B5258"/>
          <w:sz w:val="22"/>
          <w:szCs w:val="22"/>
        </w:rPr>
      </w:pPr>
      <w:r w:rsidRPr="00E25D12">
        <w:rPr>
          <w:rFonts w:ascii="Mokoko Medium" w:hAnsi="Mokoko Medium" w:cs="Mokoko Medium"/>
          <w:b/>
          <w:bCs/>
          <w:color w:val="0072CE" w:themeColor="text1"/>
          <w:sz w:val="28"/>
          <w:szCs w:val="28"/>
        </w:rPr>
        <w:t>Purpose</w:t>
      </w:r>
    </w:p>
    <w:p w14:paraId="1631A471" w14:textId="6C01DC0F" w:rsidR="00DB51B4" w:rsidRPr="00455380" w:rsidRDefault="00DB51B4" w:rsidP="000B5F40">
      <w:pPr>
        <w:tabs>
          <w:tab w:val="left" w:pos="7490"/>
        </w:tabs>
        <w:spacing w:line="276" w:lineRule="auto"/>
        <w:rPr>
          <w:rFonts w:ascii="DM Sans" w:hAnsi="DM Sans" w:cs="Tahoma"/>
          <w:kern w:val="0"/>
          <w14:ligatures w14:val="none"/>
        </w:rPr>
      </w:pPr>
      <w:r w:rsidRPr="00455380">
        <w:rPr>
          <w:rFonts w:ascii="DM Sans" w:hAnsi="DM Sans" w:cs="Tahoma"/>
          <w:kern w:val="0"/>
          <w14:ligatures w14:val="none"/>
        </w:rPr>
        <w:t>The purpose of the Governance subcommittee shall be to: assure the LPC’s adherence to the LPC’s governance framework and duties under the LPC constitution</w:t>
      </w:r>
      <w:r w:rsidR="00594677">
        <w:rPr>
          <w:rFonts w:ascii="DM Sans" w:hAnsi="DM Sans" w:cs="Tahoma"/>
          <w:kern w:val="0"/>
          <w14:ligatures w14:val="none"/>
        </w:rPr>
        <w:t xml:space="preserve"> and rules</w:t>
      </w:r>
      <w:r w:rsidRPr="00455380">
        <w:rPr>
          <w:rFonts w:ascii="DM Sans" w:hAnsi="DM Sans" w:cs="Tahoma"/>
          <w:kern w:val="0"/>
          <w14:ligatures w14:val="none"/>
        </w:rPr>
        <w:t>; review the provisions of the LPC governance framework at specific intervals; promote and demonstrate good governance as part of the LPC’s values; consider any complaints about an alleged breach of governance by any member or officer of the committee referred to the subcommittee by the main committee (subject to 3.1) in accordance with the provisions of the LPC model constitution</w:t>
      </w:r>
      <w:r w:rsidR="00594677">
        <w:rPr>
          <w:rFonts w:ascii="DM Sans" w:hAnsi="DM Sans" w:cs="Tahoma"/>
          <w:kern w:val="0"/>
          <w14:ligatures w14:val="none"/>
        </w:rPr>
        <w:t>, rules and the governance framework.</w:t>
      </w:r>
    </w:p>
    <w:p w14:paraId="097E4764" w14:textId="77777777" w:rsidR="00DB51B4" w:rsidRPr="0080585A" w:rsidRDefault="00DB51B4" w:rsidP="00DB51B4">
      <w:pPr>
        <w:autoSpaceDE w:val="0"/>
        <w:autoSpaceDN w:val="0"/>
        <w:adjustRightInd w:val="0"/>
        <w:spacing w:after="0" w:line="240" w:lineRule="auto"/>
        <w:rPr>
          <w:rFonts w:cs="TrebuchetMS-Bold"/>
          <w:bCs/>
          <w:sz w:val="24"/>
          <w:szCs w:val="24"/>
        </w:rPr>
      </w:pPr>
    </w:p>
    <w:p w14:paraId="35CB1945" w14:textId="121FC942" w:rsidR="00DB51B4" w:rsidRPr="00455380" w:rsidRDefault="00DB51B4" w:rsidP="00455380">
      <w:pPr>
        <w:pStyle w:val="Heading2"/>
        <w:spacing w:before="120" w:line="276" w:lineRule="auto"/>
        <w:ind w:left="578" w:hanging="578"/>
        <w:rPr>
          <w:rFonts w:ascii="Mokoko Medium" w:hAnsi="Mokoko Medium" w:cs="Mokoko Medium"/>
          <w:b/>
          <w:bCs/>
          <w:color w:val="0072CE" w:themeColor="text1"/>
          <w:sz w:val="28"/>
          <w:szCs w:val="28"/>
        </w:rPr>
      </w:pPr>
      <w:r w:rsidRPr="00455380">
        <w:rPr>
          <w:rFonts w:ascii="Mokoko Medium" w:hAnsi="Mokoko Medium" w:cs="Mokoko Medium"/>
          <w:b/>
          <w:bCs/>
          <w:color w:val="0072CE" w:themeColor="text1"/>
          <w:sz w:val="28"/>
          <w:szCs w:val="28"/>
        </w:rPr>
        <w:t xml:space="preserve">Membership </w:t>
      </w:r>
    </w:p>
    <w:p w14:paraId="4B9541DC" w14:textId="3222B432" w:rsidR="00DB51B4" w:rsidRPr="00455380" w:rsidRDefault="00DB51B4" w:rsidP="00DB51B4">
      <w:pPr>
        <w:pStyle w:val="Default"/>
        <w:spacing w:after="262"/>
        <w:rPr>
          <w:rFonts w:ascii="DM Sans" w:hAnsi="DM Sans" w:cs="Tahoma"/>
          <w:color w:val="auto"/>
          <w:sz w:val="22"/>
          <w:szCs w:val="22"/>
        </w:rPr>
      </w:pPr>
      <w:r w:rsidRPr="00455380">
        <w:rPr>
          <w:rFonts w:ascii="DM Sans" w:hAnsi="DM Sans" w:cs="Tahoma"/>
          <w:color w:val="auto"/>
          <w:sz w:val="22"/>
          <w:szCs w:val="22"/>
        </w:rPr>
        <w:t>1.1 Three ( or inset other number) members of the main committee shall be elected by ballot to the Governance subcommittee.</w:t>
      </w:r>
    </w:p>
    <w:p w14:paraId="380C6DF0" w14:textId="6D558A92" w:rsidR="00DB51B4" w:rsidRPr="00455380" w:rsidRDefault="00DB51B4" w:rsidP="00DB51B4">
      <w:pPr>
        <w:pStyle w:val="Default"/>
        <w:spacing w:after="262"/>
        <w:rPr>
          <w:rFonts w:ascii="DM Sans" w:hAnsi="DM Sans" w:cs="Tahoma"/>
          <w:color w:val="auto"/>
          <w:sz w:val="22"/>
          <w:szCs w:val="22"/>
        </w:rPr>
      </w:pPr>
      <w:r w:rsidRPr="00455380">
        <w:rPr>
          <w:rFonts w:ascii="DM Sans" w:hAnsi="DM Sans" w:cs="Tahoma"/>
          <w:color w:val="auto"/>
          <w:sz w:val="22"/>
          <w:szCs w:val="22"/>
        </w:rPr>
        <w:t xml:space="preserve">1.2 In the event that a Governance subcommittee member ceases to be a member of the LPC, is disqualified from being a member of the subcommittee or resigns, a ballot shall take place to elect a new Governance subcommittee member for the remaining the term of office. </w:t>
      </w:r>
    </w:p>
    <w:p w14:paraId="4FE261EF" w14:textId="19053558" w:rsidR="00DB51B4" w:rsidRPr="00455380" w:rsidRDefault="00DB51B4" w:rsidP="00DB51B4">
      <w:pPr>
        <w:pStyle w:val="Default"/>
        <w:spacing w:after="262"/>
        <w:rPr>
          <w:rFonts w:ascii="DM Sans" w:hAnsi="DM Sans" w:cs="Tahoma"/>
          <w:color w:val="auto"/>
          <w:sz w:val="22"/>
          <w:szCs w:val="22"/>
        </w:rPr>
      </w:pPr>
      <w:r w:rsidRPr="00455380">
        <w:rPr>
          <w:rFonts w:ascii="DM Sans" w:hAnsi="DM Sans" w:cs="Tahoma"/>
          <w:color w:val="auto"/>
          <w:sz w:val="22"/>
          <w:szCs w:val="22"/>
        </w:rPr>
        <w:t xml:space="preserve">1.3 The members of the Governance subcommittee may co-opt an additional member from members of the LPC, if it is necessary to ensure that the subcommittee includes representation of both the independent and multiple sectors. </w:t>
      </w:r>
    </w:p>
    <w:p w14:paraId="3AD3EE2F" w14:textId="0ADCFF87" w:rsidR="00DB51B4" w:rsidRPr="00455380" w:rsidRDefault="00DB51B4" w:rsidP="00DB51B4">
      <w:pPr>
        <w:pStyle w:val="Default"/>
        <w:rPr>
          <w:rFonts w:ascii="DM Sans" w:hAnsi="DM Sans" w:cs="Tahoma"/>
          <w:color w:val="auto"/>
          <w:sz w:val="22"/>
          <w:szCs w:val="22"/>
        </w:rPr>
      </w:pPr>
      <w:r w:rsidRPr="00455380">
        <w:rPr>
          <w:rFonts w:ascii="DM Sans" w:hAnsi="DM Sans" w:cs="Tahoma"/>
          <w:color w:val="auto"/>
          <w:sz w:val="22"/>
          <w:szCs w:val="22"/>
        </w:rPr>
        <w:t xml:space="preserve">1.4. The members of the subcommittee shall appoint a chairman from amongst the members. </w:t>
      </w:r>
    </w:p>
    <w:p w14:paraId="6F654B2D" w14:textId="77777777" w:rsidR="00DB51B4" w:rsidRPr="00455380" w:rsidRDefault="00DB51B4" w:rsidP="00DB51B4">
      <w:pPr>
        <w:autoSpaceDE w:val="0"/>
        <w:autoSpaceDN w:val="0"/>
        <w:adjustRightInd w:val="0"/>
        <w:spacing w:after="0" w:line="240" w:lineRule="auto"/>
        <w:rPr>
          <w:rFonts w:ascii="DM Sans" w:hAnsi="DM Sans" w:cs="Tahoma"/>
          <w:kern w:val="0"/>
          <w14:ligatures w14:val="none"/>
        </w:rPr>
      </w:pPr>
    </w:p>
    <w:p w14:paraId="1C01EFD7" w14:textId="7B9A3025" w:rsidR="00DB51B4" w:rsidRPr="00455380" w:rsidRDefault="00DB51B4" w:rsidP="000B5F40">
      <w:pPr>
        <w:autoSpaceDE w:val="0"/>
        <w:autoSpaceDN w:val="0"/>
        <w:adjustRightInd w:val="0"/>
        <w:spacing w:line="240" w:lineRule="auto"/>
        <w:rPr>
          <w:rFonts w:ascii="DM Sans" w:hAnsi="DM Sans" w:cs="Tahoma"/>
          <w:kern w:val="0"/>
          <w14:ligatures w14:val="none"/>
        </w:rPr>
      </w:pPr>
      <w:r w:rsidRPr="00455380">
        <w:rPr>
          <w:rFonts w:ascii="DM Sans" w:hAnsi="DM Sans" w:cs="Tahoma"/>
          <w:kern w:val="0"/>
          <w14:ligatures w14:val="none"/>
        </w:rPr>
        <w:t>1.5 The Governance subcommittee members should not also be officers of the main committee.</w:t>
      </w:r>
    </w:p>
    <w:p w14:paraId="115AD390" w14:textId="77777777" w:rsidR="00DB51B4" w:rsidRPr="0080585A" w:rsidRDefault="00DB51B4" w:rsidP="00DB51B4">
      <w:pPr>
        <w:autoSpaceDE w:val="0"/>
        <w:autoSpaceDN w:val="0"/>
        <w:adjustRightInd w:val="0"/>
        <w:spacing w:after="0" w:line="240" w:lineRule="auto"/>
        <w:rPr>
          <w:rFonts w:cs="TrebuchetMS"/>
          <w:b/>
          <w:sz w:val="24"/>
          <w:szCs w:val="24"/>
        </w:rPr>
      </w:pPr>
    </w:p>
    <w:p w14:paraId="2BF70240" w14:textId="3DEE72C1" w:rsidR="00DB51B4" w:rsidRPr="00455380" w:rsidRDefault="00DB51B4" w:rsidP="00455380">
      <w:pPr>
        <w:pStyle w:val="Heading2"/>
        <w:spacing w:before="120" w:line="276" w:lineRule="auto"/>
        <w:ind w:left="578" w:hanging="578"/>
        <w:rPr>
          <w:rFonts w:ascii="Mokoko Medium" w:hAnsi="Mokoko Medium" w:cs="Mokoko Medium"/>
          <w:b/>
          <w:bCs/>
          <w:color w:val="0072CE" w:themeColor="text1"/>
          <w:sz w:val="28"/>
          <w:szCs w:val="28"/>
        </w:rPr>
      </w:pPr>
      <w:r w:rsidRPr="00455380">
        <w:rPr>
          <w:rFonts w:ascii="Mokoko Medium" w:hAnsi="Mokoko Medium" w:cs="Mokoko Medium"/>
          <w:b/>
          <w:bCs/>
          <w:color w:val="0072CE" w:themeColor="text1"/>
          <w:sz w:val="28"/>
          <w:szCs w:val="28"/>
        </w:rPr>
        <w:t>Accountability</w:t>
      </w:r>
    </w:p>
    <w:p w14:paraId="232368AA" w14:textId="6535EFE1"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2.1 The Governance subcommittee shall be accountable to the main committee.</w:t>
      </w:r>
    </w:p>
    <w:p w14:paraId="76A3E00B" w14:textId="77DC202C"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lastRenderedPageBreak/>
        <w:t>2.2 The Governance subcommittee shall determine the frequency of its meetings to discharge it’s duties. The subcommittee may need to meet more frequently should a specific issue arise which needs further discussion and agreement.</w:t>
      </w:r>
    </w:p>
    <w:p w14:paraId="5B52AF86" w14:textId="085D9693"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2.3 The Governance subcommittee shall report its discussions and outcomes to the main committee; if confidential information has been discussed by the Governance subcommittee but cannot be immediately reported to the main committee, the sub</w:t>
      </w:r>
      <w:r w:rsidR="00EE180C">
        <w:rPr>
          <w:rFonts w:ascii="DM Sans" w:hAnsi="DM Sans" w:cs="Tahoma"/>
          <w:color w:val="auto"/>
          <w:sz w:val="22"/>
          <w:szCs w:val="22"/>
        </w:rPr>
        <w:t>c</w:t>
      </w:r>
      <w:r w:rsidRPr="00455380">
        <w:rPr>
          <w:rFonts w:ascii="DM Sans" w:hAnsi="DM Sans" w:cs="Tahoma"/>
          <w:color w:val="auto"/>
          <w:sz w:val="22"/>
          <w:szCs w:val="22"/>
        </w:rPr>
        <w:t>ommittee shall inform the committee and provide the information when in is in a position to do so.</w:t>
      </w:r>
    </w:p>
    <w:p w14:paraId="29643EAC" w14:textId="242B4618"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2.4 A Governance subcommittee member with a conflict of interest should step down temporarily, in which case the subcommittee shall co-opt an additional member from the main committee.</w:t>
      </w:r>
    </w:p>
    <w:p w14:paraId="73D2988F" w14:textId="796E639F"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2.5 The subcommittee, may invite the LPC Chief Officer or other officer to part or all of one or more of its meetings if their input is required to deal with a specific issue.</w:t>
      </w:r>
    </w:p>
    <w:p w14:paraId="647A237F" w14:textId="659E827B" w:rsidR="00DB51B4"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2.6 There is no quorum for the subcommittee but the maximum attendance will be sought when arranging a meeting.</w:t>
      </w:r>
    </w:p>
    <w:p w14:paraId="6A70B96D" w14:textId="77777777" w:rsidR="000B5F40" w:rsidRPr="00455380" w:rsidRDefault="000B5F40" w:rsidP="000B5F40">
      <w:pPr>
        <w:pStyle w:val="Default"/>
        <w:rPr>
          <w:rFonts w:ascii="DM Sans" w:hAnsi="DM Sans" w:cs="Tahoma"/>
          <w:color w:val="auto"/>
          <w:sz w:val="22"/>
          <w:szCs w:val="22"/>
        </w:rPr>
      </w:pPr>
    </w:p>
    <w:p w14:paraId="632AC3F7" w14:textId="4E41D292" w:rsidR="00DB51B4" w:rsidRPr="00455380" w:rsidRDefault="00DB51B4" w:rsidP="00455380">
      <w:pPr>
        <w:pStyle w:val="Heading2"/>
        <w:spacing w:before="120" w:line="276" w:lineRule="auto"/>
        <w:ind w:left="578" w:hanging="578"/>
        <w:rPr>
          <w:rFonts w:ascii="Mokoko Medium" w:hAnsi="Mokoko Medium" w:cs="Mokoko Medium"/>
          <w:b/>
          <w:bCs/>
          <w:color w:val="0072CE" w:themeColor="text1"/>
          <w:sz w:val="28"/>
          <w:szCs w:val="28"/>
        </w:rPr>
      </w:pPr>
      <w:r w:rsidRPr="00455380">
        <w:rPr>
          <w:rFonts w:ascii="Mokoko Medium" w:hAnsi="Mokoko Medium" w:cs="Mokoko Medium"/>
          <w:b/>
          <w:bCs/>
          <w:color w:val="0072CE" w:themeColor="text1"/>
          <w:sz w:val="28"/>
          <w:szCs w:val="28"/>
        </w:rPr>
        <w:t>Actions</w:t>
      </w:r>
    </w:p>
    <w:p w14:paraId="52B42760" w14:textId="33D34F3D"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 xml:space="preserve">3.1 The LPC Finance </w:t>
      </w:r>
      <w:r w:rsidR="00594677">
        <w:rPr>
          <w:rFonts w:ascii="DM Sans" w:hAnsi="DM Sans" w:cs="Tahoma"/>
          <w:color w:val="auto"/>
          <w:sz w:val="22"/>
          <w:szCs w:val="22"/>
        </w:rPr>
        <w:t xml:space="preserve">and audit </w:t>
      </w:r>
      <w:r w:rsidRPr="00455380">
        <w:rPr>
          <w:rFonts w:ascii="DM Sans" w:hAnsi="DM Sans" w:cs="Tahoma"/>
          <w:color w:val="auto"/>
          <w:sz w:val="22"/>
          <w:szCs w:val="22"/>
        </w:rPr>
        <w:t>subcommittee or Treasurer may refer directly to the subcommittee any matter of governance relating to Committee of members’ expenses claims.</w:t>
      </w:r>
    </w:p>
    <w:p w14:paraId="0C0F7CAB" w14:textId="67B8DF0E"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3.2 The subcommittee may require any LPC member to report directly to it.</w:t>
      </w:r>
    </w:p>
    <w:p w14:paraId="1349FFEE" w14:textId="14B12F58"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3.3 Shall investigate all complaints or allegations made against members or officers of the committee referred to it by the main committee.</w:t>
      </w:r>
    </w:p>
    <w:p w14:paraId="313D453D" w14:textId="0F06D8A0"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3.4 May, with the consent of the main committee, conduct an investigation into an alleged breach of governance, on behalf of another LPC, in accordance with the model LPC constitution.</w:t>
      </w:r>
    </w:p>
    <w:p w14:paraId="15AD85F8" w14:textId="3427617D" w:rsidR="00DB51B4" w:rsidRPr="00455380"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3.5 Review the LPC’s governance framework at least annually and assure the LPC’s adherence to the framework and the governance provisions set out in the LPC constitution</w:t>
      </w:r>
      <w:r w:rsidR="00594677">
        <w:rPr>
          <w:rFonts w:ascii="DM Sans" w:hAnsi="DM Sans" w:cs="Tahoma"/>
          <w:color w:val="auto"/>
          <w:sz w:val="22"/>
          <w:szCs w:val="22"/>
        </w:rPr>
        <w:t xml:space="preserve"> and rules.</w:t>
      </w:r>
    </w:p>
    <w:p w14:paraId="312B028C" w14:textId="584B31C9" w:rsidR="00B82DE6" w:rsidRDefault="00DB51B4" w:rsidP="00455380">
      <w:pPr>
        <w:pStyle w:val="Default"/>
        <w:spacing w:after="262"/>
        <w:rPr>
          <w:rFonts w:ascii="DM Sans" w:hAnsi="DM Sans" w:cs="Tahoma"/>
          <w:color w:val="auto"/>
          <w:sz w:val="22"/>
          <w:szCs w:val="22"/>
        </w:rPr>
      </w:pPr>
      <w:r w:rsidRPr="00455380">
        <w:rPr>
          <w:rFonts w:ascii="DM Sans" w:hAnsi="DM Sans" w:cs="Tahoma"/>
          <w:color w:val="auto"/>
          <w:sz w:val="22"/>
          <w:szCs w:val="22"/>
        </w:rPr>
        <w:t xml:space="preserve">3.6 The subcommittee should be re-elected 2-yearly. This election should coincide with the election of the new Officers. </w:t>
      </w:r>
    </w:p>
    <w:p w14:paraId="377B4D0C" w14:textId="77777777" w:rsidR="00594677" w:rsidRDefault="00594677" w:rsidP="00455380">
      <w:pPr>
        <w:pStyle w:val="Default"/>
        <w:spacing w:after="262"/>
        <w:rPr>
          <w:rFonts w:ascii="DM Sans" w:hAnsi="DM Sans" w:cs="Tahoma"/>
          <w:color w:val="auto"/>
          <w:sz w:val="22"/>
          <w:szCs w:val="22"/>
        </w:rPr>
      </w:pPr>
    </w:p>
    <w:p w14:paraId="4E5E2347" w14:textId="77777777" w:rsidR="00594677" w:rsidRDefault="00594677" w:rsidP="00594677">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 xml:space="preserve">Adopted </w:t>
      </w:r>
      <w:r w:rsidRPr="00EA7187">
        <w:rPr>
          <w:rFonts w:ascii="DM Sans" w:hAnsi="DM Sans" w:cs="Tahoma"/>
          <w:kern w:val="0"/>
          <w:highlight w:val="yellow"/>
          <w14:ligatures w14:val="none"/>
        </w:rPr>
        <w:t>&lt;enter date&gt;</w:t>
      </w:r>
    </w:p>
    <w:p w14:paraId="2312C2F9" w14:textId="0C7C353C" w:rsidR="00594677" w:rsidRDefault="00594677" w:rsidP="00594677">
      <w:pPr>
        <w:pStyle w:val="Default"/>
        <w:spacing w:after="262"/>
        <w:jc w:val="right"/>
        <w:rPr>
          <w:rFonts w:ascii="Mokoko Medium" w:eastAsia="Calibri" w:hAnsi="Mokoko Medium" w:cs="Mokoko Medium"/>
          <w:b/>
          <w:bCs/>
          <w:color w:val="0072CE" w:themeColor="text1"/>
          <w:sz w:val="72"/>
          <w:szCs w:val="72"/>
        </w:rPr>
      </w:pPr>
      <w:r>
        <w:rPr>
          <w:rFonts w:ascii="DM Sans" w:hAnsi="DM Sans" w:cs="Tahoma"/>
        </w:rPr>
        <w:t>Review 2025</w:t>
      </w:r>
    </w:p>
    <w:sectPr w:rsidR="00594677" w:rsidSect="008463CD">
      <w:headerReference w:type="default" r:id="rId8"/>
      <w:footerReference w:type="default" r:id="rId9"/>
      <w:headerReference w:type="first" r:id="rId10"/>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2515" w14:textId="77777777" w:rsidR="00E25D12" w:rsidRDefault="00E25D12" w:rsidP="00630E66">
      <w:r>
        <w:separator/>
      </w:r>
    </w:p>
  </w:endnote>
  <w:endnote w:type="continuationSeparator" w:id="0">
    <w:p w14:paraId="5DF7FCBF" w14:textId="77777777" w:rsidR="00E25D12" w:rsidRDefault="00E25D12"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koko Medium">
    <w:altName w:val="Cambria"/>
    <w:panose1 w:val="02060603020203020204"/>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panose1 w:val="00000000000000000000"/>
    <w:charset w:val="00"/>
    <w:family w:val="auto"/>
    <w:pitch w:val="variable"/>
    <w:sig w:usb0="8000002F" w:usb1="5000205B" w:usb2="00000000" w:usb3="00000000" w:csb0="00000093" w:csb1="00000000"/>
  </w:font>
  <w:font w:name="TrebuchetMS-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3FBA" w14:textId="7BD2D718" w:rsidR="00144C83" w:rsidRPr="003D3DAE" w:rsidRDefault="00144C83" w:rsidP="00E338D7">
    <w:pPr>
      <w:pStyle w:val="Footer"/>
      <w:spacing w:before="60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C43A" w14:textId="77777777" w:rsidR="00E25D12" w:rsidRDefault="00E25D12" w:rsidP="00630E66">
      <w:r>
        <w:separator/>
      </w:r>
    </w:p>
  </w:footnote>
  <w:footnote w:type="continuationSeparator" w:id="0">
    <w:p w14:paraId="4CF8A97C" w14:textId="77777777" w:rsidR="00E25D12" w:rsidRDefault="00E25D12"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C2" w14:textId="24B76530" w:rsidR="00721E34" w:rsidRDefault="008463CD">
    <w:pPr>
      <w:pStyle w:val="Header"/>
    </w:pPr>
    <w:r>
      <w:rPr>
        <w:noProof/>
      </w:rPr>
      <w:drawing>
        <wp:anchor distT="0" distB="0" distL="114300" distR="114300" simplePos="0" relativeHeight="251658240" behindDoc="0" locked="0" layoutInCell="1" allowOverlap="1" wp14:anchorId="5811B83B" wp14:editId="3AD581B5">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sidR="00E25D12">
      <w:rPr>
        <w:noProof/>
      </w:rPr>
      <w:drawing>
        <wp:inline distT="0" distB="0" distL="0" distR="0" wp14:anchorId="2AB1A965" wp14:editId="7CBC620D">
          <wp:extent cx="2228850" cy="716915"/>
          <wp:effectExtent l="0" t="0" r="0" b="6985"/>
          <wp:docPr id="37455017" name="Picture 37455017"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3500" name="Picture 1" descr="A blue and orang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8850" cy="716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22F2" w14:textId="77777777" w:rsidR="00A06961" w:rsidRDefault="00A06961">
    <w:pPr>
      <w:pStyle w:val="Header"/>
    </w:pPr>
    <w:r>
      <w:rPr>
        <w:noProof/>
      </w:rPr>
      <w:drawing>
        <wp:inline distT="0" distB="0" distL="0" distR="0" wp14:anchorId="6F2DF57C" wp14:editId="512F92A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53A7E"/>
    <w:multiLevelType w:val="hybridMultilevel"/>
    <w:tmpl w:val="C08E8E10"/>
    <w:lvl w:ilvl="0" w:tplc="FFFFFFFF">
      <w:start w:val="1"/>
      <w:numFmt w:val="lowerLetter"/>
      <w:lvlText w:val="%1)"/>
      <w:lvlJc w:val="left"/>
      <w:pPr>
        <w:ind w:left="720" w:hanging="360"/>
      </w:pPr>
    </w:lvl>
    <w:lvl w:ilvl="1" w:tplc="84BCA008">
      <w:start w:val="1"/>
      <w:numFmt w:val="lowerRoman"/>
      <w:lvlText w:val="%2."/>
      <w:lvlJc w:val="right"/>
      <w:pPr>
        <w:ind w:left="1440" w:hanging="360"/>
      </w:pPr>
      <w:rPr>
        <w:color w:val="FF6D3A"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B04E1"/>
    <w:multiLevelType w:val="hybridMultilevel"/>
    <w:tmpl w:val="57720C9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3C9"/>
    <w:multiLevelType w:val="hybridMultilevel"/>
    <w:tmpl w:val="53C4178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1C3125A"/>
    <w:multiLevelType w:val="hybridMultilevel"/>
    <w:tmpl w:val="C10A48AE"/>
    <w:lvl w:ilvl="0" w:tplc="C374E548">
      <w:start w:val="1"/>
      <w:numFmt w:val="lowerLetter"/>
      <w:lvlText w:val="%1)"/>
      <w:lvlJc w:val="left"/>
      <w:pPr>
        <w:ind w:left="720" w:hanging="360"/>
      </w:pPr>
      <w:rPr>
        <w:color w:val="FF6D3A"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67388"/>
    <w:multiLevelType w:val="hybridMultilevel"/>
    <w:tmpl w:val="0A220A4E"/>
    <w:lvl w:ilvl="0" w:tplc="4E02085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DD4876"/>
    <w:multiLevelType w:val="hybridMultilevel"/>
    <w:tmpl w:val="00A86782"/>
    <w:lvl w:ilvl="0" w:tplc="4E02085E">
      <w:start w:val="1"/>
      <w:numFmt w:val="bullet"/>
      <w:lvlText w:val=""/>
      <w:lvlJc w:val="left"/>
      <w:pPr>
        <w:ind w:left="6" w:hanging="360"/>
      </w:pPr>
      <w:rPr>
        <w:rFonts w:ascii="Wingdings" w:hAnsi="Wingdings" w:hint="default"/>
        <w:color w:val="FF6D3A"/>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6"/>
  </w:num>
  <w:num w:numId="5" w16cid:durableId="1190334263">
    <w:abstractNumId w:val="7"/>
  </w:num>
  <w:num w:numId="6" w16cid:durableId="1768622347">
    <w:abstractNumId w:val="4"/>
  </w:num>
  <w:num w:numId="7" w16cid:durableId="777523899">
    <w:abstractNumId w:val="10"/>
  </w:num>
  <w:num w:numId="8" w16cid:durableId="187989084">
    <w:abstractNumId w:val="5"/>
  </w:num>
  <w:num w:numId="9" w16cid:durableId="1694112184">
    <w:abstractNumId w:val="9"/>
  </w:num>
  <w:num w:numId="10" w16cid:durableId="1336612956">
    <w:abstractNumId w:val="8"/>
  </w:num>
  <w:num w:numId="11" w16cid:durableId="8157591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11577"/>
    <w:rsid w:val="00043D85"/>
    <w:rsid w:val="000B5F40"/>
    <w:rsid w:val="000D4ADA"/>
    <w:rsid w:val="0011715D"/>
    <w:rsid w:val="00142F9A"/>
    <w:rsid w:val="00144C83"/>
    <w:rsid w:val="00147A4B"/>
    <w:rsid w:val="0016781F"/>
    <w:rsid w:val="00200E5E"/>
    <w:rsid w:val="002154C2"/>
    <w:rsid w:val="00223C88"/>
    <w:rsid w:val="002765A8"/>
    <w:rsid w:val="0028295A"/>
    <w:rsid w:val="0029378A"/>
    <w:rsid w:val="002C51E8"/>
    <w:rsid w:val="002E1ACD"/>
    <w:rsid w:val="002F6DD0"/>
    <w:rsid w:val="003025D1"/>
    <w:rsid w:val="0030587C"/>
    <w:rsid w:val="003166A5"/>
    <w:rsid w:val="00325DE9"/>
    <w:rsid w:val="0032645E"/>
    <w:rsid w:val="00352C36"/>
    <w:rsid w:val="00390EEF"/>
    <w:rsid w:val="003C5AAF"/>
    <w:rsid w:val="003D3DAE"/>
    <w:rsid w:val="003D4534"/>
    <w:rsid w:val="00416918"/>
    <w:rsid w:val="00423239"/>
    <w:rsid w:val="0044019D"/>
    <w:rsid w:val="00454680"/>
    <w:rsid w:val="00455380"/>
    <w:rsid w:val="0047521E"/>
    <w:rsid w:val="004E20F8"/>
    <w:rsid w:val="00501B6C"/>
    <w:rsid w:val="0053431F"/>
    <w:rsid w:val="00594677"/>
    <w:rsid w:val="00596E83"/>
    <w:rsid w:val="005A26E7"/>
    <w:rsid w:val="005C3ED7"/>
    <w:rsid w:val="005F03FB"/>
    <w:rsid w:val="005F1BDB"/>
    <w:rsid w:val="00605E19"/>
    <w:rsid w:val="00630E66"/>
    <w:rsid w:val="007147FF"/>
    <w:rsid w:val="00720FC5"/>
    <w:rsid w:val="00721E34"/>
    <w:rsid w:val="00737119"/>
    <w:rsid w:val="00766C75"/>
    <w:rsid w:val="00792A9B"/>
    <w:rsid w:val="007B377A"/>
    <w:rsid w:val="007C15A6"/>
    <w:rsid w:val="007C2878"/>
    <w:rsid w:val="007C6669"/>
    <w:rsid w:val="007D591A"/>
    <w:rsid w:val="007E15AE"/>
    <w:rsid w:val="008166D8"/>
    <w:rsid w:val="008359FA"/>
    <w:rsid w:val="008463CD"/>
    <w:rsid w:val="0085104A"/>
    <w:rsid w:val="0087477A"/>
    <w:rsid w:val="008F4E48"/>
    <w:rsid w:val="00947383"/>
    <w:rsid w:val="00956968"/>
    <w:rsid w:val="00964EA6"/>
    <w:rsid w:val="009778F0"/>
    <w:rsid w:val="00987557"/>
    <w:rsid w:val="009C7E6C"/>
    <w:rsid w:val="009E349E"/>
    <w:rsid w:val="009E5B04"/>
    <w:rsid w:val="00A06961"/>
    <w:rsid w:val="00A12466"/>
    <w:rsid w:val="00A317DF"/>
    <w:rsid w:val="00A36F03"/>
    <w:rsid w:val="00AA4606"/>
    <w:rsid w:val="00AD565F"/>
    <w:rsid w:val="00AF5F23"/>
    <w:rsid w:val="00B800CB"/>
    <w:rsid w:val="00B82DE6"/>
    <w:rsid w:val="00C22C5E"/>
    <w:rsid w:val="00D30FBF"/>
    <w:rsid w:val="00D36922"/>
    <w:rsid w:val="00D37431"/>
    <w:rsid w:val="00D728CB"/>
    <w:rsid w:val="00DA277B"/>
    <w:rsid w:val="00DB51B4"/>
    <w:rsid w:val="00E25D12"/>
    <w:rsid w:val="00E338D7"/>
    <w:rsid w:val="00E55800"/>
    <w:rsid w:val="00E71B4A"/>
    <w:rsid w:val="00EA7187"/>
    <w:rsid w:val="00ED6EA3"/>
    <w:rsid w:val="00EE180C"/>
    <w:rsid w:val="00F560D8"/>
    <w:rsid w:val="00F862D9"/>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CA3E"/>
  <w15:chartTrackingRefBased/>
  <w15:docId w15:val="{1885B99F-5486-46AD-A61D-E29C058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12"/>
    <w:pPr>
      <w:spacing w:after="160" w:line="259" w:lineRule="auto"/>
    </w:pPr>
    <w:rPr>
      <w:kern w:val="2"/>
      <w:sz w:val="22"/>
      <w:szCs w:val="22"/>
      <w14:ligatures w14:val="standardContextual"/>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25D1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Default">
    <w:name w:val="Default"/>
    <w:rsid w:val="00DB51B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Downloads\Document%20-%20Word%20template%20-%20Complex.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Template>
  <TotalTime>0</TotalTime>
  <Pages>2</Pages>
  <Words>524</Words>
  <Characters>2989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James Wood</cp:lastModifiedBy>
  <cp:revision>2</cp:revision>
  <cp:lastPrinted>2022-06-09T11:49:00Z</cp:lastPrinted>
  <dcterms:created xsi:type="dcterms:W3CDTF">2023-12-21T10:22:00Z</dcterms:created>
  <dcterms:modified xsi:type="dcterms:W3CDTF">2023-12-21T10:22:00Z</dcterms:modified>
</cp:coreProperties>
</file>