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2665" w14:textId="161219B8" w:rsidR="00942F1C" w:rsidRPr="00D30850" w:rsidRDefault="00942F1C" w:rsidP="00053BD5">
      <w:pPr>
        <w:ind w:left="-142" w:right="-612"/>
        <w:outlineLvl w:val="2"/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</w:pPr>
      <w:r w:rsidRPr="00D30850"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  <w:t xml:space="preserve">Checklist for the </w:t>
      </w:r>
      <w:r w:rsidR="0025021F" w:rsidRPr="00D30850"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  <w:t xml:space="preserve">NHS </w:t>
      </w:r>
      <w:r w:rsidRPr="00D30850"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  <w:t xml:space="preserve">Flu Vaccination </w:t>
      </w:r>
      <w:r w:rsidR="0025021F" w:rsidRPr="00D30850"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  <w:t xml:space="preserve">Advanced </w:t>
      </w:r>
      <w:r w:rsidRPr="00D30850">
        <w:rPr>
          <w:rFonts w:ascii="Mokoko Medium" w:eastAsia="Times New Roman" w:hAnsi="Mokoko Medium" w:cs="Mokoko Medium"/>
          <w:b/>
          <w:bCs/>
          <w:color w:val="519680"/>
          <w:sz w:val="28"/>
          <w:szCs w:val="28"/>
          <w:lang w:eastAsia="en-GB"/>
        </w:rPr>
        <w:t>Service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7902"/>
        <w:gridCol w:w="1452"/>
      </w:tblGrid>
      <w:tr w:rsidR="00942F1C" w14:paraId="70A9F065" w14:textId="77777777" w:rsidTr="00204B03">
        <w:trPr>
          <w:tblHeader/>
        </w:trPr>
        <w:tc>
          <w:tcPr>
            <w:tcW w:w="4313" w:type="pct"/>
            <w:gridSpan w:val="2"/>
            <w:shd w:val="clear" w:color="auto" w:fill="106B62"/>
          </w:tcPr>
          <w:p w14:paraId="25FEBAF2" w14:textId="77777777" w:rsidR="00942F1C" w:rsidRPr="00942F1C" w:rsidRDefault="00942F1C" w:rsidP="00053BD5">
            <w:pPr>
              <w:spacing w:before="60" w:after="100" w:line="240" w:lineRule="auto"/>
              <w:ind w:right="-612"/>
              <w:rPr>
                <w:b/>
                <w:color w:val="FFFFFF" w:themeColor="background2"/>
              </w:rPr>
            </w:pPr>
            <w:r w:rsidRPr="00942F1C">
              <w:rPr>
                <w:b/>
                <w:color w:val="FFFFFF" w:themeColor="background2"/>
              </w:rPr>
              <w:t>Preparing to provide the service</w:t>
            </w:r>
          </w:p>
        </w:tc>
        <w:tc>
          <w:tcPr>
            <w:tcW w:w="687" w:type="pct"/>
            <w:shd w:val="clear" w:color="auto" w:fill="106B62"/>
          </w:tcPr>
          <w:p w14:paraId="3856AFFB" w14:textId="77777777" w:rsidR="00942F1C" w:rsidRPr="00942F1C" w:rsidRDefault="00942F1C" w:rsidP="00053BD5">
            <w:pPr>
              <w:spacing w:before="60" w:after="100" w:line="240" w:lineRule="auto"/>
              <w:ind w:right="34"/>
              <w:rPr>
                <w:b/>
                <w:color w:val="FFFFFF" w:themeColor="background2"/>
              </w:rPr>
            </w:pPr>
            <w:r w:rsidRPr="00942F1C">
              <w:rPr>
                <w:b/>
                <w:color w:val="FFFFFF" w:themeColor="background2"/>
              </w:rPr>
              <w:t>Completed</w:t>
            </w:r>
          </w:p>
        </w:tc>
      </w:tr>
      <w:tr w:rsidR="00942F1C" w:rsidRPr="00942F1C" w14:paraId="7E0F2F65" w14:textId="77777777" w:rsidTr="00204B03">
        <w:tc>
          <w:tcPr>
            <w:tcW w:w="254" w:type="pct"/>
            <w:shd w:val="clear" w:color="auto" w:fill="auto"/>
          </w:tcPr>
          <w:p w14:paraId="42784615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1.</w:t>
            </w:r>
          </w:p>
        </w:tc>
        <w:tc>
          <w:tcPr>
            <w:tcW w:w="4058" w:type="pct"/>
          </w:tcPr>
          <w:p w14:paraId="1B2562FB" w14:textId="288C67D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 xml:space="preserve">Visit the </w:t>
            </w:r>
            <w:hyperlink r:id="rId11" w:history="1">
              <w:r w:rsidR="00510571">
                <w:rPr>
                  <w:rStyle w:val="Hyperlink"/>
                  <w:b/>
                  <w:bCs/>
                  <w:color w:val="FF6D3A"/>
                </w:rPr>
                <w:t>Community Pharmacy</w:t>
              </w:r>
              <w:r w:rsidR="00510571">
                <w:rPr>
                  <w:rStyle w:val="Hyperlink"/>
                  <w:b/>
                  <w:bCs/>
                  <w:color w:val="FF6D3A"/>
                </w:rPr>
                <w:t xml:space="preserve"> </w:t>
              </w:r>
              <w:r w:rsidR="00510571">
                <w:rPr>
                  <w:rStyle w:val="Hyperlink"/>
                  <w:b/>
                  <w:bCs/>
                  <w:color w:val="FF6D3A"/>
                </w:rPr>
                <w:t>England</w:t>
              </w:r>
              <w:r w:rsidRPr="00942F1C">
                <w:rPr>
                  <w:rStyle w:val="Hyperlink"/>
                  <w:b/>
                  <w:bCs/>
                  <w:color w:val="FF6D3A"/>
                </w:rPr>
                <w:t xml:space="preserve"> website</w:t>
              </w:r>
            </w:hyperlink>
            <w:r w:rsidRPr="00942F1C">
              <w:t xml:space="preserve"> and read through the Briefings and other service information / documentation and familiarise yourself with the resources available.</w:t>
            </w:r>
          </w:p>
        </w:tc>
        <w:tc>
          <w:tcPr>
            <w:tcW w:w="687" w:type="pct"/>
          </w:tcPr>
          <w:p w14:paraId="0452F860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  <w:bookmarkEnd w:id="0"/>
          </w:p>
        </w:tc>
      </w:tr>
      <w:tr w:rsidR="00942F1C" w:rsidRPr="00942F1C" w14:paraId="6B6B2357" w14:textId="77777777" w:rsidTr="00204B03">
        <w:tc>
          <w:tcPr>
            <w:tcW w:w="254" w:type="pct"/>
            <w:shd w:val="clear" w:color="auto" w:fill="auto"/>
          </w:tcPr>
          <w:p w14:paraId="279A428F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2.</w:t>
            </w:r>
          </w:p>
        </w:tc>
        <w:tc>
          <w:tcPr>
            <w:tcW w:w="4058" w:type="pct"/>
          </w:tcPr>
          <w:p w14:paraId="63F82E01" w14:textId="5671E6A2" w:rsidR="00942F1C" w:rsidRPr="00942F1C" w:rsidRDefault="00942F1C" w:rsidP="00B97C23">
            <w:pPr>
              <w:pStyle w:val="ListParagraph"/>
              <w:numPr>
                <w:ilvl w:val="0"/>
                <w:numId w:val="36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  <w:lang w:val="en-US"/>
              </w:rPr>
            </w:pPr>
            <w:r w:rsidRPr="00942F1C">
              <w:rPr>
                <w:rFonts w:ascii="DM Sans" w:hAnsi="DM Sans"/>
                <w:lang w:val="en-US"/>
              </w:rPr>
              <w:t>Where required, complete face-to-face training covering injection technique and basic life support</w:t>
            </w:r>
            <w:r w:rsidRPr="00942F1C">
              <w:rPr>
                <w:rFonts w:ascii="DM Sans" w:hAnsi="DM Sans"/>
              </w:rPr>
              <w:t xml:space="preserve"> (including the administration of adrenaline for anaphylaxis) – a list of training providers can be found </w:t>
            </w:r>
            <w:r w:rsidR="00BD2936">
              <w:rPr>
                <w:rFonts w:ascii="DM Sans" w:hAnsi="DM Sans"/>
              </w:rPr>
              <w:t xml:space="preserve">on the flu page of </w:t>
            </w:r>
            <w:r w:rsidR="00BD2936" w:rsidRPr="00BD2936">
              <w:rPr>
                <w:rFonts w:ascii="DM Sans" w:hAnsi="DM Sans"/>
              </w:rPr>
              <w:t xml:space="preserve">the </w:t>
            </w:r>
            <w:hyperlink r:id="rId12" w:history="1">
              <w:r w:rsidR="00BD2936" w:rsidRPr="00BD2936">
                <w:rPr>
                  <w:rStyle w:val="Hyperlink"/>
                  <w:rFonts w:ascii="DM Sans" w:hAnsi="DM Sans"/>
                  <w:b/>
                  <w:bCs/>
                </w:rPr>
                <w:t xml:space="preserve">Community Pharmacy </w:t>
              </w:r>
              <w:r w:rsidR="00BD2936" w:rsidRPr="00BD2936">
                <w:rPr>
                  <w:rStyle w:val="Hyperlink"/>
                  <w:rFonts w:ascii="DM Sans" w:hAnsi="DM Sans"/>
                  <w:b/>
                  <w:bCs/>
                </w:rPr>
                <w:t>E</w:t>
              </w:r>
              <w:r w:rsidR="00BD2936" w:rsidRPr="00BD2936">
                <w:rPr>
                  <w:rStyle w:val="Hyperlink"/>
                  <w:rFonts w:ascii="DM Sans" w:hAnsi="DM Sans"/>
                  <w:b/>
                  <w:bCs/>
                </w:rPr>
                <w:t>ngland website</w:t>
              </w:r>
            </w:hyperlink>
            <w:r w:rsidRPr="00942F1C">
              <w:rPr>
                <w:rFonts w:ascii="DM Sans" w:hAnsi="DM Sans"/>
              </w:rPr>
              <w:t xml:space="preserve"> </w:t>
            </w:r>
            <w:r w:rsidRPr="00942F1C">
              <w:rPr>
                <w:rFonts w:ascii="DM Sans" w:hAnsi="DM Sans"/>
                <w:lang w:val="en-US"/>
              </w:rPr>
              <w:t xml:space="preserve">This is a periodic requirement, so it is for the </w:t>
            </w:r>
            <w:r w:rsidR="00510571">
              <w:rPr>
                <w:rFonts w:ascii="DM Sans" w:hAnsi="DM Sans"/>
                <w:lang w:val="en-US"/>
              </w:rPr>
              <w:t>pharmacy owner</w:t>
            </w:r>
            <w:r w:rsidRPr="00942F1C">
              <w:rPr>
                <w:rFonts w:ascii="DM Sans" w:hAnsi="DM Sans"/>
                <w:lang w:val="en-US"/>
              </w:rPr>
              <w:t xml:space="preserve"> to determine when retraining is needed.</w:t>
            </w:r>
          </w:p>
        </w:tc>
        <w:tc>
          <w:tcPr>
            <w:tcW w:w="687" w:type="pct"/>
          </w:tcPr>
          <w:p w14:paraId="4309D632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5D116C32" w14:textId="77777777" w:rsidTr="00204B03">
        <w:tc>
          <w:tcPr>
            <w:tcW w:w="254" w:type="pct"/>
            <w:shd w:val="clear" w:color="auto" w:fill="auto"/>
          </w:tcPr>
          <w:p w14:paraId="08379F05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3.</w:t>
            </w:r>
          </w:p>
        </w:tc>
        <w:tc>
          <w:tcPr>
            <w:tcW w:w="4058" w:type="pct"/>
          </w:tcPr>
          <w:p w14:paraId="58DC3132" w14:textId="77777777" w:rsidR="00942F1C" w:rsidRPr="00942F1C" w:rsidRDefault="00942F1C" w:rsidP="00B97C23">
            <w:pPr>
              <w:pStyle w:val="ListParagraph"/>
              <w:numPr>
                <w:ilvl w:val="0"/>
                <w:numId w:val="36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 xml:space="preserve">Read the </w:t>
            </w:r>
            <w:hyperlink r:id="rId13" w:history="1">
              <w:r w:rsidRPr="00942F1C">
                <w:rPr>
                  <w:rStyle w:val="Hyperlink"/>
                  <w:rFonts w:ascii="DM Sans" w:hAnsi="DM Sans"/>
                  <w:b/>
                  <w:bCs/>
                  <w:color w:val="FF6D3A"/>
                </w:rPr>
                <w:t>service specification</w:t>
              </w:r>
            </w:hyperlink>
            <w:r w:rsidRPr="00942F1C">
              <w:rPr>
                <w:rFonts w:ascii="DM Sans" w:hAnsi="DM Sans"/>
              </w:rPr>
              <w:t>.</w:t>
            </w:r>
          </w:p>
        </w:tc>
        <w:tc>
          <w:tcPr>
            <w:tcW w:w="687" w:type="pct"/>
          </w:tcPr>
          <w:p w14:paraId="125835B7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0CE5469C" w14:textId="77777777" w:rsidTr="00204B03">
        <w:tc>
          <w:tcPr>
            <w:tcW w:w="254" w:type="pct"/>
            <w:shd w:val="clear" w:color="auto" w:fill="auto"/>
          </w:tcPr>
          <w:p w14:paraId="00709548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4.</w:t>
            </w:r>
          </w:p>
        </w:tc>
        <w:tc>
          <w:tcPr>
            <w:tcW w:w="4058" w:type="pct"/>
          </w:tcPr>
          <w:p w14:paraId="7A1B99D5" w14:textId="7777777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 xml:space="preserve">Read the national </w:t>
            </w:r>
            <w:hyperlink r:id="rId14" w:history="1">
              <w:r w:rsidRPr="00942F1C">
                <w:rPr>
                  <w:rStyle w:val="Hyperlink"/>
                  <w:b/>
                  <w:bCs/>
                  <w:color w:val="FF6D3A"/>
                </w:rPr>
                <w:t>Patient Group Directio</w:t>
              </w:r>
              <w:r w:rsidRPr="00510571">
                <w:rPr>
                  <w:rStyle w:val="Hyperlink"/>
                  <w:b/>
                  <w:bCs/>
                  <w:color w:val="FF6D3A"/>
                </w:rPr>
                <w:t>n</w:t>
              </w:r>
            </w:hyperlink>
            <w:r w:rsidRPr="00942F1C">
              <w:rPr>
                <w:color w:val="519680"/>
              </w:rPr>
              <w:t xml:space="preserve"> </w:t>
            </w:r>
            <w:r w:rsidRPr="00942F1C">
              <w:t xml:space="preserve">(PGD) and the </w:t>
            </w:r>
            <w:hyperlink r:id="rId15" w:history="1">
              <w:r w:rsidRPr="00942F1C">
                <w:rPr>
                  <w:rStyle w:val="Hyperlink"/>
                  <w:b/>
                  <w:bCs/>
                  <w:color w:val="FF6D3A"/>
                </w:rPr>
                <w:t>national protocol</w:t>
              </w:r>
            </w:hyperlink>
            <w:r w:rsidRPr="00942F1C">
              <w:rPr>
                <w:color w:val="519680"/>
              </w:rPr>
              <w:t xml:space="preserve"> </w:t>
            </w:r>
            <w:r w:rsidRPr="00942F1C">
              <w:t xml:space="preserve">(if you intend to use this) to ensure you fully understand the content including the eligible patient groups, the inclusion and exclusion criteria and the record keeping requirements. </w:t>
            </w:r>
          </w:p>
        </w:tc>
        <w:tc>
          <w:tcPr>
            <w:tcW w:w="687" w:type="pct"/>
          </w:tcPr>
          <w:p w14:paraId="0FE986CE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4324AB02" w14:textId="77777777" w:rsidTr="00204B03">
        <w:tc>
          <w:tcPr>
            <w:tcW w:w="254" w:type="pct"/>
            <w:shd w:val="clear" w:color="auto" w:fill="auto"/>
          </w:tcPr>
          <w:p w14:paraId="52D283DF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5.</w:t>
            </w:r>
          </w:p>
        </w:tc>
        <w:tc>
          <w:tcPr>
            <w:tcW w:w="4058" w:type="pct"/>
          </w:tcPr>
          <w:p w14:paraId="7119DA80" w14:textId="7777777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 xml:space="preserve">Complete the Practitioner declaration on the PGD and (if the national protocol is also to be used) the </w:t>
            </w:r>
            <w:r w:rsidRPr="00942F1C">
              <w:rPr>
                <w:bCs/>
              </w:rPr>
              <w:t>Practitioner/staff declaration</w:t>
            </w:r>
            <w:r w:rsidRPr="00942F1C">
              <w:t xml:space="preserve"> to confirm you have read and understood the content of the PGD and/or national protocol and that you are willing and competent to work to it within your professional code of conduct. You must sign a copy of the PGD and /or national protocol in each pharmacy that you work in.</w:t>
            </w:r>
          </w:p>
        </w:tc>
        <w:tc>
          <w:tcPr>
            <w:tcW w:w="687" w:type="pct"/>
          </w:tcPr>
          <w:p w14:paraId="07E04E33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02C9FDA1" w14:textId="77777777" w:rsidTr="00204B03">
        <w:tc>
          <w:tcPr>
            <w:tcW w:w="254" w:type="pct"/>
            <w:shd w:val="clear" w:color="auto" w:fill="auto"/>
          </w:tcPr>
          <w:p w14:paraId="70C13335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6.</w:t>
            </w:r>
          </w:p>
        </w:tc>
        <w:tc>
          <w:tcPr>
            <w:tcW w:w="4058" w:type="pct"/>
          </w:tcPr>
          <w:p w14:paraId="3ED65D08" w14:textId="77777777" w:rsidR="00942F1C" w:rsidRPr="00942F1C" w:rsidRDefault="00942F1C" w:rsidP="00B97C23">
            <w:pPr>
              <w:pStyle w:val="ListParagraph"/>
              <w:numPr>
                <w:ilvl w:val="0"/>
                <w:numId w:val="36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 xml:space="preserve">Request that the relevant person for the pharmacy completes the Authorising Manager section of the PGD. An Authorising Manager must sign a copy of the PGD in each pharmacy that you work in. Where the national protocol is being used, an </w:t>
            </w:r>
            <w:r w:rsidRPr="00942F1C">
              <w:rPr>
                <w:rFonts w:ascii="DM Sans" w:hAnsi="DM Sans"/>
                <w:bCs/>
              </w:rPr>
              <w:t>Authorising registered healthcare professional is needed to sign a copy of the protocol. This must also occur in each pharmacy that you work in where the protocol is to be used.</w:t>
            </w:r>
          </w:p>
        </w:tc>
        <w:tc>
          <w:tcPr>
            <w:tcW w:w="687" w:type="pct"/>
          </w:tcPr>
          <w:p w14:paraId="40BBE196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359ADE59" w14:textId="77777777" w:rsidTr="00204B03">
        <w:tc>
          <w:tcPr>
            <w:tcW w:w="254" w:type="pct"/>
            <w:shd w:val="clear" w:color="auto" w:fill="auto"/>
          </w:tcPr>
          <w:p w14:paraId="1A13BD91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7.</w:t>
            </w:r>
          </w:p>
        </w:tc>
        <w:tc>
          <w:tcPr>
            <w:tcW w:w="4058" w:type="pct"/>
          </w:tcPr>
          <w:p w14:paraId="025C2060" w14:textId="10D55BE9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rPr>
                <w:lang w:val="en-US"/>
              </w:rPr>
              <w:t>Ensure the competency of staff involved in the service. Pharmacists</w:t>
            </w:r>
            <w:r w:rsidR="00C43527">
              <w:rPr>
                <w:lang w:val="en-US"/>
              </w:rPr>
              <w:t xml:space="preserve"> and pharmacy technicians</w:t>
            </w:r>
            <w:r w:rsidRPr="00942F1C">
              <w:rPr>
                <w:lang w:val="en-US"/>
              </w:rPr>
              <w:t xml:space="preserve"> can complete or check their </w:t>
            </w:r>
            <w:hyperlink r:id="rId16" w:history="1">
              <w:r w:rsidRPr="00D30850">
                <w:rPr>
                  <w:rStyle w:val="Hyperlink"/>
                  <w:b/>
                  <w:bCs/>
                </w:rPr>
                <w:t>Declaration of Competence (</w:t>
              </w:r>
              <w:r w:rsidRPr="00D30850">
                <w:rPr>
                  <w:rStyle w:val="Hyperlink"/>
                  <w:b/>
                  <w:bCs/>
                  <w:lang w:val="en-US"/>
                </w:rPr>
                <w:t>DoC)</w:t>
              </w:r>
            </w:hyperlink>
            <w:r w:rsidRPr="00D30850">
              <w:rPr>
                <w:lang w:val="en-US"/>
              </w:rPr>
              <w:t>.</w:t>
            </w:r>
            <w:r w:rsidRPr="00942F1C">
              <w:rPr>
                <w:color w:val="FF6D3A"/>
                <w:lang w:val="en-US"/>
              </w:rPr>
              <w:t xml:space="preserve"> </w:t>
            </w:r>
            <w:r w:rsidRPr="00942F1C">
              <w:rPr>
                <w:lang w:val="en-US"/>
              </w:rPr>
              <w:t xml:space="preserve">Where the DoC process is used, it must be completed </w:t>
            </w:r>
            <w:r w:rsidRPr="00942F1C">
              <w:rPr>
                <w:b/>
                <w:bCs/>
                <w:lang w:val="en-US"/>
              </w:rPr>
              <w:t>every two years</w:t>
            </w:r>
            <w:r w:rsidRPr="00942F1C">
              <w:rPr>
                <w:lang w:val="en-US"/>
              </w:rPr>
              <w:t xml:space="preserve">. Another option for assuring staff competency is to use </w:t>
            </w:r>
            <w:r w:rsidRPr="00942F1C">
              <w:t xml:space="preserve">the </w:t>
            </w:r>
            <w:hyperlink r:id="rId17" w:history="1">
              <w:r w:rsidRPr="00942F1C">
                <w:rPr>
                  <w:rStyle w:val="Hyperlink"/>
                  <w:b/>
                  <w:color w:val="FF6D3A"/>
                </w:rPr>
                <w:t>Flu vaccinator competency assessment tool</w:t>
              </w:r>
            </w:hyperlink>
            <w:r w:rsidRPr="00942F1C">
              <w:t>.</w:t>
            </w:r>
          </w:p>
        </w:tc>
        <w:tc>
          <w:tcPr>
            <w:tcW w:w="687" w:type="pct"/>
          </w:tcPr>
          <w:p w14:paraId="2352ABF0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38992802" w14:textId="77777777" w:rsidTr="00204B03">
        <w:tc>
          <w:tcPr>
            <w:tcW w:w="254" w:type="pct"/>
            <w:shd w:val="clear" w:color="auto" w:fill="auto"/>
          </w:tcPr>
          <w:p w14:paraId="1150C3BE" w14:textId="77777777" w:rsidR="00942F1C" w:rsidRPr="00510571" w:rsidRDefault="002D3F9F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>
              <w:rPr>
                <w:b/>
                <w:color w:val="FF6D3A"/>
              </w:rPr>
              <w:t>8</w:t>
            </w:r>
            <w:r w:rsidR="00942F1C"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</w:tcPr>
          <w:p w14:paraId="62720778" w14:textId="7777777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>Read and sign the standard operating procedure (SOP) for the service in each pharmacy you intend to work at.</w:t>
            </w:r>
          </w:p>
          <w:p w14:paraId="4B957051" w14:textId="77777777" w:rsidR="00942F1C" w:rsidRPr="00942F1C" w:rsidRDefault="00942F1C" w:rsidP="00B97C23">
            <w:pPr>
              <w:pStyle w:val="ListParagraph"/>
              <w:numPr>
                <w:ilvl w:val="0"/>
                <w:numId w:val="38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Ensure you know what role support staff will have in providing the service;</w:t>
            </w:r>
          </w:p>
          <w:p w14:paraId="3F02B894" w14:textId="77777777" w:rsidR="00942F1C" w:rsidRPr="00942F1C" w:rsidRDefault="00942F1C" w:rsidP="00B97C23">
            <w:pPr>
              <w:pStyle w:val="ListParagraph"/>
              <w:numPr>
                <w:ilvl w:val="0"/>
                <w:numId w:val="38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lastRenderedPageBreak/>
              <w:t>Review your working practices to ensure that the Flu Vaccination Service can be built into your routine work as well as continuing be able to offer other services;</w:t>
            </w:r>
          </w:p>
          <w:p w14:paraId="666FE7D8" w14:textId="77777777" w:rsidR="00942F1C" w:rsidRPr="00942F1C" w:rsidRDefault="00942F1C" w:rsidP="00B97C23">
            <w:pPr>
              <w:pStyle w:val="ListParagraph"/>
              <w:numPr>
                <w:ilvl w:val="0"/>
                <w:numId w:val="38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Ensure you know whether an appointment system for the service will be used or whether the pharmacy allows ‘walk ins’; and</w:t>
            </w:r>
          </w:p>
          <w:p w14:paraId="6E1E40C1" w14:textId="77777777" w:rsidR="00942F1C" w:rsidRPr="00942F1C" w:rsidRDefault="00942F1C" w:rsidP="00B97C23">
            <w:pPr>
              <w:pStyle w:val="ListParagraph"/>
              <w:numPr>
                <w:ilvl w:val="0"/>
                <w:numId w:val="38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Ensure relevant staff have read, understand and have signed up to the SOP.</w:t>
            </w:r>
          </w:p>
        </w:tc>
        <w:tc>
          <w:tcPr>
            <w:tcW w:w="687" w:type="pct"/>
          </w:tcPr>
          <w:p w14:paraId="19A70C8C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589C57EA" w14:textId="77777777" w:rsidTr="00204B03">
        <w:tc>
          <w:tcPr>
            <w:tcW w:w="254" w:type="pct"/>
            <w:shd w:val="clear" w:color="auto" w:fill="auto"/>
          </w:tcPr>
          <w:p w14:paraId="66A0A3B3" w14:textId="77777777" w:rsidR="00942F1C" w:rsidRPr="00510571" w:rsidRDefault="002D3F9F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>
              <w:rPr>
                <w:b/>
                <w:color w:val="FF6D3A"/>
              </w:rPr>
              <w:t>9</w:t>
            </w:r>
            <w:r w:rsidR="00942F1C"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</w:tcPr>
          <w:p w14:paraId="3BB4F51A" w14:textId="7777777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>Familiarise yourself with relevant service documents, for example:</w:t>
            </w:r>
          </w:p>
          <w:p w14:paraId="282BAF94" w14:textId="77777777" w:rsidR="00942F1C" w:rsidRPr="00942F1C" w:rsidRDefault="00942F1C" w:rsidP="00B97C23">
            <w:pPr>
              <w:pStyle w:val="ListParagraph"/>
              <w:numPr>
                <w:ilvl w:val="0"/>
                <w:numId w:val="37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anaphylaxis telephone card (display near the phone);</w:t>
            </w:r>
          </w:p>
          <w:p w14:paraId="2EFB7F08" w14:textId="77777777" w:rsidR="00942F1C" w:rsidRPr="00942F1C" w:rsidRDefault="00942F1C" w:rsidP="00B97C23">
            <w:pPr>
              <w:pStyle w:val="ListParagraph"/>
              <w:numPr>
                <w:ilvl w:val="0"/>
                <w:numId w:val="37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chaperone policy</w:t>
            </w:r>
          </w:p>
          <w:p w14:paraId="01452D94" w14:textId="77777777" w:rsidR="00942F1C" w:rsidRPr="00942F1C" w:rsidRDefault="00942F1C" w:rsidP="00B97C23">
            <w:pPr>
              <w:pStyle w:val="ListParagraph"/>
              <w:numPr>
                <w:ilvl w:val="0"/>
                <w:numId w:val="37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needle stick injury procedure; and</w:t>
            </w:r>
          </w:p>
          <w:p w14:paraId="55F227CF" w14:textId="73F90CF8" w:rsidR="00942F1C" w:rsidRPr="00942F1C" w:rsidRDefault="00942F1C" w:rsidP="00B97C23">
            <w:pPr>
              <w:pStyle w:val="ListParagraph"/>
              <w:numPr>
                <w:ilvl w:val="0"/>
                <w:numId w:val="38"/>
              </w:numPr>
              <w:spacing w:before="60" w:after="100"/>
              <w:ind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 xml:space="preserve">guidance on infection control procedures, including use of appropriate </w:t>
            </w:r>
            <w:r w:rsidR="00C15F97">
              <w:rPr>
                <w:rFonts w:ascii="DM Sans" w:hAnsi="DM Sans"/>
              </w:rPr>
              <w:t xml:space="preserve">personal protective </w:t>
            </w:r>
            <w:r w:rsidR="00381976">
              <w:rPr>
                <w:rFonts w:ascii="DM Sans" w:hAnsi="DM Sans"/>
              </w:rPr>
              <w:t>equipment (</w:t>
            </w:r>
            <w:r w:rsidRPr="00942F1C">
              <w:rPr>
                <w:rFonts w:ascii="DM Sans" w:hAnsi="DM Sans"/>
              </w:rPr>
              <w:t>PPE</w:t>
            </w:r>
            <w:r w:rsidR="00381976">
              <w:rPr>
                <w:rFonts w:ascii="DM Sans" w:hAnsi="DM Sans"/>
              </w:rPr>
              <w:t>)</w:t>
            </w:r>
            <w:r w:rsidRPr="00942F1C">
              <w:rPr>
                <w:rFonts w:ascii="DM Sans" w:hAnsi="DM Sans"/>
              </w:rPr>
              <w:t xml:space="preserve"> and hand hygiene guidance.</w:t>
            </w:r>
          </w:p>
        </w:tc>
        <w:tc>
          <w:tcPr>
            <w:tcW w:w="687" w:type="pct"/>
          </w:tcPr>
          <w:p w14:paraId="45EE0E03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3A333543" w14:textId="77777777" w:rsidTr="00204B03">
        <w:tc>
          <w:tcPr>
            <w:tcW w:w="254" w:type="pct"/>
            <w:shd w:val="clear" w:color="auto" w:fill="auto"/>
          </w:tcPr>
          <w:p w14:paraId="00E58926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1</w:t>
            </w:r>
            <w:r w:rsidR="002D3F9F">
              <w:rPr>
                <w:b/>
                <w:color w:val="FF6D3A"/>
              </w:rPr>
              <w:t>0</w:t>
            </w:r>
            <w:r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</w:tcPr>
          <w:p w14:paraId="00CB21D1" w14:textId="77777777" w:rsidR="00942F1C" w:rsidRPr="00942F1C" w:rsidRDefault="002D3F9F" w:rsidP="00B97C23">
            <w:pPr>
              <w:pStyle w:val="ListParagraph"/>
              <w:spacing w:before="60" w:after="100"/>
              <w:ind w:left="0" w:right="103"/>
              <w:contextualSpacing w:val="0"/>
              <w:jc w:val="both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Find out which NHS-assured IT system</w:t>
            </w:r>
            <w:r w:rsidR="00942F1C" w:rsidRPr="00942F1C">
              <w:rPr>
                <w:rFonts w:ascii="DM Sans" w:hAnsi="DM Sans"/>
              </w:rPr>
              <w:t xml:space="preserve"> your regional NHS England team has made available </w:t>
            </w:r>
            <w:r>
              <w:rPr>
                <w:rFonts w:ascii="DM Sans" w:hAnsi="DM Sans"/>
              </w:rPr>
              <w:t>for</w:t>
            </w:r>
            <w:r w:rsidR="00942F1C" w:rsidRPr="00942F1C">
              <w:rPr>
                <w:rFonts w:ascii="DM Sans" w:hAnsi="DM Sans"/>
              </w:rPr>
              <w:t xml:space="preserve"> record keeping and notification of GP practices of vaccinations undertaken. Ensure you have the required logon credentials for the system and are familiar with how to use it.</w:t>
            </w:r>
          </w:p>
        </w:tc>
        <w:tc>
          <w:tcPr>
            <w:tcW w:w="687" w:type="pct"/>
          </w:tcPr>
          <w:p w14:paraId="0BDD0C72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4926D10F" w14:textId="77777777" w:rsidTr="00204B03">
        <w:tc>
          <w:tcPr>
            <w:tcW w:w="254" w:type="pct"/>
            <w:shd w:val="clear" w:color="auto" w:fill="auto"/>
          </w:tcPr>
          <w:p w14:paraId="598F0D3F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1</w:t>
            </w:r>
            <w:r w:rsidR="002D3F9F">
              <w:rPr>
                <w:b/>
                <w:color w:val="FF6D3A"/>
              </w:rPr>
              <w:t>1</w:t>
            </w:r>
            <w:r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</w:tcPr>
          <w:p w14:paraId="5FFC1CAD" w14:textId="77777777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>Ensure you have any necessary equipment/supplies needed for provision of the service, for example:</w:t>
            </w:r>
          </w:p>
          <w:p w14:paraId="65E4FD2D" w14:textId="375B2206" w:rsidR="00942F1C" w:rsidRPr="00942F1C" w:rsidRDefault="00942F1C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flu vaccines</w:t>
            </w:r>
            <w:r w:rsidR="002C69A2">
              <w:rPr>
                <w:rFonts w:ascii="DM Sans" w:hAnsi="DM Sans"/>
              </w:rPr>
              <w:t xml:space="preserve"> and </w:t>
            </w:r>
            <w:r w:rsidR="00621376">
              <w:rPr>
                <w:rFonts w:ascii="DM Sans" w:hAnsi="DM Sans"/>
              </w:rPr>
              <w:t xml:space="preserve">UKHSA </w:t>
            </w:r>
            <w:r w:rsidR="002C69A2">
              <w:rPr>
                <w:rFonts w:ascii="DM Sans" w:hAnsi="DM Sans"/>
              </w:rPr>
              <w:t xml:space="preserve">flu vaccine </w:t>
            </w:r>
            <w:r w:rsidR="00E26D6B">
              <w:rPr>
                <w:rFonts w:ascii="DM Sans" w:hAnsi="DM Sans"/>
              </w:rPr>
              <w:t>poster to aid selection</w:t>
            </w:r>
            <w:r w:rsidRPr="00942F1C">
              <w:rPr>
                <w:rFonts w:ascii="DM Sans" w:hAnsi="DM Sans"/>
              </w:rPr>
              <w:t>;</w:t>
            </w:r>
          </w:p>
          <w:p w14:paraId="1CD18982" w14:textId="77777777" w:rsidR="00942F1C" w:rsidRPr="00942F1C" w:rsidRDefault="00942F1C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a spill kit;</w:t>
            </w:r>
          </w:p>
          <w:p w14:paraId="2D94F1C1" w14:textId="1012ED33" w:rsidR="00942F1C" w:rsidRDefault="00942F1C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an anaphylaxis pack (</w:t>
            </w:r>
            <w:r w:rsidRPr="003271D8">
              <w:rPr>
                <w:rFonts w:ascii="DM Sans" w:hAnsi="DM Sans"/>
                <w:b/>
                <w:bCs/>
              </w:rPr>
              <w:t>check the expiry of the adrenaline ampoules, syringes and needles</w:t>
            </w:r>
            <w:r w:rsidRPr="00942F1C">
              <w:rPr>
                <w:rFonts w:ascii="DM Sans" w:hAnsi="DM Sans"/>
              </w:rPr>
              <w:t>);</w:t>
            </w:r>
          </w:p>
          <w:p w14:paraId="71EF10B6" w14:textId="4CFA162D" w:rsidR="00D84CD9" w:rsidRPr="00942F1C" w:rsidRDefault="003E27F7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patient information leaflets;</w:t>
            </w:r>
          </w:p>
          <w:p w14:paraId="460B556D" w14:textId="4D4D28CE" w:rsidR="00942F1C" w:rsidRPr="00942F1C" w:rsidRDefault="00EB7679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a</w:t>
            </w:r>
            <w:r w:rsidR="00942F1C" w:rsidRPr="00942F1C">
              <w:rPr>
                <w:rFonts w:ascii="DM Sans" w:hAnsi="DM Sans"/>
              </w:rPr>
              <w:t>ny recommended PPE; and</w:t>
            </w:r>
          </w:p>
          <w:p w14:paraId="3BD9080C" w14:textId="77777777" w:rsidR="00942F1C" w:rsidRPr="00942F1C" w:rsidRDefault="00942F1C" w:rsidP="00B97C23">
            <w:pPr>
              <w:pStyle w:val="ListParagraph"/>
              <w:numPr>
                <w:ilvl w:val="0"/>
                <w:numId w:val="39"/>
              </w:numPr>
              <w:spacing w:before="60" w:after="100"/>
              <w:ind w:left="743" w:right="103"/>
              <w:contextualSpacing w:val="0"/>
              <w:jc w:val="both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a clinical waste bin.</w:t>
            </w:r>
          </w:p>
        </w:tc>
        <w:tc>
          <w:tcPr>
            <w:tcW w:w="687" w:type="pct"/>
          </w:tcPr>
          <w:p w14:paraId="101678D9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527F71C1" w14:textId="77777777" w:rsidTr="00204B03">
        <w:tc>
          <w:tcPr>
            <w:tcW w:w="254" w:type="pct"/>
            <w:shd w:val="clear" w:color="auto" w:fill="auto"/>
          </w:tcPr>
          <w:p w14:paraId="712EF713" w14:textId="77777777" w:rsidR="00942F1C" w:rsidRPr="00510571" w:rsidRDefault="00942F1C" w:rsidP="00053BD5">
            <w:pPr>
              <w:spacing w:before="60" w:after="100" w:line="240" w:lineRule="auto"/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1</w:t>
            </w:r>
            <w:r w:rsidR="002D3F9F">
              <w:rPr>
                <w:b/>
                <w:color w:val="FF6D3A"/>
              </w:rPr>
              <w:t>2</w:t>
            </w:r>
            <w:r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  <w:shd w:val="clear" w:color="auto" w:fill="auto"/>
          </w:tcPr>
          <w:p w14:paraId="31C990CF" w14:textId="27C3DBB8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 xml:space="preserve">Reviewed the additional guidance in the </w:t>
            </w:r>
            <w:r w:rsidRPr="003271D8">
              <w:rPr>
                <w:b/>
                <w:bCs/>
              </w:rPr>
              <w:t>vac</w:t>
            </w:r>
            <w:r w:rsidRPr="003271D8">
              <w:rPr>
                <w:b/>
                <w:bCs/>
              </w:rPr>
              <w:t>c</w:t>
            </w:r>
            <w:r w:rsidRPr="003271D8">
              <w:rPr>
                <w:b/>
                <w:bCs/>
              </w:rPr>
              <w:t>inating outside the consultation room &amp; off-site</w:t>
            </w:r>
            <w:r w:rsidRPr="00942F1C">
              <w:t xml:space="preserve"> </w:t>
            </w:r>
            <w:r w:rsidR="003271D8">
              <w:t xml:space="preserve">section to the </w:t>
            </w:r>
            <w:hyperlink r:id="rId18" w:history="1">
              <w:r w:rsidR="003271D8">
                <w:rPr>
                  <w:rStyle w:val="Hyperlink"/>
                  <w:b/>
                  <w:bCs/>
                  <w:color w:val="FF6D3A"/>
                </w:rPr>
                <w:t>Community Pharmacy England</w:t>
              </w:r>
              <w:r w:rsidR="003271D8" w:rsidRPr="00942F1C">
                <w:rPr>
                  <w:rStyle w:val="Hyperlink"/>
                  <w:b/>
                  <w:bCs/>
                  <w:color w:val="FF6D3A"/>
                </w:rPr>
                <w:t xml:space="preserve"> website</w:t>
              </w:r>
            </w:hyperlink>
            <w:r w:rsidR="003271D8">
              <w:rPr>
                <w:rStyle w:val="Hyperlink"/>
                <w:b/>
                <w:bCs/>
                <w:color w:val="FF6D3A"/>
              </w:rPr>
              <w:t xml:space="preserve"> </w:t>
            </w:r>
            <w:r w:rsidRPr="00942F1C">
              <w:t xml:space="preserve">to ensure any additional considerations that </w:t>
            </w:r>
            <w:r w:rsidR="00510571">
              <w:t xml:space="preserve">pharmacy owners </w:t>
            </w:r>
            <w:r w:rsidRPr="00942F1C">
              <w:t>may need to take into account when using these flexibilities have been actioned.</w:t>
            </w:r>
          </w:p>
        </w:tc>
        <w:tc>
          <w:tcPr>
            <w:tcW w:w="687" w:type="pct"/>
          </w:tcPr>
          <w:p w14:paraId="1CC52740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67B4AAFE" w14:textId="77777777" w:rsidTr="00204B03">
        <w:tc>
          <w:tcPr>
            <w:tcW w:w="254" w:type="pct"/>
            <w:shd w:val="clear" w:color="auto" w:fill="auto"/>
          </w:tcPr>
          <w:p w14:paraId="7E3BD918" w14:textId="77777777" w:rsidR="00942F1C" w:rsidRPr="00942F1C" w:rsidRDefault="00942F1C" w:rsidP="00053BD5">
            <w:pPr>
              <w:spacing w:before="60" w:after="100" w:line="240" w:lineRule="auto"/>
              <w:ind w:right="-392"/>
              <w:rPr>
                <w:b/>
              </w:rPr>
            </w:pPr>
            <w:r w:rsidRPr="00510571">
              <w:rPr>
                <w:b/>
                <w:color w:val="FF6D3A"/>
              </w:rPr>
              <w:t>1</w:t>
            </w:r>
            <w:r w:rsidR="002D3F9F">
              <w:rPr>
                <w:b/>
                <w:color w:val="FF6D3A"/>
              </w:rPr>
              <w:t>3</w:t>
            </w:r>
            <w:r w:rsidRPr="00510571">
              <w:rPr>
                <w:b/>
                <w:color w:val="FF6D3A"/>
              </w:rPr>
              <w:t>.</w:t>
            </w:r>
          </w:p>
        </w:tc>
        <w:tc>
          <w:tcPr>
            <w:tcW w:w="4058" w:type="pct"/>
          </w:tcPr>
          <w:p w14:paraId="590461B5" w14:textId="3E50D8B5" w:rsidR="00942F1C" w:rsidRPr="00942F1C" w:rsidRDefault="00942F1C" w:rsidP="00B97C23">
            <w:pPr>
              <w:spacing w:before="60" w:after="100" w:line="240" w:lineRule="auto"/>
              <w:ind w:right="103"/>
              <w:jc w:val="both"/>
            </w:pPr>
            <w:r w:rsidRPr="00942F1C">
              <w:t xml:space="preserve">Sign up to </w:t>
            </w:r>
            <w:hyperlink r:id="rId19" w:history="1">
              <w:r w:rsidR="00510571">
                <w:rPr>
                  <w:rStyle w:val="Hyperlink"/>
                  <w:b/>
                  <w:bCs/>
                  <w:color w:val="FF6D3A"/>
                </w:rPr>
                <w:t>Community Pharmacy England’</w:t>
              </w:r>
              <w:r w:rsidRPr="00942F1C">
                <w:rPr>
                  <w:rStyle w:val="Hyperlink"/>
                  <w:b/>
                  <w:bCs/>
                  <w:color w:val="FF6D3A"/>
                </w:rPr>
                <w:t>s email newsletters</w:t>
              </w:r>
            </w:hyperlink>
            <w:r w:rsidRPr="00942F1C">
              <w:rPr>
                <w:color w:val="519680"/>
              </w:rPr>
              <w:t xml:space="preserve"> </w:t>
            </w:r>
            <w:r w:rsidRPr="00942F1C">
              <w:t>to ensure you don’t miss out on further information on the service as it becomes available.</w:t>
            </w:r>
          </w:p>
        </w:tc>
        <w:tc>
          <w:tcPr>
            <w:tcW w:w="687" w:type="pct"/>
          </w:tcPr>
          <w:p w14:paraId="18253D7D" w14:textId="77777777" w:rsidR="00942F1C" w:rsidRPr="00942F1C" w:rsidRDefault="00942F1C" w:rsidP="00B97C23">
            <w:pPr>
              <w:spacing w:before="60" w:after="100" w:line="240" w:lineRule="auto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</w:tbl>
    <w:p w14:paraId="1910B029" w14:textId="77777777" w:rsidR="002D3F9F" w:rsidRDefault="002D3F9F" w:rsidP="00AB002E">
      <w:pPr>
        <w:ind w:left="-709" w:right="-612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7931"/>
        <w:gridCol w:w="1453"/>
      </w:tblGrid>
      <w:tr w:rsidR="00942F1C" w:rsidRPr="00942F1C" w14:paraId="6E78B4CC" w14:textId="77777777" w:rsidTr="00510571">
        <w:tc>
          <w:tcPr>
            <w:tcW w:w="4263" w:type="pct"/>
            <w:gridSpan w:val="2"/>
            <w:shd w:val="clear" w:color="auto" w:fill="106B62"/>
          </w:tcPr>
          <w:p w14:paraId="43F72B1E" w14:textId="73597854" w:rsidR="00942F1C" w:rsidRPr="00942F1C" w:rsidRDefault="002D3F9F" w:rsidP="00053BD5">
            <w:pPr>
              <w:spacing w:before="120"/>
              <w:ind w:right="-612"/>
              <w:rPr>
                <w:b/>
                <w:color w:val="FFFFFF" w:themeColor="background2"/>
              </w:rPr>
            </w:pPr>
            <w:r>
              <w:rPr>
                <w:b/>
              </w:rPr>
              <w:br w:type="page"/>
            </w:r>
            <w:r w:rsidR="00942F1C" w:rsidRPr="00942F1C">
              <w:rPr>
                <w:b/>
                <w:color w:val="FFFFFF" w:themeColor="background2"/>
              </w:rPr>
              <w:t>Daily checks when providing the service</w:t>
            </w:r>
          </w:p>
        </w:tc>
        <w:tc>
          <w:tcPr>
            <w:tcW w:w="737" w:type="pct"/>
            <w:shd w:val="clear" w:color="auto" w:fill="106B62"/>
          </w:tcPr>
          <w:p w14:paraId="7C3DEB4C" w14:textId="77777777" w:rsidR="00942F1C" w:rsidRPr="00942F1C" w:rsidRDefault="00942F1C" w:rsidP="00053BD5">
            <w:pPr>
              <w:spacing w:before="120"/>
              <w:ind w:right="34"/>
              <w:rPr>
                <w:b/>
                <w:color w:val="FFFFFF" w:themeColor="background2"/>
              </w:rPr>
            </w:pPr>
            <w:r w:rsidRPr="00942F1C">
              <w:rPr>
                <w:b/>
                <w:color w:val="FFFFFF" w:themeColor="background2"/>
              </w:rPr>
              <w:t>Completed</w:t>
            </w:r>
          </w:p>
        </w:tc>
      </w:tr>
      <w:tr w:rsidR="00942F1C" w:rsidRPr="00942F1C" w14:paraId="40162266" w14:textId="77777777" w:rsidTr="00510571">
        <w:tc>
          <w:tcPr>
            <w:tcW w:w="239" w:type="pct"/>
            <w:shd w:val="clear" w:color="auto" w:fill="auto"/>
          </w:tcPr>
          <w:p w14:paraId="27BCEF6C" w14:textId="77777777" w:rsidR="00942F1C" w:rsidRPr="00510571" w:rsidRDefault="00942F1C" w:rsidP="00AB002E">
            <w:pPr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1.</w:t>
            </w:r>
          </w:p>
        </w:tc>
        <w:tc>
          <w:tcPr>
            <w:tcW w:w="4024" w:type="pct"/>
          </w:tcPr>
          <w:p w14:paraId="1639B8B6" w14:textId="77777777" w:rsidR="00942F1C" w:rsidRPr="00942F1C" w:rsidRDefault="00942F1C" w:rsidP="00B97C23">
            <w:pPr>
              <w:spacing w:line="240" w:lineRule="auto"/>
            </w:pPr>
            <w:r w:rsidRPr="00942F1C">
              <w:t>Ensure your consultation room or other area being used for vaccination is clean and tidy and clear of clutter and there are no trip hazards.</w:t>
            </w:r>
          </w:p>
        </w:tc>
        <w:tc>
          <w:tcPr>
            <w:tcW w:w="737" w:type="pct"/>
          </w:tcPr>
          <w:p w14:paraId="3F6FD39E" w14:textId="77777777" w:rsidR="00942F1C" w:rsidRPr="00942F1C" w:rsidRDefault="00942F1C" w:rsidP="00B97C23">
            <w:pPr>
              <w:spacing w:before="120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65E5AD32" w14:textId="77777777" w:rsidTr="00510571">
        <w:tc>
          <w:tcPr>
            <w:tcW w:w="239" w:type="pct"/>
            <w:shd w:val="clear" w:color="auto" w:fill="auto"/>
          </w:tcPr>
          <w:p w14:paraId="2C328044" w14:textId="77777777" w:rsidR="00942F1C" w:rsidRPr="00510571" w:rsidRDefault="00942F1C" w:rsidP="00AB002E">
            <w:pPr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2.</w:t>
            </w:r>
          </w:p>
        </w:tc>
        <w:tc>
          <w:tcPr>
            <w:tcW w:w="4024" w:type="pct"/>
          </w:tcPr>
          <w:p w14:paraId="286F890C" w14:textId="77777777" w:rsidR="00942F1C" w:rsidRPr="00942F1C" w:rsidRDefault="00942F1C" w:rsidP="00B97C23">
            <w:pPr>
              <w:spacing w:line="240" w:lineRule="auto"/>
            </w:pPr>
            <w:r w:rsidRPr="00942F1C">
              <w:t>Check you have enough equipment/supplies needed for provision of the service.</w:t>
            </w:r>
          </w:p>
        </w:tc>
        <w:tc>
          <w:tcPr>
            <w:tcW w:w="737" w:type="pct"/>
          </w:tcPr>
          <w:p w14:paraId="59E94AC1" w14:textId="77777777" w:rsidR="00942F1C" w:rsidRPr="00942F1C" w:rsidRDefault="00942F1C" w:rsidP="00B97C23">
            <w:pPr>
              <w:spacing w:before="120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421DED59" w14:textId="77777777" w:rsidTr="00B97C23">
        <w:trPr>
          <w:trHeight w:val="486"/>
        </w:trPr>
        <w:tc>
          <w:tcPr>
            <w:tcW w:w="239" w:type="pct"/>
            <w:shd w:val="clear" w:color="auto" w:fill="auto"/>
          </w:tcPr>
          <w:p w14:paraId="37324443" w14:textId="77777777" w:rsidR="00942F1C" w:rsidRPr="00510571" w:rsidRDefault="00942F1C" w:rsidP="00AB002E">
            <w:pPr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3.</w:t>
            </w:r>
          </w:p>
        </w:tc>
        <w:tc>
          <w:tcPr>
            <w:tcW w:w="4024" w:type="pct"/>
          </w:tcPr>
          <w:p w14:paraId="03DA1190" w14:textId="5FF61641" w:rsidR="00942F1C" w:rsidRPr="00942F1C" w:rsidRDefault="00942F1C" w:rsidP="00ED398A">
            <w:pPr>
              <w:pStyle w:val="ListParagraph"/>
              <w:numPr>
                <w:ilvl w:val="0"/>
                <w:numId w:val="36"/>
              </w:numPr>
              <w:spacing w:after="170" w:line="336" w:lineRule="auto"/>
              <w:ind w:right="34"/>
              <w:rPr>
                <w:rFonts w:ascii="DM Sans" w:hAnsi="DM Sans"/>
              </w:rPr>
            </w:pPr>
            <w:r w:rsidRPr="00942F1C">
              <w:rPr>
                <w:rFonts w:ascii="DM Sans" w:hAnsi="DM Sans"/>
              </w:rPr>
              <w:t>Check the fridge temperature.</w:t>
            </w:r>
          </w:p>
        </w:tc>
        <w:tc>
          <w:tcPr>
            <w:tcW w:w="737" w:type="pct"/>
          </w:tcPr>
          <w:p w14:paraId="5FE07CBB" w14:textId="77777777" w:rsidR="00942F1C" w:rsidRPr="00942F1C" w:rsidRDefault="00942F1C" w:rsidP="00B97C23">
            <w:pPr>
              <w:spacing w:before="120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1B902019" w14:textId="77777777" w:rsidTr="00510571">
        <w:tc>
          <w:tcPr>
            <w:tcW w:w="239" w:type="pct"/>
            <w:shd w:val="clear" w:color="auto" w:fill="auto"/>
          </w:tcPr>
          <w:p w14:paraId="112739E4" w14:textId="77777777" w:rsidR="00942F1C" w:rsidRPr="00510571" w:rsidRDefault="00942F1C" w:rsidP="00AB002E">
            <w:pPr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4.</w:t>
            </w:r>
          </w:p>
        </w:tc>
        <w:tc>
          <w:tcPr>
            <w:tcW w:w="4024" w:type="pct"/>
          </w:tcPr>
          <w:p w14:paraId="28E4890A" w14:textId="77777777" w:rsidR="00942F1C" w:rsidRPr="00942F1C" w:rsidRDefault="00942F1C" w:rsidP="00053BD5">
            <w:r w:rsidRPr="00942F1C">
              <w:t>Ensure you have supplies of the relevant service paperwork.</w:t>
            </w:r>
          </w:p>
        </w:tc>
        <w:tc>
          <w:tcPr>
            <w:tcW w:w="737" w:type="pct"/>
          </w:tcPr>
          <w:p w14:paraId="626A1AB9" w14:textId="77777777" w:rsidR="00942F1C" w:rsidRPr="00942F1C" w:rsidRDefault="00942F1C" w:rsidP="00B97C23">
            <w:pPr>
              <w:spacing w:before="120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942F1C" w:rsidRPr="00942F1C" w14:paraId="33400CB5" w14:textId="77777777" w:rsidTr="00510571">
        <w:tc>
          <w:tcPr>
            <w:tcW w:w="239" w:type="pct"/>
            <w:shd w:val="clear" w:color="auto" w:fill="auto"/>
          </w:tcPr>
          <w:p w14:paraId="032C2059" w14:textId="77777777" w:rsidR="00942F1C" w:rsidRPr="00510571" w:rsidRDefault="00942F1C" w:rsidP="00AB002E">
            <w:pPr>
              <w:ind w:right="-392"/>
              <w:rPr>
                <w:b/>
                <w:color w:val="FF6D3A"/>
              </w:rPr>
            </w:pPr>
            <w:r w:rsidRPr="00510571">
              <w:rPr>
                <w:b/>
                <w:color w:val="FF6D3A"/>
              </w:rPr>
              <w:t>5.</w:t>
            </w:r>
          </w:p>
        </w:tc>
        <w:tc>
          <w:tcPr>
            <w:tcW w:w="4024" w:type="pct"/>
          </w:tcPr>
          <w:p w14:paraId="4EE1B1D3" w14:textId="77777777" w:rsidR="00942F1C" w:rsidRPr="00942F1C" w:rsidRDefault="00942F1C" w:rsidP="00053BD5">
            <w:r w:rsidRPr="00942F1C">
              <w:t>Check your stock of vaccine is enough for likely demand.</w:t>
            </w:r>
          </w:p>
        </w:tc>
        <w:tc>
          <w:tcPr>
            <w:tcW w:w="737" w:type="pct"/>
          </w:tcPr>
          <w:p w14:paraId="436FCE09" w14:textId="77777777" w:rsidR="00942F1C" w:rsidRPr="00942F1C" w:rsidRDefault="00942F1C" w:rsidP="00B97C23">
            <w:pPr>
              <w:spacing w:before="120"/>
              <w:ind w:right="-45"/>
              <w:jc w:val="center"/>
              <w:rPr>
                <w:b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 w:rsidR="00000000">
              <w:rPr>
                <w:b/>
                <w:color w:val="519680"/>
              </w:rPr>
            </w:r>
            <w:r w:rsidR="00000000"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07148A" w:rsidRPr="00942F1C" w14:paraId="2F8C5A64" w14:textId="77777777" w:rsidTr="00510571">
        <w:tc>
          <w:tcPr>
            <w:tcW w:w="239" w:type="pct"/>
            <w:shd w:val="clear" w:color="auto" w:fill="auto"/>
          </w:tcPr>
          <w:p w14:paraId="050D9B22" w14:textId="2F129907" w:rsidR="0007148A" w:rsidRPr="00510571" w:rsidRDefault="0007148A" w:rsidP="00AB002E">
            <w:pPr>
              <w:ind w:right="-392"/>
              <w:rPr>
                <w:b/>
                <w:color w:val="FF6D3A"/>
              </w:rPr>
            </w:pPr>
            <w:r>
              <w:rPr>
                <w:b/>
                <w:color w:val="FF6D3A"/>
              </w:rPr>
              <w:t>6.</w:t>
            </w:r>
          </w:p>
        </w:tc>
        <w:tc>
          <w:tcPr>
            <w:tcW w:w="4024" w:type="pct"/>
          </w:tcPr>
          <w:p w14:paraId="760523BE" w14:textId="4515337C" w:rsidR="0007148A" w:rsidRPr="00942F1C" w:rsidRDefault="0007148A" w:rsidP="00053BD5">
            <w:r>
              <w:t>Review appointment diary (if used)</w:t>
            </w:r>
          </w:p>
        </w:tc>
        <w:tc>
          <w:tcPr>
            <w:tcW w:w="737" w:type="pct"/>
          </w:tcPr>
          <w:p w14:paraId="3E39194C" w14:textId="1812ED19" w:rsidR="0007148A" w:rsidRPr="00942F1C" w:rsidRDefault="00B97C23" w:rsidP="00B97C23">
            <w:pPr>
              <w:spacing w:before="120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>
              <w:rPr>
                <w:b/>
                <w:color w:val="519680"/>
              </w:rPr>
            </w:r>
            <w:r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  <w:tr w:rsidR="008B0F5E" w:rsidRPr="00942F1C" w14:paraId="3D3D639E" w14:textId="77777777" w:rsidTr="00510571">
        <w:tc>
          <w:tcPr>
            <w:tcW w:w="239" w:type="pct"/>
            <w:shd w:val="clear" w:color="auto" w:fill="auto"/>
          </w:tcPr>
          <w:p w14:paraId="7CFC0881" w14:textId="5BF4F2E0" w:rsidR="008B0F5E" w:rsidRDefault="00B97C23" w:rsidP="00AB002E">
            <w:pPr>
              <w:ind w:right="-392"/>
              <w:rPr>
                <w:b/>
                <w:color w:val="FF6D3A"/>
              </w:rPr>
            </w:pPr>
            <w:r>
              <w:rPr>
                <w:b/>
                <w:color w:val="FF6D3A"/>
              </w:rPr>
              <w:t>7.</w:t>
            </w:r>
          </w:p>
        </w:tc>
        <w:tc>
          <w:tcPr>
            <w:tcW w:w="4024" w:type="pct"/>
          </w:tcPr>
          <w:p w14:paraId="6BDF2E74" w14:textId="02F288EC" w:rsidR="008B0F5E" w:rsidRDefault="00B97C23" w:rsidP="00053BD5">
            <w:r>
              <w:t xml:space="preserve">Check availability of </w:t>
            </w:r>
            <w:r w:rsidRPr="00B97C23">
              <w:t>an anaphylaxis pack</w:t>
            </w:r>
          </w:p>
        </w:tc>
        <w:tc>
          <w:tcPr>
            <w:tcW w:w="737" w:type="pct"/>
          </w:tcPr>
          <w:p w14:paraId="6C060010" w14:textId="291EA855" w:rsidR="008B0F5E" w:rsidRPr="00942F1C" w:rsidRDefault="00B97C23" w:rsidP="00B97C23">
            <w:pPr>
              <w:spacing w:before="120"/>
              <w:ind w:right="-45"/>
              <w:jc w:val="center"/>
              <w:rPr>
                <w:b/>
                <w:color w:val="519680"/>
              </w:rPr>
            </w:pPr>
            <w:r w:rsidRPr="00942F1C">
              <w:rPr>
                <w:b/>
                <w:color w:val="5196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F1C">
              <w:rPr>
                <w:b/>
                <w:color w:val="519680"/>
              </w:rPr>
              <w:instrText xml:space="preserve"> FORMCHECKBOX </w:instrText>
            </w:r>
            <w:r>
              <w:rPr>
                <w:b/>
                <w:color w:val="519680"/>
              </w:rPr>
            </w:r>
            <w:r>
              <w:rPr>
                <w:b/>
                <w:color w:val="519680"/>
              </w:rPr>
              <w:fldChar w:fldCharType="separate"/>
            </w:r>
            <w:r w:rsidRPr="00942F1C">
              <w:rPr>
                <w:b/>
                <w:color w:val="519680"/>
              </w:rPr>
              <w:fldChar w:fldCharType="end"/>
            </w:r>
          </w:p>
        </w:tc>
      </w:tr>
    </w:tbl>
    <w:p w14:paraId="3B3442A3" w14:textId="77777777" w:rsidR="00510571" w:rsidRDefault="00510571" w:rsidP="00AB002E">
      <w:pPr>
        <w:rPr>
          <w:rFonts w:eastAsia="Times New Roman"/>
          <w:b/>
          <w:bCs/>
          <w:color w:val="519680"/>
          <w:sz w:val="28"/>
          <w:szCs w:val="28"/>
          <w:lang w:eastAsia="en-GB"/>
        </w:rPr>
      </w:pPr>
    </w:p>
    <w:p w14:paraId="5EED3A9C" w14:textId="77777777" w:rsidR="00553A2C" w:rsidRPr="00553A2C" w:rsidRDefault="00553A2C" w:rsidP="002D3F9F">
      <w:pPr>
        <w:pStyle w:val="CPE-Heading1"/>
      </w:pPr>
    </w:p>
    <w:sectPr w:rsidR="00553A2C" w:rsidRPr="00553A2C" w:rsidSect="00942F1C">
      <w:headerReference w:type="default" r:id="rId20"/>
      <w:footerReference w:type="default" r:id="rId21"/>
      <w:headerReference w:type="first" r:id="rId22"/>
      <w:type w:val="continuous"/>
      <w:pgSz w:w="11906" w:h="16838"/>
      <w:pgMar w:top="2268" w:right="1304" w:bottom="1701" w:left="737" w:header="709" w:footer="79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0C66" w14:textId="77777777" w:rsidR="003B415A" w:rsidRDefault="003B415A" w:rsidP="00630E66">
      <w:r>
        <w:separator/>
      </w:r>
    </w:p>
  </w:endnote>
  <w:endnote w:type="continuationSeparator" w:id="0">
    <w:p w14:paraId="4936D612" w14:textId="77777777" w:rsidR="003B415A" w:rsidRDefault="003B415A" w:rsidP="00630E66">
      <w:r>
        <w:continuationSeparator/>
      </w:r>
    </w:p>
  </w:endnote>
  <w:endnote w:type="continuationNotice" w:id="1">
    <w:p w14:paraId="61449505" w14:textId="77777777" w:rsidR="003B415A" w:rsidRDefault="003B4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D64AF" w14:textId="77777777" w:rsidR="00144C83" w:rsidRDefault="0053389F" w:rsidP="00E338D7">
    <w:pPr>
      <w:pStyle w:val="Footer"/>
      <w:spacing w:before="600"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5AA2C8" wp14:editId="4523842F">
          <wp:simplePos x="0" y="0"/>
          <wp:positionH relativeFrom="column">
            <wp:posOffset>5203092</wp:posOffset>
          </wp:positionH>
          <wp:positionV relativeFrom="page">
            <wp:posOffset>9918065</wp:posOffset>
          </wp:positionV>
          <wp:extent cx="280670" cy="291465"/>
          <wp:effectExtent l="0" t="0" r="5080" b="0"/>
          <wp:wrapNone/>
          <wp:docPr id="1727957107" name="Picture 1727957107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92DB62" wp14:editId="62F73669">
              <wp:simplePos x="0" y="0"/>
              <wp:positionH relativeFrom="column">
                <wp:posOffset>5463052</wp:posOffset>
              </wp:positionH>
              <wp:positionV relativeFrom="paragraph">
                <wp:posOffset>-19685</wp:posOffset>
              </wp:positionV>
              <wp:extent cx="1828800" cy="1828800"/>
              <wp:effectExtent l="0" t="0" r="0" b="3175"/>
              <wp:wrapSquare wrapText="bothSides"/>
              <wp:docPr id="284877836" name="Text Box 2848778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47F390" w14:textId="77777777" w:rsidR="0053389F" w:rsidRPr="00CB0002" w:rsidRDefault="0053389F">
                          <w:pPr>
                            <w:pStyle w:val="Header"/>
                            <w:spacing w:before="600"/>
                            <w:rPr>
                              <w:b/>
                              <w:bCs/>
                              <w:noProof/>
                              <w:color w:val="106B62" w:themeColor="text1"/>
                            </w:rPr>
                          </w:pPr>
                          <w:r w:rsidRPr="00CB0002">
                            <w:rPr>
                              <w:b/>
                              <w:bCs/>
                              <w:color w:val="106B62" w:themeColor="text1"/>
                            </w:rPr>
                            <w:t>cpe.org.uk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2DB62" id="_x0000_t202" coordsize="21600,21600" o:spt="202" path="m,l,21600r21600,l21600,xe">
              <v:stroke joinstyle="miter"/>
              <v:path gradientshapeok="t" o:connecttype="rect"/>
            </v:shapetype>
            <v:shape id="Text Box 284877836" o:spid="_x0000_s1026" type="#_x0000_t202" style="position:absolute;margin-left:430.15pt;margin-top:-1.5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A/w2Ex4AAAAAsBAAAPAAAAAAAAAAAAAAAAAGsEAABkcnMvZG93bnJldi54bWxQSwUGAAAAAAQA&#10;BADzAAAAeAUAAAAA&#10;" filled="f" stroked="f" strokeweight=".5pt">
              <v:textbox style="mso-fit-shape-to-text:t">
                <w:txbxContent>
                  <w:p w14:paraId="6647F390" w14:textId="77777777" w:rsidR="0053389F" w:rsidRPr="00CB0002" w:rsidRDefault="0053389F">
                    <w:pPr>
                      <w:pStyle w:val="Header"/>
                      <w:spacing w:before="600"/>
                      <w:rPr>
                        <w:b/>
                        <w:bCs/>
                        <w:noProof/>
                        <w:color w:val="106B62" w:themeColor="text1"/>
                      </w:rPr>
                    </w:pPr>
                    <w:r w:rsidRPr="00CB0002">
                      <w:rPr>
                        <w:b/>
                        <w:bCs/>
                        <w:color w:val="106B62" w:themeColor="text1"/>
                      </w:rPr>
                      <w:t>cpe.org.uk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F4511" wp14:editId="36397E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3175"/>
              <wp:wrapSquare wrapText="bothSides"/>
              <wp:docPr id="2046567061" name="Text Box 2046567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2FF12" w14:textId="77777777" w:rsidR="0053389F" w:rsidRPr="00CB0002" w:rsidRDefault="0053389F">
                          <w:pPr>
                            <w:pStyle w:val="Footer"/>
                            <w:spacing w:before="600"/>
                            <w:rPr>
                              <w:noProof/>
                              <w:color w:val="106B62" w:themeColor="text1"/>
                            </w:rPr>
                          </w:pPr>
                          <w:r w:rsidRPr="00CB0002">
                            <w:rPr>
                              <w:color w:val="106B62" w:themeColor="text1"/>
                            </w:rPr>
                            <w:t>Community Pharmacy England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F4511" id="Text Box 204656706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" filled="f" stroked="f" strokeweight=".5pt">
              <v:textbox style="mso-fit-shape-to-text:t">
                <w:txbxContent>
                  <w:p w14:paraId="4DD2FF12" w14:textId="77777777" w:rsidR="0053389F" w:rsidRPr="00CB0002" w:rsidRDefault="0053389F">
                    <w:pPr>
                      <w:pStyle w:val="Footer"/>
                      <w:spacing w:before="600"/>
                      <w:rPr>
                        <w:noProof/>
                        <w:color w:val="106B62" w:themeColor="text1"/>
                      </w:rPr>
                    </w:pPr>
                    <w:r w:rsidRPr="00CB0002">
                      <w:rPr>
                        <w:color w:val="106B62" w:themeColor="text1"/>
                      </w:rPr>
                      <w:t>Community Pharmacy England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B240" w14:textId="77777777" w:rsidR="003B415A" w:rsidRDefault="003B415A" w:rsidP="00630E66">
      <w:r>
        <w:separator/>
      </w:r>
    </w:p>
  </w:footnote>
  <w:footnote w:type="continuationSeparator" w:id="0">
    <w:p w14:paraId="3C8F46ED" w14:textId="77777777" w:rsidR="003B415A" w:rsidRDefault="003B415A" w:rsidP="00630E66">
      <w:r>
        <w:continuationSeparator/>
      </w:r>
    </w:p>
  </w:footnote>
  <w:footnote w:type="continuationNotice" w:id="1">
    <w:p w14:paraId="38CA9032" w14:textId="77777777" w:rsidR="003B415A" w:rsidRDefault="003B4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66CB8" w14:textId="77777777" w:rsidR="00721E34" w:rsidRDefault="00CE62CA" w:rsidP="00CE62CA">
    <w:pPr>
      <w:pStyle w:val="Header"/>
      <w:tabs>
        <w:tab w:val="clear" w:pos="4513"/>
        <w:tab w:val="clear" w:pos="9026"/>
        <w:tab w:val="left" w:pos="6030"/>
      </w:tabs>
    </w:pPr>
    <w:r>
      <w:rPr>
        <w:noProof/>
      </w:rPr>
      <w:drawing>
        <wp:anchor distT="0" distB="0" distL="114300" distR="114300" simplePos="0" relativeHeight="251658243" behindDoc="1" locked="0" layoutInCell="1" allowOverlap="1" wp14:anchorId="1B3196C4" wp14:editId="58719B2B">
          <wp:simplePos x="0" y="0"/>
          <wp:positionH relativeFrom="page">
            <wp:posOffset>38735</wp:posOffset>
          </wp:positionH>
          <wp:positionV relativeFrom="page">
            <wp:posOffset>125730</wp:posOffset>
          </wp:positionV>
          <wp:extent cx="7538400" cy="1216279"/>
          <wp:effectExtent l="0" t="0" r="0" b="3175"/>
          <wp:wrapNone/>
          <wp:docPr id="1322304559" name="Picture 1322304559" descr="A picture containing font, screenshot, colorfulness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screenshot, colorfulness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1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A75C9F5" w14:textId="77777777" w:rsidR="00721E34" w:rsidRDefault="00721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85E8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56BFB8CE" wp14:editId="14218DC1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44CFE"/>
    <w:multiLevelType w:val="hybridMultilevel"/>
    <w:tmpl w:val="2DA68E7E"/>
    <w:lvl w:ilvl="0" w:tplc="4E02085E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01443213"/>
    <w:multiLevelType w:val="hybridMultilevel"/>
    <w:tmpl w:val="7628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EF3"/>
    <w:multiLevelType w:val="hybridMultilevel"/>
    <w:tmpl w:val="830266D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2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3" w:tplc="BFFA8A8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E1C"/>
    <w:multiLevelType w:val="hybridMultilevel"/>
    <w:tmpl w:val="31C0F810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97B1D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0A1"/>
    <w:multiLevelType w:val="hybridMultilevel"/>
    <w:tmpl w:val="78EEDD9E"/>
    <w:lvl w:ilvl="0" w:tplc="23E4642C">
      <w:start w:val="1"/>
      <w:numFmt w:val="decimal"/>
      <w:lvlText w:val="%1)"/>
      <w:lvlJc w:val="left"/>
      <w:pPr>
        <w:ind w:left="644" w:hanging="360"/>
      </w:pPr>
      <w:rPr>
        <w:rFonts w:hint="default"/>
        <w:color w:val="519680"/>
      </w:rPr>
    </w:lvl>
    <w:lvl w:ilvl="1" w:tplc="AEFA360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87E6ED00">
      <w:numFmt w:val="bullet"/>
      <w:lvlText w:val="•"/>
      <w:lvlJc w:val="left"/>
      <w:pPr>
        <w:ind w:left="2264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1D5F14"/>
    <w:multiLevelType w:val="hybridMultilevel"/>
    <w:tmpl w:val="379821CE"/>
    <w:lvl w:ilvl="0" w:tplc="9AA433CE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D3A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70B57"/>
    <w:multiLevelType w:val="multilevel"/>
    <w:tmpl w:val="50A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196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CA1"/>
    <w:multiLevelType w:val="hybridMultilevel"/>
    <w:tmpl w:val="9230A9DE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D0ADE"/>
    <w:multiLevelType w:val="hybridMultilevel"/>
    <w:tmpl w:val="0D90B3BE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2DBF"/>
    <w:multiLevelType w:val="hybridMultilevel"/>
    <w:tmpl w:val="4CFA7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70943"/>
    <w:multiLevelType w:val="hybridMultilevel"/>
    <w:tmpl w:val="BFD6E6A2"/>
    <w:lvl w:ilvl="0" w:tplc="70A86BF4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51968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3A82283"/>
    <w:multiLevelType w:val="multilevel"/>
    <w:tmpl w:val="72C42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D3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EB0304"/>
    <w:multiLevelType w:val="hybridMultilevel"/>
    <w:tmpl w:val="B388185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66680"/>
    <w:multiLevelType w:val="hybridMultilevel"/>
    <w:tmpl w:val="871A9B10"/>
    <w:lvl w:ilvl="0" w:tplc="2BE69BCE">
      <w:start w:val="1"/>
      <w:numFmt w:val="lowerLetter"/>
      <w:lvlText w:val="%1."/>
      <w:lvlJc w:val="left"/>
      <w:pPr>
        <w:ind w:left="1080" w:hanging="360"/>
      </w:pPr>
      <w:rPr>
        <w:color w:val="5196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1D7DCD"/>
    <w:multiLevelType w:val="hybridMultilevel"/>
    <w:tmpl w:val="E7BC9682"/>
    <w:lvl w:ilvl="0" w:tplc="013CAC0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51968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3A580B2A"/>
    <w:multiLevelType w:val="hybridMultilevel"/>
    <w:tmpl w:val="EB36FEF2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26C6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491"/>
    <w:multiLevelType w:val="multilevel"/>
    <w:tmpl w:val="AF1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96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4E7885"/>
    <w:multiLevelType w:val="hybridMultilevel"/>
    <w:tmpl w:val="081A34B0"/>
    <w:lvl w:ilvl="0" w:tplc="4E02085E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88A123B"/>
    <w:multiLevelType w:val="hybridMultilevel"/>
    <w:tmpl w:val="08B427DE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3F7F"/>
    <w:multiLevelType w:val="hybridMultilevel"/>
    <w:tmpl w:val="55E4A12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519680"/>
      </w:r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52444434"/>
    <w:multiLevelType w:val="hybridMultilevel"/>
    <w:tmpl w:val="3086D94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54598"/>
    <w:multiLevelType w:val="hybridMultilevel"/>
    <w:tmpl w:val="9A08BD08"/>
    <w:lvl w:ilvl="0" w:tplc="5E16FB90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94C61"/>
    <w:multiLevelType w:val="hybridMultilevel"/>
    <w:tmpl w:val="CB261FE8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06962"/>
    <w:multiLevelType w:val="hybridMultilevel"/>
    <w:tmpl w:val="92D0A5AA"/>
    <w:lvl w:ilvl="0" w:tplc="FFE0FF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196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7877E1"/>
    <w:multiLevelType w:val="hybridMultilevel"/>
    <w:tmpl w:val="7D42B2B0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E5FE8"/>
    <w:multiLevelType w:val="hybridMultilevel"/>
    <w:tmpl w:val="2C5C346E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65E50"/>
    <w:multiLevelType w:val="hybridMultilevel"/>
    <w:tmpl w:val="EC16BEF6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5AAD"/>
    <w:multiLevelType w:val="hybridMultilevel"/>
    <w:tmpl w:val="AA5067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B3E443E"/>
    <w:multiLevelType w:val="multilevel"/>
    <w:tmpl w:val="3D6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96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8"/>
  </w:num>
  <w:num w:numId="4" w16cid:durableId="1777670013">
    <w:abstractNumId w:val="17"/>
  </w:num>
  <w:num w:numId="5" w16cid:durableId="1190334263">
    <w:abstractNumId w:val="19"/>
  </w:num>
  <w:num w:numId="6" w16cid:durableId="1083599926">
    <w:abstractNumId w:val="8"/>
    <w:lvlOverride w:ilvl="0">
      <w:startOverride w:val="1"/>
    </w:lvlOverride>
  </w:num>
  <w:num w:numId="7" w16cid:durableId="866479008">
    <w:abstractNumId w:val="8"/>
    <w:lvlOverride w:ilvl="0">
      <w:startOverride w:val="1"/>
    </w:lvlOverride>
  </w:num>
  <w:num w:numId="8" w16cid:durableId="1037123092">
    <w:abstractNumId w:val="34"/>
  </w:num>
  <w:num w:numId="9" w16cid:durableId="1300649037">
    <w:abstractNumId w:val="10"/>
  </w:num>
  <w:num w:numId="10" w16cid:durableId="1281911093">
    <w:abstractNumId w:val="6"/>
  </w:num>
  <w:num w:numId="11" w16cid:durableId="932863134">
    <w:abstractNumId w:val="22"/>
  </w:num>
  <w:num w:numId="12" w16cid:durableId="69819143">
    <w:abstractNumId w:val="15"/>
  </w:num>
  <w:num w:numId="13" w16cid:durableId="1437600826">
    <w:abstractNumId w:val="20"/>
  </w:num>
  <w:num w:numId="14" w16cid:durableId="997000704">
    <w:abstractNumId w:val="14"/>
  </w:num>
  <w:num w:numId="15" w16cid:durableId="1567688648">
    <w:abstractNumId w:val="36"/>
  </w:num>
  <w:num w:numId="16" w16cid:durableId="1700424868">
    <w:abstractNumId w:val="24"/>
  </w:num>
  <w:num w:numId="17" w16cid:durableId="1548955151">
    <w:abstractNumId w:val="21"/>
  </w:num>
  <w:num w:numId="18" w16cid:durableId="1617635130">
    <w:abstractNumId w:val="5"/>
  </w:num>
  <w:num w:numId="19" w16cid:durableId="1415929519">
    <w:abstractNumId w:val="12"/>
  </w:num>
  <w:num w:numId="20" w16cid:durableId="432364374">
    <w:abstractNumId w:val="25"/>
  </w:num>
  <w:num w:numId="21" w16cid:durableId="858857557">
    <w:abstractNumId w:val="11"/>
  </w:num>
  <w:num w:numId="22" w16cid:durableId="2112120270">
    <w:abstractNumId w:val="33"/>
  </w:num>
  <w:num w:numId="23" w16cid:durableId="65762968">
    <w:abstractNumId w:val="7"/>
  </w:num>
  <w:num w:numId="24" w16cid:durableId="164712103">
    <w:abstractNumId w:val="30"/>
  </w:num>
  <w:num w:numId="25" w16cid:durableId="1994022423">
    <w:abstractNumId w:val="28"/>
  </w:num>
  <w:num w:numId="26" w16cid:durableId="410583718">
    <w:abstractNumId w:val="4"/>
  </w:num>
  <w:num w:numId="27" w16cid:durableId="815948691">
    <w:abstractNumId w:val="35"/>
  </w:num>
  <w:num w:numId="28" w16cid:durableId="940917908">
    <w:abstractNumId w:val="3"/>
  </w:num>
  <w:num w:numId="29" w16cid:durableId="1602251421">
    <w:abstractNumId w:val="18"/>
  </w:num>
  <w:num w:numId="30" w16cid:durableId="1642078455">
    <w:abstractNumId w:val="23"/>
  </w:num>
  <w:num w:numId="31" w16cid:durableId="1192037946">
    <w:abstractNumId w:val="32"/>
  </w:num>
  <w:num w:numId="32" w16cid:durableId="1999309881">
    <w:abstractNumId w:val="13"/>
  </w:num>
  <w:num w:numId="33" w16cid:durableId="1450934047">
    <w:abstractNumId w:val="16"/>
  </w:num>
  <w:num w:numId="34" w16cid:durableId="1268850654">
    <w:abstractNumId w:val="9"/>
  </w:num>
  <w:num w:numId="35" w16cid:durableId="300427732">
    <w:abstractNumId w:val="29"/>
  </w:num>
  <w:num w:numId="36" w16cid:durableId="2069567201">
    <w:abstractNumId w:val="26"/>
  </w:num>
  <w:num w:numId="37" w16cid:durableId="2079161680">
    <w:abstractNumId w:val="31"/>
  </w:num>
  <w:num w:numId="38" w16cid:durableId="1192839298">
    <w:abstractNumId w:val="27"/>
  </w:num>
  <w:num w:numId="39" w16cid:durableId="2222991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62"/>
    <w:rsid w:val="00000AC1"/>
    <w:rsid w:val="000013D7"/>
    <w:rsid w:val="0001021A"/>
    <w:rsid w:val="00011577"/>
    <w:rsid w:val="00026738"/>
    <w:rsid w:val="00027309"/>
    <w:rsid w:val="0003128C"/>
    <w:rsid w:val="00043D85"/>
    <w:rsid w:val="00053BD5"/>
    <w:rsid w:val="0007148A"/>
    <w:rsid w:val="0009114A"/>
    <w:rsid w:val="000B524A"/>
    <w:rsid w:val="000D4ADA"/>
    <w:rsid w:val="000E198B"/>
    <w:rsid w:val="00104820"/>
    <w:rsid w:val="0011715D"/>
    <w:rsid w:val="00122FD2"/>
    <w:rsid w:val="001415B7"/>
    <w:rsid w:val="00142F9A"/>
    <w:rsid w:val="00144C83"/>
    <w:rsid w:val="00147A4B"/>
    <w:rsid w:val="00164EDB"/>
    <w:rsid w:val="001654AD"/>
    <w:rsid w:val="0016781F"/>
    <w:rsid w:val="00182333"/>
    <w:rsid w:val="00192818"/>
    <w:rsid w:val="001B79D6"/>
    <w:rsid w:val="001C465F"/>
    <w:rsid w:val="001D0E3A"/>
    <w:rsid w:val="001D1D32"/>
    <w:rsid w:val="00204B03"/>
    <w:rsid w:val="002154C2"/>
    <w:rsid w:val="00223C88"/>
    <w:rsid w:val="0023766A"/>
    <w:rsid w:val="0025021F"/>
    <w:rsid w:val="0027151A"/>
    <w:rsid w:val="002770B1"/>
    <w:rsid w:val="002812AB"/>
    <w:rsid w:val="0028295A"/>
    <w:rsid w:val="0029378A"/>
    <w:rsid w:val="002A18E2"/>
    <w:rsid w:val="002A6103"/>
    <w:rsid w:val="002C51E8"/>
    <w:rsid w:val="002C5BF0"/>
    <w:rsid w:val="002C69A2"/>
    <w:rsid w:val="002D3F9F"/>
    <w:rsid w:val="002E1ACD"/>
    <w:rsid w:val="002E254E"/>
    <w:rsid w:val="002E33F3"/>
    <w:rsid w:val="002F2152"/>
    <w:rsid w:val="002F6DD0"/>
    <w:rsid w:val="003025D1"/>
    <w:rsid w:val="0030587C"/>
    <w:rsid w:val="00311798"/>
    <w:rsid w:val="00325DE9"/>
    <w:rsid w:val="0032645E"/>
    <w:rsid w:val="003271D8"/>
    <w:rsid w:val="0034537F"/>
    <w:rsid w:val="00352C36"/>
    <w:rsid w:val="00381976"/>
    <w:rsid w:val="00393014"/>
    <w:rsid w:val="003B415A"/>
    <w:rsid w:val="003B4EC7"/>
    <w:rsid w:val="003C5AAF"/>
    <w:rsid w:val="003D4534"/>
    <w:rsid w:val="003E0FC9"/>
    <w:rsid w:val="003E27F7"/>
    <w:rsid w:val="003E5615"/>
    <w:rsid w:val="003F30DA"/>
    <w:rsid w:val="00416918"/>
    <w:rsid w:val="00423239"/>
    <w:rsid w:val="0044019D"/>
    <w:rsid w:val="004513C0"/>
    <w:rsid w:val="00454680"/>
    <w:rsid w:val="0047521E"/>
    <w:rsid w:val="00477448"/>
    <w:rsid w:val="00480219"/>
    <w:rsid w:val="004877E6"/>
    <w:rsid w:val="00493C2E"/>
    <w:rsid w:val="004A4A63"/>
    <w:rsid w:val="004B73D3"/>
    <w:rsid w:val="004D2D4C"/>
    <w:rsid w:val="004E20F8"/>
    <w:rsid w:val="004E771A"/>
    <w:rsid w:val="004F5972"/>
    <w:rsid w:val="00501B6C"/>
    <w:rsid w:val="00504F8D"/>
    <w:rsid w:val="00510571"/>
    <w:rsid w:val="00516D85"/>
    <w:rsid w:val="0053389F"/>
    <w:rsid w:val="00552DBF"/>
    <w:rsid w:val="00553A2C"/>
    <w:rsid w:val="005542B4"/>
    <w:rsid w:val="00594AD8"/>
    <w:rsid w:val="00595A24"/>
    <w:rsid w:val="00596E83"/>
    <w:rsid w:val="005A26E7"/>
    <w:rsid w:val="005A2CBB"/>
    <w:rsid w:val="005C0D14"/>
    <w:rsid w:val="005C3ED7"/>
    <w:rsid w:val="005D7C0C"/>
    <w:rsid w:val="005E038C"/>
    <w:rsid w:val="005F03FB"/>
    <w:rsid w:val="005F1BDB"/>
    <w:rsid w:val="005F24AC"/>
    <w:rsid w:val="00605E19"/>
    <w:rsid w:val="00621376"/>
    <w:rsid w:val="006215AD"/>
    <w:rsid w:val="00630E66"/>
    <w:rsid w:val="0063267E"/>
    <w:rsid w:val="00633078"/>
    <w:rsid w:val="0063713F"/>
    <w:rsid w:val="00637209"/>
    <w:rsid w:val="00662AB1"/>
    <w:rsid w:val="0068474C"/>
    <w:rsid w:val="00686DE7"/>
    <w:rsid w:val="00690C2B"/>
    <w:rsid w:val="00696B3F"/>
    <w:rsid w:val="00696DF1"/>
    <w:rsid w:val="0069747C"/>
    <w:rsid w:val="006D00BE"/>
    <w:rsid w:val="006E7F75"/>
    <w:rsid w:val="006F03A3"/>
    <w:rsid w:val="006F2A90"/>
    <w:rsid w:val="007147FF"/>
    <w:rsid w:val="00721E34"/>
    <w:rsid w:val="00737119"/>
    <w:rsid w:val="00766C75"/>
    <w:rsid w:val="0078051F"/>
    <w:rsid w:val="00787606"/>
    <w:rsid w:val="007903C2"/>
    <w:rsid w:val="007A750B"/>
    <w:rsid w:val="007B377A"/>
    <w:rsid w:val="007C15A6"/>
    <w:rsid w:val="007C2878"/>
    <w:rsid w:val="007D3D91"/>
    <w:rsid w:val="007D591A"/>
    <w:rsid w:val="007D72C4"/>
    <w:rsid w:val="007E15AE"/>
    <w:rsid w:val="007E2FEC"/>
    <w:rsid w:val="007F4CC6"/>
    <w:rsid w:val="00815147"/>
    <w:rsid w:val="008166D8"/>
    <w:rsid w:val="0082247C"/>
    <w:rsid w:val="00830892"/>
    <w:rsid w:val="008359FA"/>
    <w:rsid w:val="0085104A"/>
    <w:rsid w:val="0087040F"/>
    <w:rsid w:val="00870D43"/>
    <w:rsid w:val="0087477A"/>
    <w:rsid w:val="00874E63"/>
    <w:rsid w:val="008A74FD"/>
    <w:rsid w:val="008B0A37"/>
    <w:rsid w:val="008B0F5E"/>
    <w:rsid w:val="008C627A"/>
    <w:rsid w:val="008F4E48"/>
    <w:rsid w:val="0091607E"/>
    <w:rsid w:val="00941C5C"/>
    <w:rsid w:val="00942F1C"/>
    <w:rsid w:val="00947383"/>
    <w:rsid w:val="00964EA6"/>
    <w:rsid w:val="009778F0"/>
    <w:rsid w:val="00987557"/>
    <w:rsid w:val="00991CB5"/>
    <w:rsid w:val="009A564A"/>
    <w:rsid w:val="009C3A4B"/>
    <w:rsid w:val="009C7E6C"/>
    <w:rsid w:val="009E132C"/>
    <w:rsid w:val="009E349E"/>
    <w:rsid w:val="009E3DED"/>
    <w:rsid w:val="009E4FDC"/>
    <w:rsid w:val="009E5B04"/>
    <w:rsid w:val="00A06961"/>
    <w:rsid w:val="00A12466"/>
    <w:rsid w:val="00A170D5"/>
    <w:rsid w:val="00A317DF"/>
    <w:rsid w:val="00A32512"/>
    <w:rsid w:val="00A36F03"/>
    <w:rsid w:val="00A41CEC"/>
    <w:rsid w:val="00A42362"/>
    <w:rsid w:val="00A74D04"/>
    <w:rsid w:val="00A972E5"/>
    <w:rsid w:val="00AA4606"/>
    <w:rsid w:val="00AB002E"/>
    <w:rsid w:val="00AB6FAD"/>
    <w:rsid w:val="00AC3088"/>
    <w:rsid w:val="00AD6976"/>
    <w:rsid w:val="00AE5150"/>
    <w:rsid w:val="00AE7B67"/>
    <w:rsid w:val="00AF5F23"/>
    <w:rsid w:val="00B15A5B"/>
    <w:rsid w:val="00B40784"/>
    <w:rsid w:val="00B56827"/>
    <w:rsid w:val="00B800CB"/>
    <w:rsid w:val="00B9225D"/>
    <w:rsid w:val="00B93FAE"/>
    <w:rsid w:val="00B97C23"/>
    <w:rsid w:val="00BC149C"/>
    <w:rsid w:val="00BC7EF7"/>
    <w:rsid w:val="00BD2936"/>
    <w:rsid w:val="00BF2348"/>
    <w:rsid w:val="00C04985"/>
    <w:rsid w:val="00C1449E"/>
    <w:rsid w:val="00C15F97"/>
    <w:rsid w:val="00C3304E"/>
    <w:rsid w:val="00C43527"/>
    <w:rsid w:val="00C925FE"/>
    <w:rsid w:val="00C94300"/>
    <w:rsid w:val="00CA6117"/>
    <w:rsid w:val="00CB0002"/>
    <w:rsid w:val="00CB5B61"/>
    <w:rsid w:val="00CC1A24"/>
    <w:rsid w:val="00CE62CA"/>
    <w:rsid w:val="00D2408E"/>
    <w:rsid w:val="00D30850"/>
    <w:rsid w:val="00D30FBF"/>
    <w:rsid w:val="00D37431"/>
    <w:rsid w:val="00D55F17"/>
    <w:rsid w:val="00D62D15"/>
    <w:rsid w:val="00D67FAE"/>
    <w:rsid w:val="00D70C37"/>
    <w:rsid w:val="00D728CB"/>
    <w:rsid w:val="00D7783D"/>
    <w:rsid w:val="00D84CD9"/>
    <w:rsid w:val="00DA1AB5"/>
    <w:rsid w:val="00DA73A2"/>
    <w:rsid w:val="00DC6044"/>
    <w:rsid w:val="00DD7FDC"/>
    <w:rsid w:val="00DE6215"/>
    <w:rsid w:val="00E26D6B"/>
    <w:rsid w:val="00E304FD"/>
    <w:rsid w:val="00E338D7"/>
    <w:rsid w:val="00E55800"/>
    <w:rsid w:val="00E71B4A"/>
    <w:rsid w:val="00E745CF"/>
    <w:rsid w:val="00E9097D"/>
    <w:rsid w:val="00E91005"/>
    <w:rsid w:val="00E92493"/>
    <w:rsid w:val="00EB7679"/>
    <w:rsid w:val="00EC441A"/>
    <w:rsid w:val="00ED398A"/>
    <w:rsid w:val="00ED6EA3"/>
    <w:rsid w:val="00F50143"/>
    <w:rsid w:val="00F560D8"/>
    <w:rsid w:val="00F56455"/>
    <w:rsid w:val="00F57E85"/>
    <w:rsid w:val="00F74FB0"/>
    <w:rsid w:val="00F96491"/>
    <w:rsid w:val="00FA3F76"/>
    <w:rsid w:val="00FB007C"/>
    <w:rsid w:val="00FB7D76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F66CC"/>
  <w15:chartTrackingRefBased/>
  <w15:docId w15:val="{405513E6-32F7-4DD9-99EB-6918749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FD"/>
    <w:pPr>
      <w:spacing w:after="170" w:line="336" w:lineRule="auto"/>
    </w:pPr>
    <w:rPr>
      <w:rFonts w:ascii="DM Sans" w:eastAsia="Calibri" w:hAnsi="DM San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autoRedefine/>
    <w:uiPriority w:val="99"/>
    <w:rsid w:val="002D3F9F"/>
    <w:pPr>
      <w:keepNext w:val="0"/>
      <w:suppressAutoHyphens w:val="0"/>
      <w:autoSpaceDE/>
      <w:autoSpaceDN/>
      <w:adjustRightInd/>
      <w:spacing w:before="0"/>
      <w:textAlignment w:val="auto"/>
    </w:pPr>
    <w:rPr>
      <w:b w:val="0"/>
      <w:bCs w:val="0"/>
      <w:sz w:val="2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E20F8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1D0E3A"/>
    <w:rPr>
      <w:color w:val="FF6D3A" w:themeColor="hyperlink"/>
      <w:u w:val="single"/>
    </w:rPr>
  </w:style>
  <w:style w:type="paragraph" w:customStyle="1" w:styleId="CPE-SmallText">
    <w:name w:val="CPE - Small Text"/>
    <w:basedOn w:val="Normal"/>
    <w:qFormat/>
    <w:rsid w:val="001D0E3A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7606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DD7FDC"/>
    <w:pPr>
      <w:suppressAutoHyphens/>
      <w:autoSpaceDE w:val="0"/>
      <w:autoSpaceDN w:val="0"/>
      <w:adjustRightInd w:val="0"/>
      <w:spacing w:after="0" w:line="312" w:lineRule="auto"/>
      <w:textAlignment w:val="center"/>
    </w:pPr>
    <w:rPr>
      <w:rFonts w:eastAsiaTheme="minorHAnsi" w:cs="DM Sans"/>
      <w:sz w:val="20"/>
      <w:szCs w:val="20"/>
      <w14:ligatures w14:val="standardContextual"/>
    </w:rPr>
  </w:style>
  <w:style w:type="paragraph" w:styleId="ListParagraph">
    <w:name w:val="List Paragraph"/>
    <w:basedOn w:val="Normal"/>
    <w:uiPriority w:val="34"/>
    <w:qFormat/>
    <w:rsid w:val="00DD7FD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semiHidden/>
    <w:rsid w:val="00480219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BC7EF7"/>
  </w:style>
  <w:style w:type="paragraph" w:customStyle="1" w:styleId="Default">
    <w:name w:val="Default"/>
    <w:rsid w:val="00942F1C"/>
    <w:pPr>
      <w:autoSpaceDE w:val="0"/>
      <w:autoSpaceDN w:val="0"/>
      <w:adjustRightInd w:val="0"/>
    </w:pPr>
    <w:rPr>
      <w:rFonts w:ascii="Arial" w:eastAsia="HGSMinchoE" w:hAnsi="Arial" w:cs="Arial"/>
      <w:color w:val="000000"/>
      <w:lang w:eastAsia="en-GB"/>
    </w:rPr>
  </w:style>
  <w:style w:type="paragraph" w:styleId="Revision">
    <w:name w:val="Revision"/>
    <w:hidden/>
    <w:uiPriority w:val="99"/>
    <w:semiHidden/>
    <w:rsid w:val="00E9097D"/>
    <w:rPr>
      <w:rFonts w:ascii="DM Sans" w:eastAsia="Calibri" w:hAnsi="DM Sans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097D"/>
    <w:rPr>
      <w:color w:val="CB95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7D"/>
    <w:rPr>
      <w:rFonts w:ascii="DM Sans" w:eastAsia="Calibri" w:hAnsi="DM San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7D"/>
    <w:rPr>
      <w:rFonts w:ascii="DM Sans" w:eastAsia="Calibri" w:hAnsi="DM Sans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9E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E4FDC"/>
  </w:style>
  <w:style w:type="character" w:customStyle="1" w:styleId="eop">
    <w:name w:val="eop"/>
    <w:basedOn w:val="DefaultParagraphFont"/>
    <w:rsid w:val="009E4FDC"/>
  </w:style>
  <w:style w:type="character" w:customStyle="1" w:styleId="Heading1Char">
    <w:name w:val="Heading 1 Char"/>
    <w:basedOn w:val="DefaultParagraphFont"/>
    <w:link w:val="Heading1"/>
    <w:uiPriority w:val="9"/>
    <w:rsid w:val="00686DE7"/>
    <w:rPr>
      <w:rFonts w:asciiTheme="majorHAnsi" w:eastAsiaTheme="majorEastAsia" w:hAnsiTheme="majorHAnsi" w:cstheme="majorBidi"/>
      <w:color w:val="EA3C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ublication/community-pharmacy-seasonal-influenza-vaccine-service/" TargetMode="External"/><Relationship Id="rId18" Type="http://schemas.openxmlformats.org/officeDocument/2006/relationships/hyperlink" Target="https://cpe.org.uk/national-pharmacy-services/advanced-services/flu-vaccination-servic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pe.org.uk/national-pharmacy-services/advanced-services/flu-vaccination-service/" TargetMode="External"/><Relationship Id="rId17" Type="http://schemas.openxmlformats.org/officeDocument/2006/relationships/hyperlink" Target="https://www.gov.uk/government/publications/flu-immunisation-training-recommend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pe.ac.uk/services/declaration-of-competenc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e.org.uk/national-pharmacy-services/advanced-services/flu-vaccination-servic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national-protocol-for-inactivated-influenza-vaccin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pe.org.uk/our-work/updates-events/email-sign-u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ublication/community-pharmacy-seasonal-influenza-vaccine-service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xton\OneDrive%20-%20PSNC\Desktop\Briefing%200xx.23%20Guidance%20on%20the%202023-24%20Seasonal%20Influenza%20Vaccination%20Advanced%20Service.dotx" TargetMode="External"/></Relationships>
</file>

<file path=word/theme/theme1.xml><?xml version="1.0" encoding="utf-8"?>
<a:theme xmlns:a="http://schemas.openxmlformats.org/drawingml/2006/main" name="Office Theme">
  <a:themeElements>
    <a:clrScheme name="Community Pharmacy England">
      <a:dk1>
        <a:srgbClr val="106B62"/>
      </a:dk1>
      <a:lt1>
        <a:srgbClr val="48D1BA"/>
      </a:lt1>
      <a:dk2>
        <a:srgbClr val="0A474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0000"/>
      </a:accent4>
      <a:accent5>
        <a:srgbClr val="FFFFFF"/>
      </a:accent5>
      <a:accent6>
        <a:srgbClr val="106B62"/>
      </a:accent6>
      <a:hlink>
        <a:srgbClr val="FF6D3A"/>
      </a:hlink>
      <a:folHlink>
        <a:srgbClr val="CB95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d3551-5694-4f12-b35a-d9a7a462ea4b" xsi:nil="true"/>
    <SharedWithUsers xmlns="1c7d3551-5694-4f12-b35a-d9a7a462ea4b">
      <UserInfo>
        <DisplayName>Alastair Buxton</DisplayName>
        <AccountId>11</AccountId>
        <AccountType/>
      </UserInfo>
      <UserInfo>
        <DisplayName>David Onuoha</DisplayName>
        <AccountId>206</AccountId>
        <AccountType/>
      </UserInfo>
    </SharedWithUsers>
    <lcf76f155ced4ddcb4097134ff3c332f xmlns="e18753c5-2901-411e-a100-706a3d27800e">
      <Terms xmlns="http://schemas.microsoft.com/office/infopath/2007/PartnerControls"/>
    </lcf76f155ced4ddcb4097134ff3c332f>
    <MediaLengthInSeconds xmlns="e18753c5-2901-411e-a100-706a3d2780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4ea0703e9f96e7952bbf901575249dda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21158d971037e81ce5dae2add9782b3d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42AB1-C1D9-4A4C-AE16-273184923F72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e18753c5-2901-411e-a100-706a3d27800e"/>
  </ds:schemaRefs>
</ds:datastoreItem>
</file>

<file path=customXml/itemProps2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FA836-AB81-4484-9A9A-78427083F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F5EB7-8C98-4900-98EA-5D2507A64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0xx.23 Guidance on the 2023-24 Seasonal Influenza Vaccination Advanced Service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5810</CharactersWithSpaces>
  <SharedDoc>false</SharedDoc>
  <HLinks>
    <vt:vector size="396" baseType="variant">
      <vt:variant>
        <vt:i4>5701699</vt:i4>
      </vt:variant>
      <vt:variant>
        <vt:i4>231</vt:i4>
      </vt:variant>
      <vt:variant>
        <vt:i4>0</vt:i4>
      </vt:variant>
      <vt:variant>
        <vt:i4>5</vt:i4>
      </vt:variant>
      <vt:variant>
        <vt:lpwstr>https://psnc.org.uk/email</vt:lpwstr>
      </vt:variant>
      <vt:variant>
        <vt:lpwstr/>
      </vt:variant>
      <vt:variant>
        <vt:i4>7733283</vt:i4>
      </vt:variant>
      <vt:variant>
        <vt:i4>225</vt:i4>
      </vt:variant>
      <vt:variant>
        <vt:i4>0</vt:i4>
      </vt:variant>
      <vt:variant>
        <vt:i4>5</vt:i4>
      </vt:variant>
      <vt:variant>
        <vt:lpwstr>https://psnc.org.uk/national-pharmacy-services/advanced-services/flu-vaccination-service/flu-vaccination-providing-the-service-outside-consultation-rooms-off-site/</vt:lpwstr>
      </vt:variant>
      <vt:variant>
        <vt:lpwstr/>
      </vt:variant>
      <vt:variant>
        <vt:i4>196685</vt:i4>
      </vt:variant>
      <vt:variant>
        <vt:i4>207</vt:i4>
      </vt:variant>
      <vt:variant>
        <vt:i4>0</vt:i4>
      </vt:variant>
      <vt:variant>
        <vt:i4>5</vt:i4>
      </vt:variant>
      <vt:variant>
        <vt:lpwstr>https://www.gov.uk/government/publications/flu-immunisation-training-recommendations</vt:lpwstr>
      </vt:variant>
      <vt:variant>
        <vt:lpwstr/>
      </vt:variant>
      <vt:variant>
        <vt:i4>1900544</vt:i4>
      </vt:variant>
      <vt:variant>
        <vt:i4>204</vt:i4>
      </vt:variant>
      <vt:variant>
        <vt:i4>0</vt:i4>
      </vt:variant>
      <vt:variant>
        <vt:i4>5</vt:i4>
      </vt:variant>
      <vt:variant>
        <vt:lpwstr>https://www.cppe.ac.uk/services/declaration-of-competence</vt:lpwstr>
      </vt:variant>
      <vt:variant>
        <vt:lpwstr/>
      </vt:variant>
      <vt:variant>
        <vt:i4>7143463</vt:i4>
      </vt:variant>
      <vt:variant>
        <vt:i4>192</vt:i4>
      </vt:variant>
      <vt:variant>
        <vt:i4>0</vt:i4>
      </vt:variant>
      <vt:variant>
        <vt:i4>5</vt:i4>
      </vt:variant>
      <vt:variant>
        <vt:lpwstr>https://www.gov.uk/government/publications/national-protocol-for-inactivated-influenza-vaccine</vt:lpwstr>
      </vt:variant>
      <vt:variant>
        <vt:lpwstr/>
      </vt:variant>
      <vt:variant>
        <vt:i4>1441865</vt:i4>
      </vt:variant>
      <vt:variant>
        <vt:i4>189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1441865</vt:i4>
      </vt:variant>
      <vt:variant>
        <vt:i4>183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8257645</vt:i4>
      </vt:variant>
      <vt:variant>
        <vt:i4>177</vt:i4>
      </vt:variant>
      <vt:variant>
        <vt:i4>0</vt:i4>
      </vt:variant>
      <vt:variant>
        <vt:i4>5</vt:i4>
      </vt:variant>
      <vt:variant>
        <vt:lpwstr>https://cpe.org.uk/flutraining</vt:lpwstr>
      </vt:variant>
      <vt:variant>
        <vt:lpwstr/>
      </vt:variant>
      <vt:variant>
        <vt:i4>1245211</vt:i4>
      </vt:variant>
      <vt:variant>
        <vt:i4>171</vt:i4>
      </vt:variant>
      <vt:variant>
        <vt:i4>0</vt:i4>
      </vt:variant>
      <vt:variant>
        <vt:i4>5</vt:i4>
      </vt:variant>
      <vt:variant>
        <vt:lpwstr>https://psnc.org.uk/services-commissioning/advanced-services/flu-vaccination-service/</vt:lpwstr>
      </vt:variant>
      <vt:variant>
        <vt:lpwstr/>
      </vt:variant>
      <vt:variant>
        <vt:i4>3276830</vt:i4>
      </vt:variant>
      <vt:variant>
        <vt:i4>168</vt:i4>
      </vt:variant>
      <vt:variant>
        <vt:i4>0</vt:i4>
      </vt:variant>
      <vt:variant>
        <vt:i4>5</vt:i4>
      </vt:variant>
      <vt:variant>
        <vt:lpwstr>mailto:services.team@cpe.org.uk</vt:lpwstr>
      </vt:variant>
      <vt:variant>
        <vt:lpwstr/>
      </vt:variant>
      <vt:variant>
        <vt:i4>5177364</vt:i4>
      </vt:variant>
      <vt:variant>
        <vt:i4>165</vt:i4>
      </vt:variant>
      <vt:variant>
        <vt:i4>0</vt:i4>
      </vt:variant>
      <vt:variant>
        <vt:i4>5</vt:i4>
      </vt:variant>
      <vt:variant>
        <vt:lpwstr>http://cpe.org.uk/services-commissioning/advanced-services/flu-vaccination-service/flu-vaccination-additional-information-and-resources/</vt:lpwstr>
      </vt:variant>
      <vt:variant>
        <vt:lpwstr/>
      </vt:variant>
      <vt:variant>
        <vt:i4>1835011</vt:i4>
      </vt:variant>
      <vt:variant>
        <vt:i4>162</vt:i4>
      </vt:variant>
      <vt:variant>
        <vt:i4>0</vt:i4>
      </vt:variant>
      <vt:variant>
        <vt:i4>5</vt:i4>
      </vt:variant>
      <vt:variant>
        <vt:lpwstr>https://www.gov.uk/government/collections/immunisation-against-infectious-disease-the-green-book</vt:lpwstr>
      </vt:variant>
      <vt:variant>
        <vt:lpwstr/>
      </vt:variant>
      <vt:variant>
        <vt:i4>5373953</vt:i4>
      </vt:variant>
      <vt:variant>
        <vt:i4>159</vt:i4>
      </vt:variant>
      <vt:variant>
        <vt:i4>0</vt:i4>
      </vt:variant>
      <vt:variant>
        <vt:i4>5</vt:i4>
      </vt:variant>
      <vt:variant>
        <vt:lpwstr>https://www.gov.uk/government/publications/flu-vaccination-who-should-have-it-this-winter-and-why</vt:lpwstr>
      </vt:variant>
      <vt:variant>
        <vt:lpwstr/>
      </vt:variant>
      <vt:variant>
        <vt:i4>1048581</vt:i4>
      </vt:variant>
      <vt:variant>
        <vt:i4>156</vt:i4>
      </vt:variant>
      <vt:variant>
        <vt:i4>0</vt:i4>
      </vt:variant>
      <vt:variant>
        <vt:i4>5</vt:i4>
      </vt:variant>
      <vt:variant>
        <vt:lpwstr>https://www.gov.uk/government/publications/flu-vaccination-programme-information-for-healthcare-practitioners</vt:lpwstr>
      </vt:variant>
      <vt:variant>
        <vt:lpwstr/>
      </vt:variant>
      <vt:variant>
        <vt:i4>917595</vt:i4>
      </vt:variant>
      <vt:variant>
        <vt:i4>153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6553703</vt:i4>
      </vt:variant>
      <vt:variant>
        <vt:i4>150</vt:i4>
      </vt:variant>
      <vt:variant>
        <vt:i4>0</vt:i4>
      </vt:variant>
      <vt:variant>
        <vt:i4>5</vt:i4>
      </vt:variant>
      <vt:variant>
        <vt:lpwstr>https://www.gov.uk/government/collections/annual-flu-programme</vt:lpwstr>
      </vt:variant>
      <vt:variant>
        <vt:lpwstr/>
      </vt:variant>
      <vt:variant>
        <vt:i4>2359330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https://www.gov.uk/government/publications/national-flu-immunisation-programme-plan</vt:lpwstr>
      </vt:variant>
      <vt:variant>
        <vt:lpwstr/>
      </vt:variant>
      <vt:variant>
        <vt:i4>7143463</vt:i4>
      </vt:variant>
      <vt:variant>
        <vt:i4>144</vt:i4>
      </vt:variant>
      <vt:variant>
        <vt:i4>0</vt:i4>
      </vt:variant>
      <vt:variant>
        <vt:i4>5</vt:i4>
      </vt:variant>
      <vt:variant>
        <vt:lpwstr>https://www.gov.uk/government/publications/national-protocol-for-inactivated-influenza-vaccine</vt:lpwstr>
      </vt:variant>
      <vt:variant>
        <vt:lpwstr/>
      </vt:variant>
      <vt:variant>
        <vt:i4>1441865</vt:i4>
      </vt:variant>
      <vt:variant>
        <vt:i4>141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1441865</vt:i4>
      </vt:variant>
      <vt:variant>
        <vt:i4>138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131146</vt:i4>
      </vt:variant>
      <vt:variant>
        <vt:i4>135</vt:i4>
      </vt:variant>
      <vt:variant>
        <vt:i4>0</vt:i4>
      </vt:variant>
      <vt:variant>
        <vt:i4>5</vt:i4>
      </vt:variant>
      <vt:variant>
        <vt:lpwstr>https://cpe.org.uk/services-commissioning/advanced-services/flu-vaccination-service/flu-vaccination-faqs/</vt:lpwstr>
      </vt:variant>
      <vt:variant>
        <vt:lpwstr/>
      </vt:variant>
      <vt:variant>
        <vt:i4>917578</vt:i4>
      </vt:variant>
      <vt:variant>
        <vt:i4>132</vt:i4>
      </vt:variant>
      <vt:variant>
        <vt:i4>0</vt:i4>
      </vt:variant>
      <vt:variant>
        <vt:i4>5</vt:i4>
      </vt:variant>
      <vt:variant>
        <vt:lpwstr>https://www.pharmacyregulation.org/news/demonstrating-professionalism-online</vt:lpwstr>
      </vt:variant>
      <vt:variant>
        <vt:lpwstr/>
      </vt:variant>
      <vt:variant>
        <vt:i4>4587615</vt:i4>
      </vt:variant>
      <vt:variant>
        <vt:i4>129</vt:i4>
      </vt:variant>
      <vt:variant>
        <vt:i4>0</vt:i4>
      </vt:variant>
      <vt:variant>
        <vt:i4>5</vt:i4>
      </vt:variant>
      <vt:variant>
        <vt:lpwstr>https://www.rpharms.com/Portals/0/RPS document library/Open access/Elections/GUIDANCE FOR USE OF SOCIAL MEDIA AND OTHER FORUMS ETC for website.pdf?ver=2019-02-28-090827-333</vt:lpwstr>
      </vt:variant>
      <vt:variant>
        <vt:lpwstr/>
      </vt:variant>
      <vt:variant>
        <vt:i4>4784128</vt:i4>
      </vt:variant>
      <vt:variant>
        <vt:i4>126</vt:i4>
      </vt:variant>
      <vt:variant>
        <vt:i4>0</vt:i4>
      </vt:variant>
      <vt:variant>
        <vt:i4>5</vt:i4>
      </vt:variant>
      <vt:variant>
        <vt:lpwstr>https://www.npa.co.uk/support-how-the-npa-can-assist-you/get-help-with-social-media/</vt:lpwstr>
      </vt:variant>
      <vt:variant>
        <vt:lpwstr/>
      </vt:variant>
      <vt:variant>
        <vt:i4>5898247</vt:i4>
      </vt:variant>
      <vt:variant>
        <vt:i4>123</vt:i4>
      </vt:variant>
      <vt:variant>
        <vt:i4>0</vt:i4>
      </vt:variant>
      <vt:variant>
        <vt:i4>5</vt:i4>
      </vt:variant>
      <vt:variant>
        <vt:lpwstr>https://cpe.org.uk/psnc-and-negotiations/updates-events/our-webinars/making-the-most-of-social-media-webinar/</vt:lpwstr>
      </vt:variant>
      <vt:variant>
        <vt:lpwstr/>
      </vt:variant>
      <vt:variant>
        <vt:i4>1769487</vt:i4>
      </vt:variant>
      <vt:variant>
        <vt:i4>120</vt:i4>
      </vt:variant>
      <vt:variant>
        <vt:i4>0</vt:i4>
      </vt:variant>
      <vt:variant>
        <vt:i4>5</vt:i4>
      </vt:variant>
      <vt:variant>
        <vt:lpwstr>https://cpe.org.uk/contract-it/psnc-briefings-pharmacy-contract-and-it/psnc-briefing-00117-social-media-guide-for-community-pharmacy-teams-and-lpcs-january-2017/</vt:lpwstr>
      </vt:variant>
      <vt:variant>
        <vt:lpwstr/>
      </vt:variant>
      <vt:variant>
        <vt:i4>3145832</vt:i4>
      </vt:variant>
      <vt:variant>
        <vt:i4>117</vt:i4>
      </vt:variant>
      <vt:variant>
        <vt:i4>0</vt:i4>
      </vt:variant>
      <vt:variant>
        <vt:i4>5</vt:i4>
      </vt:variant>
      <vt:variant>
        <vt:lpwstr>https://cpe.org.uk/contract-it/pharmacy-regulation/nhs-logo-use-by-pharmacies/</vt:lpwstr>
      </vt:variant>
      <vt:variant>
        <vt:lpwstr/>
      </vt:variant>
      <vt:variant>
        <vt:i4>6291581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http://www.legislation.gov.uk/uksi/2013/349/schedule/4/made</vt:lpwstr>
      </vt:variant>
      <vt:variant>
        <vt:lpwstr/>
      </vt:variant>
      <vt:variant>
        <vt:i4>1572930</vt:i4>
      </vt:variant>
      <vt:variant>
        <vt:i4>111</vt:i4>
      </vt:variant>
      <vt:variant>
        <vt:i4>0</vt:i4>
      </vt:variant>
      <vt:variant>
        <vt:i4>5</vt:i4>
      </vt:variant>
      <vt:variant>
        <vt:lpwstr>http://cpe.org.uk/services-commissioning/advanced-services/flu-vaccination-service/flu-vaccination-promoting-the-service-to-patients/</vt:lpwstr>
      </vt:variant>
      <vt:variant>
        <vt:lpwstr/>
      </vt:variant>
      <vt:variant>
        <vt:i4>2031640</vt:i4>
      </vt:variant>
      <vt:variant>
        <vt:i4>108</vt:i4>
      </vt:variant>
      <vt:variant>
        <vt:i4>0</vt:i4>
      </vt:variant>
      <vt:variant>
        <vt:i4>5</vt:i4>
      </vt:variant>
      <vt:variant>
        <vt:lpwstr>https://www.nhs.uk/our-policies/profile-editor-login/</vt:lpwstr>
      </vt:variant>
      <vt:variant>
        <vt:lpwstr/>
      </vt:variant>
      <vt:variant>
        <vt:i4>3342385</vt:i4>
      </vt:variant>
      <vt:variant>
        <vt:i4>105</vt:i4>
      </vt:variant>
      <vt:variant>
        <vt:i4>0</vt:i4>
      </vt:variant>
      <vt:variant>
        <vt:i4>5</vt:i4>
      </vt:variant>
      <vt:variant>
        <vt:lpwstr>https://cpe.org.uk/national-pharmacy-services/advanced-services/flu-vaccination-service/flu-vaccination-providing-the-service-outside-consultation-rooms-off-site/</vt:lpwstr>
      </vt:variant>
      <vt:variant>
        <vt:lpwstr/>
      </vt:variant>
      <vt:variant>
        <vt:i4>3014696</vt:i4>
      </vt:variant>
      <vt:variant>
        <vt:i4>102</vt:i4>
      </vt:variant>
      <vt:variant>
        <vt:i4>0</vt:i4>
      </vt:variant>
      <vt:variant>
        <vt:i4>5</vt:i4>
      </vt:variant>
      <vt:variant>
        <vt:lpwstr>https://dbscheckonline.org.uk/</vt:lpwstr>
      </vt:variant>
      <vt:variant>
        <vt:lpwstr/>
      </vt:variant>
      <vt:variant>
        <vt:i4>6094856</vt:i4>
      </vt:variant>
      <vt:variant>
        <vt:i4>99</vt:i4>
      </vt:variant>
      <vt:variant>
        <vt:i4>0</vt:i4>
      </vt:variant>
      <vt:variant>
        <vt:i4>5</vt:i4>
      </vt:variant>
      <vt:variant>
        <vt:lpwstr>https://cpe.org.uk/services-commissioning/nhsbsa-manage-your-service-mys-application/</vt:lpwstr>
      </vt:variant>
      <vt:variant>
        <vt:lpwstr/>
      </vt:variant>
      <vt:variant>
        <vt:i4>3801195</vt:i4>
      </vt:variant>
      <vt:variant>
        <vt:i4>96</vt:i4>
      </vt:variant>
      <vt:variant>
        <vt:i4>0</vt:i4>
      </vt:variant>
      <vt:variant>
        <vt:i4>5</vt:i4>
      </vt:variant>
      <vt:variant>
        <vt:lpwstr>https://services.nhsbsa.nhs.uk/nhs-prescription-services-submissions/login</vt:lpwstr>
      </vt:variant>
      <vt:variant>
        <vt:lpwstr/>
      </vt:variant>
      <vt:variant>
        <vt:i4>1114190</vt:i4>
      </vt:variant>
      <vt:variant>
        <vt:i4>93</vt:i4>
      </vt:variant>
      <vt:variant>
        <vt:i4>0</vt:i4>
      </vt:variant>
      <vt:variant>
        <vt:i4>5</vt:i4>
      </vt:variant>
      <vt:variant>
        <vt:lpwstr>https://cpe.org.uk/funding-and-statistics/funding-distribution/advanced-service-payments/</vt:lpwstr>
      </vt:variant>
      <vt:variant>
        <vt:lpwstr/>
      </vt:variant>
      <vt:variant>
        <vt:i4>2687037</vt:i4>
      </vt:variant>
      <vt:variant>
        <vt:i4>90</vt:i4>
      </vt:variant>
      <vt:variant>
        <vt:i4>0</vt:i4>
      </vt:variant>
      <vt:variant>
        <vt:i4>5</vt:i4>
      </vt:variant>
      <vt:variant>
        <vt:lpwstr>https://www.nhsbsa.nhs.uk/pharmacies-gp-practices-and-appliance-contractors/drug-tariff</vt:lpwstr>
      </vt:variant>
      <vt:variant>
        <vt:lpwstr/>
      </vt:variant>
      <vt:variant>
        <vt:i4>8061036</vt:i4>
      </vt:variant>
      <vt:variant>
        <vt:i4>87</vt:i4>
      </vt:variant>
      <vt:variant>
        <vt:i4>0</vt:i4>
      </vt:variant>
      <vt:variant>
        <vt:i4>5</vt:i4>
      </vt:variant>
      <vt:variant>
        <vt:lpwstr>https://cpe.org.uk/digital-and-technology/databases-of-pharmacies-and-services/nhs-profile-manager/</vt:lpwstr>
      </vt:variant>
      <vt:variant>
        <vt:lpwstr/>
      </vt:variant>
      <vt:variant>
        <vt:i4>2621556</vt:i4>
      </vt:variant>
      <vt:variant>
        <vt:i4>84</vt:i4>
      </vt:variant>
      <vt:variant>
        <vt:i4>0</vt:i4>
      </vt:variant>
      <vt:variant>
        <vt:i4>5</vt:i4>
      </vt:variant>
      <vt:variant>
        <vt:lpwstr>https://play.google.com/store/apps/details?id=uk.org.mhra.yellowcard&amp;referrer=utm_source%3DEYC%26utm_medium%3Dcpc%26anid%3Dadmob</vt:lpwstr>
      </vt:variant>
      <vt:variant>
        <vt:lpwstr/>
      </vt:variant>
      <vt:variant>
        <vt:i4>5046292</vt:i4>
      </vt:variant>
      <vt:variant>
        <vt:i4>81</vt:i4>
      </vt:variant>
      <vt:variant>
        <vt:i4>0</vt:i4>
      </vt:variant>
      <vt:variant>
        <vt:i4>5</vt:i4>
      </vt:variant>
      <vt:variant>
        <vt:lpwstr>https://itunes.apple.com/us/app/apple-store/id990237487?pt=117756671&amp;ct=EYC&amp;mt=8</vt:lpwstr>
      </vt:variant>
      <vt:variant>
        <vt:lpwstr/>
      </vt:variant>
      <vt:variant>
        <vt:i4>7405672</vt:i4>
      </vt:variant>
      <vt:variant>
        <vt:i4>78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8126523</vt:i4>
      </vt:variant>
      <vt:variant>
        <vt:i4>75</vt:i4>
      </vt:variant>
      <vt:variant>
        <vt:i4>0</vt:i4>
      </vt:variant>
      <vt:variant>
        <vt:i4>5</vt:i4>
      </vt:variant>
      <vt:variant>
        <vt:lpwstr>https://lpc-online.org.uk/</vt:lpwstr>
      </vt:variant>
      <vt:variant>
        <vt:lpwstr/>
      </vt:variant>
      <vt:variant>
        <vt:i4>3276911</vt:i4>
      </vt:variant>
      <vt:variant>
        <vt:i4>72</vt:i4>
      </vt:variant>
      <vt:variant>
        <vt:i4>0</vt:i4>
      </vt:variant>
      <vt:variant>
        <vt:i4>5</vt:i4>
      </vt:variant>
      <vt:variant>
        <vt:lpwstr>https://cpe.org.uk/quality-and-regulations/pharmacy-regulation/ipc-and-ppe/</vt:lpwstr>
      </vt:variant>
      <vt:variant>
        <vt:lpwstr/>
      </vt:variant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https://www.england.nhs.uk/publication/national-infection-prevention-and-control/</vt:lpwstr>
      </vt:variant>
      <vt:variant>
        <vt:lpwstr/>
      </vt:variant>
      <vt:variant>
        <vt:i4>131081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https://www.gov.uk/guidance/covid-19-information-and-advice-for-health-and-care-professionals</vt:lpwstr>
      </vt:variant>
      <vt:variant>
        <vt:lpwstr/>
      </vt:variant>
      <vt:variant>
        <vt:i4>6029336</vt:i4>
      </vt:variant>
      <vt:variant>
        <vt:i4>63</vt:i4>
      </vt:variant>
      <vt:variant>
        <vt:i4>0</vt:i4>
      </vt:variant>
      <vt:variant>
        <vt:i4>5</vt:i4>
      </vt:variant>
      <vt:variant>
        <vt:lpwstr>https://www.pharmacyregulation.org/guidance/guidance-support-standards-pharmacy-professionals</vt:lpwstr>
      </vt:variant>
      <vt:variant>
        <vt:lpwstr/>
      </vt:variant>
      <vt:variant>
        <vt:i4>2687025</vt:i4>
      </vt:variant>
      <vt:variant>
        <vt:i4>60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https://assets.publishing.service.gov.uk/government/uploads/system/uploads/attachment_data/file/300304/Protocol_for_ordering__storing_and_handling_vaccines_March_2014.pdf</vt:lpwstr>
      </vt:variant>
      <vt:variant>
        <vt:lpwstr/>
      </vt:variant>
      <vt:variant>
        <vt:i4>4980815</vt:i4>
      </vt:variant>
      <vt:variant>
        <vt:i4>57</vt:i4>
      </vt:variant>
      <vt:variant>
        <vt:i4>0</vt:i4>
      </vt:variant>
      <vt:variant>
        <vt:i4>5</vt:i4>
      </vt:variant>
      <vt:variant>
        <vt:lpwstr>http://www.medicines.org.uk/emc/</vt:lpwstr>
      </vt:variant>
      <vt:variant>
        <vt:lpwstr/>
      </vt:variant>
      <vt:variant>
        <vt:i4>8257596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https://www.gov.uk/government/publications/covid-19-vaccination-programme-guidance-for-healthcare-practitioners</vt:lpwstr>
      </vt:variant>
      <vt:variant>
        <vt:lpwstr/>
      </vt:variant>
      <vt:variant>
        <vt:i4>2359330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https://www.gov.uk/government/publications/national-flu-immunisation-programme-plan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https://www.gov.uk/government/publications/influenza-the-green-book-chapter-19</vt:lpwstr>
      </vt:variant>
      <vt:variant>
        <vt:lpwstr/>
      </vt:variant>
      <vt:variant>
        <vt:i4>196685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https://www.gov.uk/government/publications/flu-immunisation-training-recommendations</vt:lpwstr>
      </vt:variant>
      <vt:variant>
        <vt:lpwstr/>
      </vt:variant>
      <vt:variant>
        <vt:i4>196685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https://www.gov.uk/government/publications/flu-immunisation-training-recommendations</vt:lpwstr>
      </vt:variant>
      <vt:variant>
        <vt:lpwstr/>
      </vt:variant>
      <vt:variant>
        <vt:i4>7864439</vt:i4>
      </vt:variant>
      <vt:variant>
        <vt:i4>39</vt:i4>
      </vt:variant>
      <vt:variant>
        <vt:i4>0</vt:i4>
      </vt:variant>
      <vt:variant>
        <vt:i4>5</vt:i4>
      </vt:variant>
      <vt:variant>
        <vt:lpwstr>https://www.cppe.ac.uk/services/declaration-of-competence</vt:lpwstr>
      </vt:variant>
      <vt:variant>
        <vt:lpwstr>navTop</vt:lpwstr>
      </vt:variant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https://www.cppe.ac.uk/services/declaration-of-competence</vt:lpwstr>
      </vt:variant>
      <vt:variant>
        <vt:lpwstr/>
      </vt:variant>
      <vt:variant>
        <vt:i4>8192097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https://www.gov.uk/government/publications/national-minimum-standards-and-core-curriculum-for-immunisation-training-for-registered-healthcare-practitioners</vt:lpwstr>
      </vt:variant>
      <vt:variant>
        <vt:lpwstr/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>https://cpe.org.uk/services-commissioning/advanced-services/flu-vaccination-service/flu-vaccination-training/</vt:lpwstr>
      </vt:variant>
      <vt:variant>
        <vt:lpwstr/>
      </vt:variant>
      <vt:variant>
        <vt:i4>65562</vt:i4>
      </vt:variant>
      <vt:variant>
        <vt:i4>27</vt:i4>
      </vt:variant>
      <vt:variant>
        <vt:i4>0</vt:i4>
      </vt:variant>
      <vt:variant>
        <vt:i4>5</vt:i4>
      </vt:variant>
      <vt:variant>
        <vt:lpwstr>https://cpe.org.uk/wp-content/uploads/2021/08/Flu-Vac-Maintaining-a-COVID-safe-approach-Aug-2021.pdf</vt:lpwstr>
      </vt:variant>
      <vt:variant>
        <vt:lpwstr/>
      </vt:variant>
      <vt:variant>
        <vt:i4>2359330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https://www.gov.uk/government/publications/national-flu-immunisation-programme-plan</vt:lpwstr>
      </vt:variant>
      <vt:variant>
        <vt:lpwstr/>
      </vt:variant>
      <vt:variant>
        <vt:i4>7143463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https://www.gov.uk/government/publications/national-protocol-for-inactivated-influenza-vaccine</vt:lpwstr>
      </vt:variant>
      <vt:variant>
        <vt:lpwstr/>
      </vt:variant>
      <vt:variant>
        <vt:i4>1441865</vt:i4>
      </vt:variant>
      <vt:variant>
        <vt:i4>18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67</vt:i4>
      </vt:variant>
      <vt:variant>
        <vt:i4>12</vt:i4>
      </vt:variant>
      <vt:variant>
        <vt:i4>0</vt:i4>
      </vt:variant>
      <vt:variant>
        <vt:i4>5</vt:i4>
      </vt:variant>
      <vt:variant>
        <vt:lpwstr>https://www.england.nhs.uk/email-bulletins/primary-care-bulletin/</vt:lpwstr>
      </vt:variant>
      <vt:variant>
        <vt:lpwstr/>
      </vt:variant>
      <vt:variant>
        <vt:i4>1048600</vt:i4>
      </vt:variant>
      <vt:variant>
        <vt:i4>9</vt:i4>
      </vt:variant>
      <vt:variant>
        <vt:i4>0</vt:i4>
      </vt:variant>
      <vt:variant>
        <vt:i4>5</vt:i4>
      </vt:variant>
      <vt:variant>
        <vt:lpwstr>https://cpe.org.uk/our-news/nhse-opens-eoi-process-for-autumn-c-19-vacs-service/</vt:lpwstr>
      </vt:variant>
      <vt:variant>
        <vt:lpwstr/>
      </vt:variant>
      <vt:variant>
        <vt:i4>3473466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https://www.gov.uk/government/publications/national-flu-immunisation-programme-plan/appendix-1-influenza-vaccine-uptake</vt:lpwstr>
      </vt:variant>
      <vt:variant>
        <vt:lpwstr/>
      </vt:variant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https://www.gov.uk/government/publications/national-flu-immunisation-programme-plan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https://cpe.org.uk/national-pharmacy-services/advanced-services/flu-vaccination-service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Alastair Buxton</dc:creator>
  <cp:keywords/>
  <dc:description/>
  <cp:lastModifiedBy>David Onuoha</cp:lastModifiedBy>
  <cp:revision>9</cp:revision>
  <cp:lastPrinted>2024-07-24T15:34:00Z</cp:lastPrinted>
  <dcterms:created xsi:type="dcterms:W3CDTF">2024-07-24T15:34:00Z</dcterms:created>
  <dcterms:modified xsi:type="dcterms:W3CDTF">2024-07-24T15:51:00Z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  <property fmtid="{D5CDD505-2E9C-101B-9397-08002B2CF9AE}" pid="4" name="Order">
    <vt:r8>4521700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