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62C8B" w14:textId="29C6D07D" w:rsidR="00FA5F97" w:rsidRPr="00857A5B" w:rsidRDefault="00743708" w:rsidP="00743708">
      <w:pPr>
        <w:pStyle w:val="BodyTextBold"/>
        <w:jc w:val="center"/>
        <w:rPr>
          <w:sz w:val="28"/>
          <w:szCs w:val="28"/>
        </w:rPr>
      </w:pPr>
      <w:bookmarkStart w:id="0" w:name="_Toc456693024"/>
      <w:r w:rsidRPr="00857A5B">
        <w:rPr>
          <w:sz w:val="28"/>
          <w:szCs w:val="28"/>
          <w:highlight w:val="green"/>
        </w:rPr>
        <w:t>[</w:t>
      </w:r>
      <w:r w:rsidR="00FA5F97" w:rsidRPr="00857A5B">
        <w:rPr>
          <w:sz w:val="28"/>
          <w:szCs w:val="28"/>
          <w:highlight w:val="green"/>
        </w:rPr>
        <w:t>GUIDANCE ON CONDUCTING INVESTIGATIONS AND DISCIPLINARY PROCEDURES</w:t>
      </w:r>
      <w:bookmarkEnd w:id="0"/>
      <w:r w:rsidRPr="00857A5B">
        <w:rPr>
          <w:sz w:val="28"/>
          <w:szCs w:val="28"/>
          <w:highlight w:val="green"/>
        </w:rPr>
        <w:t>]</w:t>
      </w:r>
    </w:p>
    <w:p w14:paraId="5947B533" w14:textId="77777777" w:rsidR="00FA5F97" w:rsidRPr="00992143" w:rsidRDefault="00FA5F97" w:rsidP="00992143">
      <w:pPr>
        <w:pStyle w:val="BodyText"/>
      </w:pPr>
      <w:bookmarkStart w:id="1" w:name="_Hlk111469879"/>
      <w:r w:rsidRPr="00992143">
        <w:t xml:space="preserve">This guidance note aims to provide the LPC with guidance in relation to the legal implications and requirements that arise when </w:t>
      </w:r>
      <w:proofErr w:type="gramStart"/>
      <w:r w:rsidRPr="00992143">
        <w:t>conducting an investigation</w:t>
      </w:r>
      <w:proofErr w:type="gramEnd"/>
      <w:r w:rsidRPr="00992143">
        <w:t xml:space="preserve"> and disciplinary procedure.  It is essential that the LPC follows a fair procedure in respect of any such disciplinary action in order to avoid claims for unfair dismissal and/or discrimination.</w:t>
      </w:r>
    </w:p>
    <w:p w14:paraId="2EFF442A" w14:textId="77777777" w:rsidR="00FA5F97" w:rsidRPr="00FA5F97" w:rsidRDefault="00FA5F97" w:rsidP="00992143">
      <w:pPr>
        <w:pStyle w:val="BodyTextBold"/>
      </w:pPr>
      <w:r w:rsidRPr="00FA5F97">
        <w:rPr>
          <w:highlight w:val="green"/>
        </w:rPr>
        <w:t xml:space="preserve">[It is intended that this document be legally privileged, being part of solicitor/client correspondence.  Any copies of this document circulated to committee members will, provided they are </w:t>
      </w:r>
      <w:r w:rsidRPr="00FA5F97">
        <w:rPr>
          <w:rFonts w:cs="Times New Roman"/>
          <w:highlight w:val="green"/>
        </w:rPr>
        <w:t xml:space="preserve">sent for the purpose of giving legal advice, </w:t>
      </w:r>
      <w:r w:rsidRPr="00FA5F97">
        <w:rPr>
          <w:highlight w:val="green"/>
        </w:rPr>
        <w:t xml:space="preserve">be privileged. It should be noted that any comments made on the documents, or noted on any copies, which are expressions of personal views will </w:t>
      </w:r>
      <w:r w:rsidRPr="00FA5F97">
        <w:rPr>
          <w:highlight w:val="green"/>
          <w:u w:val="single"/>
        </w:rPr>
        <w:t>not</w:t>
      </w:r>
      <w:r w:rsidRPr="00FA5F97">
        <w:rPr>
          <w:highlight w:val="green"/>
        </w:rPr>
        <w:t xml:space="preserve"> be privileged. Similarly notes or other forms of communication which contain extracts of this document, accompanied by personal views of the situation will not be covered by privilege.  It is, therefore, recommended that any comments on this document should be forwarded to Clyde &amp; Co LLP by way of formal correspondence for the purpose of obtaining legal advice.]</w:t>
      </w:r>
    </w:p>
    <w:p w14:paraId="11E6C28C" w14:textId="77777777" w:rsidR="00FA5F97" w:rsidRPr="00992143" w:rsidRDefault="00FA5F97" w:rsidP="00992143">
      <w:pPr>
        <w:pStyle w:val="Heading1Bold"/>
      </w:pPr>
      <w:bookmarkStart w:id="2" w:name="_Toc452539212"/>
      <w:bookmarkStart w:id="3" w:name="_Toc452539521"/>
      <w:bookmarkStart w:id="4" w:name="_Toc456622870"/>
      <w:bookmarkStart w:id="5" w:name="_Toc456692445"/>
      <w:bookmarkStart w:id="6" w:name="_Toc456693025"/>
      <w:bookmarkStart w:id="7" w:name="_Hlk111469941"/>
      <w:bookmarkEnd w:id="1"/>
      <w:r w:rsidRPr="00992143">
        <w:t xml:space="preserve">The </w:t>
      </w:r>
      <w:proofErr w:type="spellStart"/>
      <w:r w:rsidRPr="00992143">
        <w:t>Acas</w:t>
      </w:r>
      <w:proofErr w:type="spellEnd"/>
      <w:r w:rsidRPr="00992143">
        <w:t xml:space="preserve"> Code</w:t>
      </w:r>
      <w:bookmarkEnd w:id="2"/>
      <w:bookmarkEnd w:id="3"/>
      <w:bookmarkEnd w:id="4"/>
      <w:bookmarkEnd w:id="5"/>
      <w:bookmarkEnd w:id="6"/>
    </w:p>
    <w:p w14:paraId="5CC22CAE" w14:textId="0DE75E7C" w:rsidR="00FA5F97" w:rsidRPr="00FA5F97" w:rsidRDefault="00FA5F97" w:rsidP="00992143">
      <w:pPr>
        <w:pStyle w:val="Heading2"/>
      </w:pPr>
      <w:bookmarkStart w:id="8" w:name="_Toc452539213"/>
      <w:bookmarkStart w:id="9" w:name="_Toc452539522"/>
      <w:bookmarkStart w:id="10" w:name="_Toc456622871"/>
      <w:bookmarkStart w:id="11" w:name="_Toc456692446"/>
      <w:bookmarkStart w:id="12" w:name="_Toc456693026"/>
      <w:r w:rsidRPr="00FA5F97">
        <w:t xml:space="preserve">The key principle to any disciplinary procedure is fairness. </w:t>
      </w:r>
      <w:r w:rsidR="00743708">
        <w:t xml:space="preserve"> </w:t>
      </w:r>
      <w:r w:rsidR="00051B81">
        <w:t>T</w:t>
      </w:r>
      <w:r w:rsidRPr="00FA5F97">
        <w:t xml:space="preserve">he </w:t>
      </w:r>
      <w:proofErr w:type="spellStart"/>
      <w:r w:rsidRPr="00FA5F97">
        <w:t>Acas</w:t>
      </w:r>
      <w:proofErr w:type="spellEnd"/>
      <w:r w:rsidRPr="00FA5F97">
        <w:t xml:space="preserve"> Code of Practice on Disciplinary and Grievance Procedures (</w:t>
      </w:r>
      <w:proofErr w:type="spellStart"/>
      <w:r w:rsidRPr="00FA5F97">
        <w:rPr>
          <w:b/>
        </w:rPr>
        <w:t>Acas</w:t>
      </w:r>
      <w:proofErr w:type="spellEnd"/>
      <w:r w:rsidRPr="00FA5F97">
        <w:rPr>
          <w:b/>
        </w:rPr>
        <w:t xml:space="preserve"> Code</w:t>
      </w:r>
      <w:r w:rsidRPr="00FA5F97">
        <w:t>) introduced new guidance on how to deal with misconduct and poor performance cases and seeks to ensure that procedures which are used during disciplinary procedures are fair.</w:t>
      </w:r>
      <w:bookmarkEnd w:id="8"/>
      <w:bookmarkEnd w:id="9"/>
      <w:bookmarkEnd w:id="10"/>
      <w:bookmarkEnd w:id="11"/>
      <w:bookmarkEnd w:id="12"/>
      <w:r w:rsidRPr="00FA5F97">
        <w:t xml:space="preserve">  </w:t>
      </w:r>
    </w:p>
    <w:p w14:paraId="2038F56A" w14:textId="77777777" w:rsidR="00FA5F97" w:rsidRPr="00FA5F97" w:rsidRDefault="00FA5F97" w:rsidP="00992143">
      <w:pPr>
        <w:pStyle w:val="Heading2"/>
      </w:pPr>
      <w:bookmarkStart w:id="13" w:name="_Toc452539214"/>
      <w:bookmarkStart w:id="14" w:name="_Toc452539523"/>
      <w:bookmarkStart w:id="15" w:name="_Toc456622872"/>
      <w:bookmarkStart w:id="16" w:name="_Toc456692447"/>
      <w:bookmarkStart w:id="17" w:name="_Toc456693027"/>
      <w:r w:rsidRPr="00FA5F97">
        <w:t xml:space="preserve">Failure to comply with the </w:t>
      </w:r>
      <w:proofErr w:type="spellStart"/>
      <w:r w:rsidRPr="00FA5F97">
        <w:t>Acas</w:t>
      </w:r>
      <w:proofErr w:type="spellEnd"/>
      <w:r w:rsidRPr="00FA5F97">
        <w:t xml:space="preserve"> Code may render any dismissal unfair and could also result in an increase in the amount of compensation a tribunal may award by up to 25%.  It is therefore essential that when considering whether to commence disciplinary investigation, the LPC first considers the </w:t>
      </w:r>
      <w:proofErr w:type="spellStart"/>
      <w:r w:rsidRPr="00FA5F97">
        <w:t>Acas</w:t>
      </w:r>
      <w:proofErr w:type="spellEnd"/>
      <w:r w:rsidRPr="00FA5F97">
        <w:t xml:space="preserve"> Code (the principles of which are incorporated into this advice) and appreciates the potential consequences of not following it. If it is the employee who unreasonably fails to follow the </w:t>
      </w:r>
      <w:proofErr w:type="spellStart"/>
      <w:r w:rsidRPr="00FA5F97">
        <w:t>Acas</w:t>
      </w:r>
      <w:proofErr w:type="spellEnd"/>
      <w:r w:rsidRPr="00FA5F97">
        <w:t xml:space="preserve"> Code, the tribunal may reduce their compensation by up to 25%.  The tribunal will decide, subject to the severity of the breach, what </w:t>
      </w:r>
      <w:proofErr w:type="gramStart"/>
      <w:r w:rsidRPr="00FA5F97">
        <w:t>uplift</w:t>
      </w:r>
      <w:proofErr w:type="gramEnd"/>
      <w:r w:rsidRPr="00FA5F97">
        <w:t xml:space="preserve"> or reduction would be just and equitable.</w:t>
      </w:r>
      <w:bookmarkEnd w:id="13"/>
      <w:bookmarkEnd w:id="14"/>
      <w:bookmarkEnd w:id="15"/>
      <w:bookmarkEnd w:id="16"/>
      <w:bookmarkEnd w:id="17"/>
    </w:p>
    <w:p w14:paraId="442BB40E" w14:textId="6E16424E" w:rsidR="00FA5F97" w:rsidRPr="00FA5F97" w:rsidRDefault="00FA5F97" w:rsidP="00992143">
      <w:pPr>
        <w:pStyle w:val="Heading2"/>
      </w:pPr>
      <w:bookmarkStart w:id="18" w:name="_Toc452539215"/>
      <w:bookmarkStart w:id="19" w:name="_Toc452539524"/>
      <w:bookmarkStart w:id="20" w:name="_Toc456622873"/>
      <w:bookmarkStart w:id="21" w:name="_Toc456692448"/>
      <w:bookmarkStart w:id="22" w:name="_Toc456693028"/>
      <w:r w:rsidRPr="00FA5F97">
        <w:t xml:space="preserve">The LPC should also ensure that it complies with </w:t>
      </w:r>
      <w:r w:rsidR="00442F05">
        <w:t>the Clyde &amp; Co recommended</w:t>
      </w:r>
      <w:r w:rsidRPr="00FA5F97">
        <w:t xml:space="preserve"> disciplinary procedure </w:t>
      </w:r>
      <w:r w:rsidR="00442F05">
        <w:t xml:space="preserve">set out in the Staff Handbook </w:t>
      </w:r>
      <w:r w:rsidRPr="00FA5F97">
        <w:t xml:space="preserve">(or capability procedure if the allegations involve poor performance), since failure to do so may also lead to a claim. </w:t>
      </w:r>
      <w:bookmarkEnd w:id="18"/>
      <w:bookmarkEnd w:id="19"/>
      <w:bookmarkEnd w:id="20"/>
      <w:bookmarkEnd w:id="21"/>
      <w:bookmarkEnd w:id="22"/>
    </w:p>
    <w:p w14:paraId="5BA7610A" w14:textId="77777777" w:rsidR="00FA5F97" w:rsidRPr="00FA5F97" w:rsidRDefault="00FA5F97" w:rsidP="00992143">
      <w:pPr>
        <w:pStyle w:val="Heading1Bold"/>
      </w:pPr>
      <w:bookmarkStart w:id="23" w:name="_Toc452539216"/>
      <w:bookmarkStart w:id="24" w:name="_Toc452539525"/>
      <w:bookmarkStart w:id="25" w:name="_Toc456622874"/>
      <w:bookmarkStart w:id="26" w:name="_Toc456692449"/>
      <w:bookmarkStart w:id="27" w:name="_Toc456693029"/>
      <w:bookmarkStart w:id="28" w:name="_Hlk111472695"/>
      <w:bookmarkEnd w:id="7"/>
      <w:r w:rsidRPr="00FA5F97">
        <w:t>Informal action</w:t>
      </w:r>
      <w:bookmarkEnd w:id="23"/>
      <w:bookmarkEnd w:id="24"/>
      <w:bookmarkEnd w:id="25"/>
      <w:bookmarkEnd w:id="26"/>
      <w:bookmarkEnd w:id="27"/>
    </w:p>
    <w:p w14:paraId="3F42A250" w14:textId="77777777" w:rsidR="00FA5F97" w:rsidRPr="00FA5F97" w:rsidRDefault="00FA5F97" w:rsidP="00992143">
      <w:pPr>
        <w:pStyle w:val="Heading2"/>
      </w:pPr>
      <w:bookmarkStart w:id="29" w:name="_Toc452539217"/>
      <w:bookmarkStart w:id="30" w:name="_Toc452539526"/>
      <w:bookmarkStart w:id="31" w:name="_Toc456622875"/>
      <w:bookmarkStart w:id="32" w:name="_Toc456692450"/>
      <w:bookmarkStart w:id="33" w:name="_Toc456693030"/>
      <w:r w:rsidRPr="00FA5F97">
        <w:t xml:space="preserve">Disciplinary action is not always the most suitable option.  It may be more appropriate to try to resolve the matter through informal discussions with the parties concerned. The </w:t>
      </w:r>
      <w:proofErr w:type="spellStart"/>
      <w:r w:rsidRPr="00FA5F97">
        <w:t>Acas</w:t>
      </w:r>
      <w:proofErr w:type="spellEnd"/>
      <w:r w:rsidRPr="00FA5F97">
        <w:t xml:space="preserve"> Code encourages informal resolution where appropriate and emphasises that a "quiet word" may often be all that is required to resolve a problem.  Additional coaching, training and advice may also be provided.</w:t>
      </w:r>
      <w:bookmarkEnd w:id="29"/>
      <w:bookmarkEnd w:id="30"/>
      <w:bookmarkEnd w:id="31"/>
      <w:bookmarkEnd w:id="32"/>
      <w:bookmarkEnd w:id="33"/>
      <w:r w:rsidRPr="00FA5F97">
        <w:t xml:space="preserve">  </w:t>
      </w:r>
    </w:p>
    <w:p w14:paraId="7A599D31" w14:textId="6640D8E7" w:rsidR="00FA5F97" w:rsidRPr="00FA5F97" w:rsidRDefault="00FA5F97" w:rsidP="00992143">
      <w:pPr>
        <w:pStyle w:val="Heading2"/>
      </w:pPr>
      <w:bookmarkStart w:id="34" w:name="_Toc452539218"/>
      <w:bookmarkStart w:id="35" w:name="_Toc452539527"/>
      <w:bookmarkStart w:id="36" w:name="_Toc456622876"/>
      <w:bookmarkStart w:id="37" w:name="_Toc456692451"/>
      <w:bookmarkStart w:id="38" w:name="_Toc456693031"/>
      <w:r w:rsidRPr="00FA5F97">
        <w:t xml:space="preserve">Where the LPC decides to deal with a matter informally, it must ensure that the employee is made aware that formal processes may be commenced if the problem is not resolved. </w:t>
      </w:r>
      <w:r w:rsidR="00743708">
        <w:t xml:space="preserve"> </w:t>
      </w:r>
      <w:r w:rsidRPr="00FA5F97">
        <w:t xml:space="preserve">"Informal discussions" should not result in the LPC giving the employee a formal warning which is retained on their personnel file. </w:t>
      </w:r>
      <w:r w:rsidR="00743708">
        <w:t xml:space="preserve"> </w:t>
      </w:r>
      <w:r w:rsidRPr="00FA5F97">
        <w:t>Any formal disciplinary warning should only be provided after the LPC has followed a fair procedure as set out below.</w:t>
      </w:r>
      <w:bookmarkEnd w:id="34"/>
      <w:bookmarkEnd w:id="35"/>
      <w:bookmarkEnd w:id="36"/>
      <w:bookmarkEnd w:id="37"/>
      <w:bookmarkEnd w:id="38"/>
    </w:p>
    <w:p w14:paraId="5AF0619A" w14:textId="77777777" w:rsidR="00FA5F97" w:rsidRPr="00FA5F97" w:rsidRDefault="00FA5F97" w:rsidP="00992143">
      <w:pPr>
        <w:pStyle w:val="Heading1Bold"/>
      </w:pPr>
      <w:bookmarkStart w:id="39" w:name="_Toc452539219"/>
      <w:bookmarkStart w:id="40" w:name="_Toc452539528"/>
      <w:bookmarkStart w:id="41" w:name="_Toc456622877"/>
      <w:bookmarkStart w:id="42" w:name="_Toc456692452"/>
      <w:bookmarkStart w:id="43" w:name="_Toc456693032"/>
      <w:bookmarkStart w:id="44" w:name="_Hlk111473055"/>
      <w:bookmarkEnd w:id="28"/>
      <w:r w:rsidRPr="00FA5F97">
        <w:lastRenderedPageBreak/>
        <w:t>Investigation</w:t>
      </w:r>
      <w:bookmarkEnd w:id="39"/>
      <w:bookmarkEnd w:id="40"/>
      <w:bookmarkEnd w:id="41"/>
      <w:bookmarkEnd w:id="42"/>
      <w:bookmarkEnd w:id="43"/>
    </w:p>
    <w:p w14:paraId="52DD3413" w14:textId="1202F1C0" w:rsidR="00FA5F97" w:rsidRPr="00FA5F97" w:rsidRDefault="00FA5F97" w:rsidP="00992143">
      <w:pPr>
        <w:pStyle w:val="Heading2"/>
      </w:pPr>
      <w:bookmarkStart w:id="45" w:name="_Toc452539220"/>
      <w:bookmarkStart w:id="46" w:name="_Toc452539529"/>
      <w:bookmarkStart w:id="47" w:name="_Toc456622878"/>
      <w:bookmarkStart w:id="48" w:name="_Toc456692453"/>
      <w:bookmarkStart w:id="49" w:name="_Toc456693033"/>
      <w:r w:rsidRPr="00FA5F97">
        <w:t xml:space="preserve">Where formal action is to be taken, a fair, balanced and reasonable investigation is essential. </w:t>
      </w:r>
      <w:r w:rsidR="001E5C41">
        <w:t xml:space="preserve"> </w:t>
      </w:r>
      <w:r w:rsidRPr="00FA5F97">
        <w:t xml:space="preserve">The same person should not carry out the investigation and the disciplinary hearing or appeal hearing unless this is unavoidable. </w:t>
      </w:r>
      <w:r w:rsidR="00DD5441">
        <w:t>It is often best if the investigator is someone impartial who does not have day to day supervision of the individual.</w:t>
      </w:r>
      <w:r w:rsidR="001E5C41">
        <w:t xml:space="preserve"> </w:t>
      </w:r>
      <w:r w:rsidRPr="00FA5F97">
        <w:t>In cases involving harassment, bullying or discriminatory treatment, the personnel involved should have been given equal opportunities training.</w:t>
      </w:r>
      <w:bookmarkEnd w:id="45"/>
      <w:bookmarkEnd w:id="46"/>
      <w:bookmarkEnd w:id="47"/>
      <w:bookmarkEnd w:id="48"/>
      <w:bookmarkEnd w:id="49"/>
      <w:r w:rsidRPr="00FA5F97">
        <w:t xml:space="preserve"> </w:t>
      </w:r>
    </w:p>
    <w:p w14:paraId="6FE1E6AD" w14:textId="4CADE936" w:rsidR="002D3474" w:rsidRDefault="00FA5F97" w:rsidP="00743708">
      <w:pPr>
        <w:pStyle w:val="Heading2"/>
        <w:rPr>
          <w:rFonts w:eastAsia="Arial" w:cs="Times New Roman"/>
        </w:rPr>
      </w:pPr>
      <w:bookmarkStart w:id="50" w:name="_Toc452539221"/>
      <w:bookmarkStart w:id="51" w:name="_Toc452539530"/>
      <w:bookmarkStart w:id="52" w:name="_Toc456622879"/>
      <w:bookmarkStart w:id="53" w:name="_Toc456692454"/>
      <w:bookmarkStart w:id="54" w:name="_Toc456693034"/>
      <w:r w:rsidRPr="00FA5F97">
        <w:rPr>
          <w:rFonts w:eastAsia="Arial" w:cs="Times New Roman"/>
        </w:rPr>
        <w:t xml:space="preserve">If the disciplinary proceedings concern poor performance or capability, the investigation may simply be a review of the employee's appraisals and any discussions that have taken place between the line manager and employee plus details </w:t>
      </w:r>
      <w:r w:rsidRPr="00743708">
        <w:t>of</w:t>
      </w:r>
      <w:r w:rsidRPr="00FA5F97">
        <w:rPr>
          <w:rFonts w:eastAsia="Arial" w:cs="Times New Roman"/>
        </w:rPr>
        <w:t xml:space="preserve"> any further instances of poor performance. </w:t>
      </w:r>
      <w:r w:rsidR="001E5C41">
        <w:rPr>
          <w:rFonts w:eastAsia="Arial" w:cs="Times New Roman"/>
        </w:rPr>
        <w:t xml:space="preserve"> </w:t>
      </w:r>
      <w:r w:rsidR="002D3474">
        <w:rPr>
          <w:rFonts w:eastAsia="Arial" w:cs="Times New Roman"/>
        </w:rPr>
        <w:t>For further details on how on the capability process for poor performance please contact Clyde &amp; Co LLP for advice.</w:t>
      </w:r>
    </w:p>
    <w:p w14:paraId="0B23A2A9" w14:textId="3D61E6D9" w:rsidR="00FA5F97" w:rsidRPr="00FA5F97" w:rsidRDefault="00FA5F97" w:rsidP="00992143">
      <w:pPr>
        <w:pStyle w:val="Heading2"/>
      </w:pPr>
      <w:r w:rsidRPr="00FA5F97">
        <w:t>In cases of alleged misconduct, the LPC will usually need to interview witnesses including other employees and gather any other relevant evidence.</w:t>
      </w:r>
      <w:bookmarkEnd w:id="50"/>
      <w:bookmarkEnd w:id="51"/>
      <w:bookmarkEnd w:id="52"/>
      <w:bookmarkEnd w:id="53"/>
      <w:bookmarkEnd w:id="54"/>
      <w:r w:rsidRPr="00FA5F97">
        <w:t xml:space="preserve"> </w:t>
      </w:r>
    </w:p>
    <w:p w14:paraId="7123D421" w14:textId="7E4A5596" w:rsidR="00FA5F97" w:rsidRPr="00FA5F97" w:rsidRDefault="00FA5F97" w:rsidP="00992143">
      <w:pPr>
        <w:pStyle w:val="Heading2"/>
      </w:pPr>
      <w:bookmarkStart w:id="55" w:name="_Toc452539222"/>
      <w:bookmarkStart w:id="56" w:name="_Toc452539531"/>
      <w:bookmarkStart w:id="57" w:name="_Toc456622880"/>
      <w:bookmarkStart w:id="58" w:name="_Toc456692455"/>
      <w:bookmarkStart w:id="59" w:name="_Toc456693035"/>
      <w:r w:rsidRPr="00FA5F97">
        <w:t xml:space="preserve">The amount of investigation to be undertaken will depend on the individual circumstances of the case. </w:t>
      </w:r>
      <w:r w:rsidR="001E5C41">
        <w:t xml:space="preserve"> </w:t>
      </w:r>
      <w:r w:rsidRPr="00FA5F97">
        <w:t>In any event, such investigation must be sufficient to:</w:t>
      </w:r>
      <w:bookmarkEnd w:id="55"/>
      <w:bookmarkEnd w:id="56"/>
      <w:bookmarkEnd w:id="57"/>
      <w:bookmarkEnd w:id="58"/>
      <w:bookmarkEnd w:id="59"/>
    </w:p>
    <w:p w14:paraId="068DF2AC" w14:textId="47CF68A5" w:rsidR="00FA5F97" w:rsidRPr="00FA5F97" w:rsidRDefault="00FA5F97" w:rsidP="00992143">
      <w:pPr>
        <w:pStyle w:val="Heading4"/>
      </w:pPr>
      <w:r w:rsidRPr="00FA5F97">
        <w:t xml:space="preserve">enable the chair of any subsequent disciplinary hearing </w:t>
      </w:r>
      <w:r w:rsidR="003B02D3">
        <w:t xml:space="preserve">to understand whether there is a case to answer and </w:t>
      </w:r>
      <w:r w:rsidRPr="00FA5F97">
        <w:t xml:space="preserve">to form reasonable grounds for believing or disbelieving the allegations against the employee; and </w:t>
      </w:r>
    </w:p>
    <w:p w14:paraId="0EA36D8E" w14:textId="77777777" w:rsidR="00FA5F97" w:rsidRPr="00FA5F97" w:rsidRDefault="00FA5F97" w:rsidP="00992143">
      <w:pPr>
        <w:pStyle w:val="Heading4"/>
      </w:pPr>
      <w:r w:rsidRPr="00FA5F97">
        <w:t xml:space="preserve">enable the case to be put to the employee in a manner that makes it clear what is being alleged.  </w:t>
      </w:r>
    </w:p>
    <w:p w14:paraId="1F7D1B0B" w14:textId="77777777" w:rsidR="00857A5B" w:rsidRDefault="00FA5F97" w:rsidP="00857A5B">
      <w:pPr>
        <w:pStyle w:val="Heading2"/>
        <w:rPr>
          <w:rFonts w:eastAsia="Arial"/>
        </w:rPr>
      </w:pPr>
      <w:r w:rsidRPr="00FA5F97">
        <w:rPr>
          <w:rFonts w:eastAsia="Arial"/>
        </w:rPr>
        <w:t xml:space="preserve">The investigation must be </w:t>
      </w:r>
      <w:proofErr w:type="gramStart"/>
      <w:r w:rsidRPr="00FA5F97">
        <w:rPr>
          <w:rFonts w:eastAsia="Arial"/>
        </w:rPr>
        <w:t>even-handed, and</w:t>
      </w:r>
      <w:proofErr w:type="gramEnd"/>
      <w:r w:rsidRPr="00FA5F97">
        <w:rPr>
          <w:rFonts w:eastAsia="Arial"/>
        </w:rPr>
        <w:t xml:space="preserve"> should not simply be a search for evidence </w:t>
      </w:r>
      <w:r w:rsidRPr="00743708">
        <w:t>against</w:t>
      </w:r>
      <w:r w:rsidRPr="00FA5F97">
        <w:rPr>
          <w:rFonts w:eastAsia="Arial"/>
        </w:rPr>
        <w:t xml:space="preserve"> the employee. </w:t>
      </w:r>
      <w:r w:rsidR="001E5C41">
        <w:rPr>
          <w:rFonts w:eastAsia="Arial"/>
        </w:rPr>
        <w:t xml:space="preserve"> </w:t>
      </w:r>
      <w:r w:rsidRPr="00FA5F97">
        <w:rPr>
          <w:rFonts w:eastAsia="Arial"/>
        </w:rPr>
        <w:t>Evidence in the employee's favour must also be sought.</w:t>
      </w:r>
    </w:p>
    <w:p w14:paraId="7AA99906" w14:textId="3AEC8A29" w:rsidR="00FA5F97" w:rsidRPr="00857A5B" w:rsidRDefault="00FA5F97" w:rsidP="00857A5B">
      <w:pPr>
        <w:pStyle w:val="Heading2"/>
        <w:numPr>
          <w:ilvl w:val="0"/>
          <w:numId w:val="0"/>
        </w:numPr>
        <w:ind w:left="907"/>
        <w:rPr>
          <w:rFonts w:eastAsia="Arial"/>
          <w:b/>
          <w:bCs/>
        </w:rPr>
      </w:pPr>
      <w:r w:rsidRPr="00857A5B">
        <w:rPr>
          <w:b/>
          <w:bCs/>
        </w:rPr>
        <w:t>Investigatory meeting</w:t>
      </w:r>
    </w:p>
    <w:p w14:paraId="5760795C" w14:textId="1BC235C2" w:rsidR="00FA5F97" w:rsidRPr="00FA5F97" w:rsidRDefault="00FA5F97" w:rsidP="00743708">
      <w:pPr>
        <w:pStyle w:val="Heading2"/>
      </w:pPr>
      <w:bookmarkStart w:id="60" w:name="_Toc452539223"/>
      <w:bookmarkStart w:id="61" w:name="_Toc452539532"/>
      <w:bookmarkStart w:id="62" w:name="_Toc456622881"/>
      <w:bookmarkStart w:id="63" w:name="_Toc456692456"/>
      <w:bookmarkStart w:id="64" w:name="_Toc456693036"/>
      <w:r w:rsidRPr="00FA5F97">
        <w:t xml:space="preserve">An investigatory meeting with the employee will usually be necessary at an early stage. </w:t>
      </w:r>
      <w:r w:rsidR="00743708">
        <w:t xml:space="preserve"> </w:t>
      </w:r>
      <w:r w:rsidRPr="00FA5F97">
        <w:t xml:space="preserve">This is important because it is at this stage that a simple misunderstanding might be resolved without the need for a disciplinary hearing. </w:t>
      </w:r>
      <w:r w:rsidR="00743708">
        <w:t xml:space="preserve"> </w:t>
      </w:r>
      <w:r w:rsidRPr="00FA5F97">
        <w:t>In other cases, the employee under investigation may be able to direct the LPC to witnesses or documentary evidence that supports their case.</w:t>
      </w:r>
      <w:bookmarkEnd w:id="60"/>
      <w:bookmarkEnd w:id="61"/>
      <w:bookmarkEnd w:id="62"/>
      <w:bookmarkEnd w:id="63"/>
      <w:bookmarkEnd w:id="64"/>
      <w:r w:rsidRPr="00FA5F97">
        <w:t xml:space="preserve"> </w:t>
      </w:r>
    </w:p>
    <w:p w14:paraId="2B1C93C4" w14:textId="3587E988" w:rsidR="00FA5F97" w:rsidRPr="00FA5F97" w:rsidRDefault="00FA5F97" w:rsidP="00743708">
      <w:pPr>
        <w:pStyle w:val="Heading2"/>
      </w:pPr>
      <w:bookmarkStart w:id="65" w:name="_Toc452539224"/>
      <w:bookmarkStart w:id="66" w:name="_Toc452539533"/>
      <w:bookmarkStart w:id="67" w:name="_Toc456622882"/>
      <w:bookmarkStart w:id="68" w:name="_Toc456692457"/>
      <w:bookmarkStart w:id="69" w:name="_Toc456693037"/>
      <w:r w:rsidRPr="00FA5F97">
        <w:t xml:space="preserve">It is important that a distinction is drawn between an investigation and any subsequent disciplinary hearing. </w:t>
      </w:r>
      <w:r w:rsidR="00743708">
        <w:t xml:space="preserve"> </w:t>
      </w:r>
      <w:r w:rsidRPr="00FA5F97">
        <w:t xml:space="preserve">An investigatory meeting is not a disciplinary hearing, and this should be made clear to the employee. </w:t>
      </w:r>
      <w:r w:rsidR="00743708">
        <w:t xml:space="preserve"> </w:t>
      </w:r>
      <w:r w:rsidRPr="00FA5F97">
        <w:t>The employee has no statutory right to be accompanied at an investigatory meeting</w:t>
      </w:r>
      <w:r w:rsidR="00442F05">
        <w:t xml:space="preserve">. </w:t>
      </w:r>
      <w:r w:rsidR="00743708">
        <w:t xml:space="preserve"> </w:t>
      </w:r>
      <w:r w:rsidR="00442F05">
        <w:t xml:space="preserve">The Clyde &amp; Co recommended disciplinary procedure, set out in the Staff Handbook, confirms that employees do not </w:t>
      </w:r>
      <w:bookmarkEnd w:id="65"/>
      <w:bookmarkEnd w:id="66"/>
      <w:bookmarkEnd w:id="67"/>
      <w:bookmarkEnd w:id="68"/>
      <w:bookmarkEnd w:id="69"/>
      <w:r w:rsidR="00442F05">
        <w:t xml:space="preserve">have the right to be accompanied at an investigatory </w:t>
      </w:r>
      <w:r w:rsidR="00E63193">
        <w:t>meeting, but</w:t>
      </w:r>
      <w:r w:rsidR="00442F05">
        <w:t xml:space="preserve"> that permission may be granted to assist an employee with overcoming a disability or with any difficulty understanding English. </w:t>
      </w:r>
      <w:r w:rsidRPr="00FA5F97">
        <w:t xml:space="preserve"> </w:t>
      </w:r>
    </w:p>
    <w:p w14:paraId="025D9BC6" w14:textId="2D91CD5D" w:rsidR="00FA5F97" w:rsidRPr="00FA5F97" w:rsidRDefault="00FA5F97" w:rsidP="00743708">
      <w:pPr>
        <w:pStyle w:val="Heading2"/>
      </w:pPr>
      <w:bookmarkStart w:id="70" w:name="_Toc452539225"/>
      <w:bookmarkStart w:id="71" w:name="_Toc452539534"/>
      <w:bookmarkStart w:id="72" w:name="_Toc456622883"/>
      <w:bookmarkStart w:id="73" w:name="_Toc456692458"/>
      <w:bookmarkStart w:id="74" w:name="_Toc456693038"/>
      <w:r w:rsidRPr="00FA5F97">
        <w:t xml:space="preserve">Notes should be taken at all investigatory meetings, whether they are with the employee or with witnesses.  </w:t>
      </w:r>
      <w:r w:rsidR="00CB342B" w:rsidRPr="00CB342B">
        <w:t>Try to restrict the number of witnesses to those required to establish what is being alleged. However, do not only interview witnesses who can confirm the allegations, and be careful not to ignore obvious witnesses. The investigation must be fair and balanced, so ensure that any witnesses who may support the employee's version of events are also interviewed</w:t>
      </w:r>
      <w:r w:rsidR="00CB342B">
        <w:t xml:space="preserve">. </w:t>
      </w:r>
      <w:r w:rsidRPr="00FA5F97">
        <w:t xml:space="preserve">The meetings should be held in </w:t>
      </w:r>
      <w:proofErr w:type="gramStart"/>
      <w:r w:rsidRPr="00FA5F97">
        <w:t>private</w:t>
      </w:r>
      <w:proofErr w:type="gramEnd"/>
      <w:r w:rsidRPr="00FA5F97">
        <w:t xml:space="preserve"> and </w:t>
      </w:r>
      <w:r w:rsidR="00CB342B">
        <w:t xml:space="preserve">the employee and </w:t>
      </w:r>
      <w:r w:rsidRPr="00FA5F97">
        <w:t>witnesses should be reminded of their duty of confidentiality.</w:t>
      </w:r>
      <w:bookmarkEnd w:id="70"/>
      <w:bookmarkEnd w:id="71"/>
      <w:bookmarkEnd w:id="72"/>
      <w:bookmarkEnd w:id="73"/>
      <w:bookmarkEnd w:id="74"/>
    </w:p>
    <w:p w14:paraId="5C2DBF0A" w14:textId="2E58D804" w:rsidR="00FA5F97" w:rsidRPr="00FA5F97" w:rsidRDefault="00FA5F97" w:rsidP="00743708">
      <w:pPr>
        <w:pStyle w:val="Heading2"/>
      </w:pPr>
      <w:bookmarkStart w:id="75" w:name="_Toc452539226"/>
      <w:bookmarkStart w:id="76" w:name="_Toc452539535"/>
      <w:bookmarkStart w:id="77" w:name="_Toc456622884"/>
      <w:bookmarkStart w:id="78" w:name="_Toc456692459"/>
      <w:bookmarkStart w:id="79" w:name="_Toc456693039"/>
      <w:r w:rsidRPr="00FA5F97">
        <w:lastRenderedPageBreak/>
        <w:t xml:space="preserve">Once the investigation has been concluded, the LPC may decide that no further action is necessary. </w:t>
      </w:r>
      <w:r w:rsidR="001E5C41">
        <w:t xml:space="preserve"> </w:t>
      </w:r>
      <w:r w:rsidRPr="00FA5F97">
        <w:t xml:space="preserve">In such cases, it should inform the employee of this decision. However, if matters are to be taken further, there must first be a disciplinary hearing. The investigation alone is not a sufficient legal basis for dismissal or any other sanction. </w:t>
      </w:r>
      <w:r w:rsidR="00743708">
        <w:t xml:space="preserve"> </w:t>
      </w:r>
      <w:r w:rsidRPr="00FA5F97">
        <w:t xml:space="preserve">Furthermore, the LPC should ensure that there is a clear distinction between investigatory meetings and any disciplinary hearing. </w:t>
      </w:r>
      <w:r w:rsidR="00743708">
        <w:t xml:space="preserve"> </w:t>
      </w:r>
      <w:r w:rsidRPr="00FA5F97">
        <w:rPr>
          <w:b/>
        </w:rPr>
        <w:t>On no account should the LPC roll the two meetings into one.</w:t>
      </w:r>
      <w:bookmarkEnd w:id="75"/>
      <w:bookmarkEnd w:id="76"/>
      <w:bookmarkEnd w:id="77"/>
      <w:bookmarkEnd w:id="78"/>
      <w:bookmarkEnd w:id="79"/>
    </w:p>
    <w:p w14:paraId="6206C0BE" w14:textId="77777777" w:rsidR="00FA5F97" w:rsidRPr="00FA5F97" w:rsidRDefault="00FA5F97" w:rsidP="00743708">
      <w:pPr>
        <w:pStyle w:val="Heading1Bold"/>
      </w:pPr>
      <w:bookmarkStart w:id="80" w:name="_Toc452539227"/>
      <w:bookmarkStart w:id="81" w:name="_Toc452539536"/>
      <w:bookmarkStart w:id="82" w:name="_Toc456622885"/>
      <w:bookmarkStart w:id="83" w:name="_Toc456692460"/>
      <w:bookmarkStart w:id="84" w:name="_Toc456693040"/>
      <w:bookmarkEnd w:id="44"/>
      <w:r w:rsidRPr="00FA5F97">
        <w:t>Suspension</w:t>
      </w:r>
      <w:bookmarkEnd w:id="80"/>
      <w:bookmarkEnd w:id="81"/>
      <w:bookmarkEnd w:id="82"/>
      <w:bookmarkEnd w:id="83"/>
      <w:bookmarkEnd w:id="84"/>
    </w:p>
    <w:p w14:paraId="381D2F43" w14:textId="77777777" w:rsidR="00FA5F97" w:rsidRPr="00FA5F97" w:rsidRDefault="00FA5F97" w:rsidP="00743708">
      <w:pPr>
        <w:pStyle w:val="Heading2"/>
      </w:pPr>
      <w:bookmarkStart w:id="85" w:name="_Toc452539228"/>
      <w:bookmarkStart w:id="86" w:name="_Toc452539537"/>
      <w:bookmarkStart w:id="87" w:name="_Toc456622886"/>
      <w:bookmarkStart w:id="88" w:name="_Toc456692461"/>
      <w:bookmarkStart w:id="89" w:name="_Toc456693041"/>
      <w:r w:rsidRPr="00FA5F97">
        <w:t>In some instances, the LPC may wish to suspend an employee who is being investigated.  This will normally only be appropriate:</w:t>
      </w:r>
      <w:bookmarkEnd w:id="85"/>
      <w:bookmarkEnd w:id="86"/>
      <w:bookmarkEnd w:id="87"/>
      <w:bookmarkEnd w:id="88"/>
      <w:bookmarkEnd w:id="89"/>
      <w:r w:rsidRPr="00FA5F97">
        <w:t xml:space="preserve"> </w:t>
      </w:r>
    </w:p>
    <w:p w14:paraId="52AAE8F1" w14:textId="77777777" w:rsidR="00FA5F97" w:rsidRPr="00FA5F97" w:rsidRDefault="00FA5F97" w:rsidP="00743708">
      <w:pPr>
        <w:pStyle w:val="Heading4"/>
      </w:pPr>
      <w:r w:rsidRPr="00FA5F97">
        <w:t>in cases of serious misconduct or incompetence;</w:t>
      </w:r>
    </w:p>
    <w:p w14:paraId="01B749F5" w14:textId="77777777" w:rsidR="00FA5F97" w:rsidRPr="00FA5F97" w:rsidRDefault="00FA5F97" w:rsidP="00743708">
      <w:pPr>
        <w:pStyle w:val="Heading4"/>
      </w:pPr>
      <w:r w:rsidRPr="00FA5F97">
        <w:t xml:space="preserve">where the employee's continued presence in the workplace would render an investigation impossible; or </w:t>
      </w:r>
    </w:p>
    <w:p w14:paraId="6F9CFEC3" w14:textId="77777777" w:rsidR="00FA5F97" w:rsidRPr="00FA5F97" w:rsidRDefault="00FA5F97" w:rsidP="00743708">
      <w:pPr>
        <w:pStyle w:val="Heading4"/>
      </w:pPr>
      <w:r w:rsidRPr="00FA5F97">
        <w:t xml:space="preserve">where working relations have broken down and there is no other way of avoiding conflict while the matter is resolved.  </w:t>
      </w:r>
    </w:p>
    <w:p w14:paraId="74E678F9" w14:textId="16D79146" w:rsidR="00FA5F97" w:rsidRPr="00FA5F97" w:rsidRDefault="00FA5F97" w:rsidP="00743708">
      <w:pPr>
        <w:pStyle w:val="Heading2"/>
        <w:rPr>
          <w:rFonts w:eastAsia="Arial"/>
        </w:rPr>
      </w:pPr>
      <w:r w:rsidRPr="00FA5F97">
        <w:rPr>
          <w:rFonts w:eastAsia="Arial"/>
        </w:rPr>
        <w:t xml:space="preserve">The LPC must be satisfied that it has reasonable grounds for the suspension to avoid </w:t>
      </w:r>
      <w:r w:rsidRPr="00743708">
        <w:t>breaching</w:t>
      </w:r>
      <w:r w:rsidRPr="00FA5F97">
        <w:rPr>
          <w:rFonts w:eastAsia="Arial"/>
        </w:rPr>
        <w:t xml:space="preserve"> the implied term of mutual trust and confidence. </w:t>
      </w:r>
      <w:r w:rsidR="00743708">
        <w:rPr>
          <w:rFonts w:eastAsia="Arial"/>
        </w:rPr>
        <w:t xml:space="preserve"> </w:t>
      </w:r>
      <w:r w:rsidRPr="00FA5F97">
        <w:rPr>
          <w:rFonts w:eastAsia="Arial"/>
        </w:rPr>
        <w:t>Consideration should be had as to whether placing the employee in another area would be sufficient while the investigation is carried out.</w:t>
      </w:r>
    </w:p>
    <w:p w14:paraId="48BBDC39" w14:textId="2163EA78" w:rsidR="00FA5F97" w:rsidRPr="00FA5F97" w:rsidRDefault="00FA5F97" w:rsidP="00743708">
      <w:pPr>
        <w:pStyle w:val="Heading2"/>
      </w:pPr>
      <w:bookmarkStart w:id="90" w:name="_Toc452539229"/>
      <w:bookmarkStart w:id="91" w:name="_Toc452539538"/>
      <w:bookmarkStart w:id="92" w:name="_Toc456622887"/>
      <w:bookmarkStart w:id="93" w:name="_Toc456692462"/>
      <w:bookmarkStart w:id="94" w:name="_Toc456693042"/>
      <w:r w:rsidRPr="00FA5F97">
        <w:t xml:space="preserve">If the LPC decides to suspend an employee, that employee should remain on full pay throughout the suspension. </w:t>
      </w:r>
      <w:r w:rsidR="00743708">
        <w:t xml:space="preserve"> </w:t>
      </w:r>
      <w:r w:rsidRPr="00FA5F97">
        <w:t xml:space="preserve">The suspension should be kept as brief as possible and should be kept under review. </w:t>
      </w:r>
      <w:r w:rsidR="001E5C41">
        <w:t xml:space="preserve"> </w:t>
      </w:r>
      <w:r w:rsidRPr="00FA5F97">
        <w:t>Investigations should be carried out as quickly as possible and the decision to suspend should be reviewed regularly, particularly if new evidence comes to light disposing of any allegations for which the employee was suspended in the first place.</w:t>
      </w:r>
    </w:p>
    <w:p w14:paraId="69FC429B" w14:textId="77777777" w:rsidR="00FA5F97" w:rsidRPr="00FA5F97" w:rsidRDefault="00FA5F97" w:rsidP="00743708">
      <w:pPr>
        <w:pStyle w:val="Heading2"/>
      </w:pPr>
      <w:r w:rsidRPr="00FA5F97">
        <w:t>The LPC should make it clear that the suspension is not, in itself, a form of disciplinary action and should take a neutral line in the event that colleagues, contracting pharmacies or third parties enquire as to the whereabouts of the employee.</w:t>
      </w:r>
      <w:bookmarkEnd w:id="90"/>
      <w:bookmarkEnd w:id="91"/>
      <w:bookmarkEnd w:id="92"/>
      <w:bookmarkEnd w:id="93"/>
      <w:bookmarkEnd w:id="94"/>
    </w:p>
    <w:p w14:paraId="09B23723" w14:textId="2F1584CA" w:rsidR="00FA5F97" w:rsidRPr="00513EF1" w:rsidRDefault="00FA5F97" w:rsidP="00743708">
      <w:pPr>
        <w:pStyle w:val="Heading2"/>
      </w:pPr>
      <w:bookmarkStart w:id="95" w:name="_Toc452539230"/>
      <w:bookmarkStart w:id="96" w:name="_Toc452539539"/>
      <w:bookmarkStart w:id="97" w:name="_Toc456622888"/>
      <w:bookmarkStart w:id="98" w:name="_Toc456692463"/>
      <w:bookmarkStart w:id="99" w:name="_Toc456693043"/>
      <w:r w:rsidRPr="00FA5F97">
        <w:t>A formal letter confirming the terms of the suspension (and a point of contact in the LPC for the employee) should be sent to the employee.</w:t>
      </w:r>
      <w:bookmarkEnd w:id="95"/>
      <w:bookmarkEnd w:id="96"/>
      <w:bookmarkEnd w:id="97"/>
      <w:bookmarkEnd w:id="98"/>
      <w:bookmarkEnd w:id="99"/>
      <w:r w:rsidRPr="00FA5F97">
        <w:t xml:space="preserve">  </w:t>
      </w:r>
      <w:bookmarkStart w:id="100" w:name="_Hlk111474346"/>
    </w:p>
    <w:p w14:paraId="713D1095" w14:textId="679405CF" w:rsidR="00513EF1" w:rsidRPr="00FA5F97" w:rsidRDefault="00513EF1" w:rsidP="00743708">
      <w:pPr>
        <w:pStyle w:val="Heading1Bold"/>
        <w:rPr>
          <w:rFonts w:eastAsia="Arial"/>
        </w:rPr>
      </w:pPr>
      <w:bookmarkStart w:id="101" w:name="_Toc452539233"/>
      <w:bookmarkStart w:id="102" w:name="_Toc452539542"/>
      <w:bookmarkStart w:id="103" w:name="_Toc456622891"/>
      <w:bookmarkStart w:id="104" w:name="_Toc456692466"/>
      <w:bookmarkStart w:id="105" w:name="_Toc456693046"/>
      <w:bookmarkEnd w:id="100"/>
      <w:r w:rsidRPr="00513EF1">
        <w:t xml:space="preserve">Witnesses who wish to remain </w:t>
      </w:r>
      <w:proofErr w:type="gramStart"/>
      <w:r w:rsidRPr="00513EF1">
        <w:t>anonymous</w:t>
      </w:r>
      <w:proofErr w:type="gramEnd"/>
      <w:r w:rsidRPr="00513EF1">
        <w:rPr>
          <w:rFonts w:eastAsia="Arial"/>
          <w:sz w:val="28"/>
          <w:szCs w:val="24"/>
        </w:rPr>
        <w:t xml:space="preserve"> </w:t>
      </w:r>
    </w:p>
    <w:p w14:paraId="7201DD3D" w14:textId="60AD77DE" w:rsidR="00513EF1" w:rsidRPr="00FA5F97" w:rsidRDefault="00513EF1" w:rsidP="00743708">
      <w:pPr>
        <w:pStyle w:val="Heading2"/>
      </w:pPr>
      <w:bookmarkStart w:id="106" w:name="_Toc452539231"/>
      <w:bookmarkStart w:id="107" w:name="_Toc452539540"/>
      <w:bookmarkStart w:id="108" w:name="_Toc456622889"/>
      <w:bookmarkStart w:id="109" w:name="_Toc456692464"/>
      <w:bookmarkStart w:id="110" w:name="_Toc456693044"/>
      <w:r w:rsidRPr="00FA5F97">
        <w:t xml:space="preserve">If a witness asks to remain anonymous the LPC should explore the reason for this request and any underlying motive. </w:t>
      </w:r>
      <w:r w:rsidR="00743708">
        <w:t xml:space="preserve"> </w:t>
      </w:r>
      <w:r w:rsidRPr="00FA5F97">
        <w:t>The witness's perceived need for anonymity should be balanced against the employee's need to know details of the evidence for and against them.</w:t>
      </w:r>
      <w:bookmarkEnd w:id="106"/>
      <w:bookmarkEnd w:id="107"/>
      <w:bookmarkEnd w:id="108"/>
      <w:bookmarkEnd w:id="109"/>
      <w:bookmarkEnd w:id="110"/>
      <w:r w:rsidRPr="00FA5F97">
        <w:t xml:space="preserve"> </w:t>
      </w:r>
    </w:p>
    <w:p w14:paraId="5FDB0AE0" w14:textId="1126CF58" w:rsidR="00513EF1" w:rsidRPr="00513EF1" w:rsidRDefault="00513EF1" w:rsidP="00743708">
      <w:pPr>
        <w:pStyle w:val="Heading2"/>
      </w:pPr>
      <w:bookmarkStart w:id="111" w:name="_Toc452539232"/>
      <w:bookmarkStart w:id="112" w:name="_Toc452539541"/>
      <w:bookmarkStart w:id="113" w:name="_Toc456622890"/>
      <w:bookmarkStart w:id="114" w:name="_Toc456692465"/>
      <w:bookmarkStart w:id="115" w:name="_Toc456693045"/>
      <w:r w:rsidRPr="00FA5F97">
        <w:t xml:space="preserve">Consider taking steps to protect the witness's identity, such as editing their statement to remove their name and any other information that may identify them. </w:t>
      </w:r>
      <w:r w:rsidR="00743708">
        <w:t xml:space="preserve"> </w:t>
      </w:r>
      <w:r w:rsidRPr="00FA5F97">
        <w:t xml:space="preserve">The key issue is that the employee must know the case they have to answer. </w:t>
      </w:r>
      <w:r w:rsidR="001E5C41">
        <w:t xml:space="preserve"> </w:t>
      </w:r>
      <w:r w:rsidRPr="00FA5F97">
        <w:t>If necessary, please contact Clyde &amp; Co LLP for advice on this point before progressing.</w:t>
      </w:r>
      <w:bookmarkEnd w:id="111"/>
      <w:bookmarkEnd w:id="112"/>
      <w:bookmarkEnd w:id="113"/>
      <w:bookmarkEnd w:id="114"/>
      <w:bookmarkEnd w:id="115"/>
      <w:r w:rsidRPr="00FA5F97">
        <w:t xml:space="preserve"> </w:t>
      </w:r>
    </w:p>
    <w:p w14:paraId="77F4BA03" w14:textId="04CDA261" w:rsidR="00FA5F97" w:rsidRPr="00FA5F97" w:rsidRDefault="00FA5F97" w:rsidP="00743708">
      <w:pPr>
        <w:pStyle w:val="Heading1Bold"/>
      </w:pPr>
      <w:r w:rsidRPr="00FA5F97">
        <w:t xml:space="preserve">Request to attend disciplinary </w:t>
      </w:r>
      <w:proofErr w:type="gramStart"/>
      <w:r w:rsidRPr="00FA5F97">
        <w:t>meeting</w:t>
      </w:r>
      <w:bookmarkEnd w:id="101"/>
      <w:bookmarkEnd w:id="102"/>
      <w:bookmarkEnd w:id="103"/>
      <w:bookmarkEnd w:id="104"/>
      <w:bookmarkEnd w:id="105"/>
      <w:proofErr w:type="gramEnd"/>
    </w:p>
    <w:p w14:paraId="02910931" w14:textId="77777777" w:rsidR="00FA5F97" w:rsidRPr="00FA5F97" w:rsidRDefault="00FA5F97" w:rsidP="00743708">
      <w:pPr>
        <w:pStyle w:val="Heading2"/>
      </w:pPr>
      <w:bookmarkStart w:id="116" w:name="_Toc452539234"/>
      <w:bookmarkStart w:id="117" w:name="_Toc452539543"/>
      <w:bookmarkStart w:id="118" w:name="_Toc456622892"/>
      <w:bookmarkStart w:id="119" w:name="_Toc456692467"/>
      <w:bookmarkStart w:id="120" w:name="_Toc456693047"/>
      <w:r w:rsidRPr="00FA5F97">
        <w:t xml:space="preserve">Following the investigation, if there are sufficient grounds on which to hold a disciplinary hearing, a letter must be sent to the employee dealing with the following </w:t>
      </w:r>
      <w:bookmarkStart w:id="121" w:name="_Hlk111474593"/>
      <w:r w:rsidRPr="00FA5F97">
        <w:t>points:</w:t>
      </w:r>
      <w:bookmarkEnd w:id="116"/>
      <w:bookmarkEnd w:id="117"/>
      <w:bookmarkEnd w:id="118"/>
      <w:bookmarkEnd w:id="119"/>
      <w:bookmarkEnd w:id="120"/>
    </w:p>
    <w:p w14:paraId="111A5945" w14:textId="0FC9B6B0" w:rsidR="00FA5F97" w:rsidRPr="00FA5F97" w:rsidRDefault="00FA5F97" w:rsidP="00743708">
      <w:pPr>
        <w:pStyle w:val="Heading4"/>
      </w:pPr>
      <w:r w:rsidRPr="00FA5F97">
        <w:lastRenderedPageBreak/>
        <w:t xml:space="preserve">set out details of each allegation and the basis for them. </w:t>
      </w:r>
      <w:r w:rsidR="00743708">
        <w:t xml:space="preserve"> </w:t>
      </w:r>
      <w:r w:rsidRPr="00FA5F97">
        <w:t>The LPC must include sufficient information about the allegation/s and their possible consequences to enable the employee to prepare for the hearing;</w:t>
      </w:r>
    </w:p>
    <w:p w14:paraId="3ADF75F3" w14:textId="18ED1CF7" w:rsidR="00FA5F97" w:rsidRPr="00FA5F97" w:rsidRDefault="00FA5F97" w:rsidP="00743708">
      <w:pPr>
        <w:pStyle w:val="Heading4"/>
      </w:pPr>
      <w:r w:rsidRPr="00FA5F97">
        <w:t xml:space="preserve">enclose copies of all evidence upon which the LPC intends to rely at the disciplinary hearing. </w:t>
      </w:r>
      <w:r w:rsidR="00743708">
        <w:t xml:space="preserve"> </w:t>
      </w:r>
      <w:r w:rsidRPr="00FA5F97">
        <w:t xml:space="preserve">Copies should include witness statements or other documents. </w:t>
      </w:r>
      <w:r w:rsidR="00743708">
        <w:t xml:space="preserve"> </w:t>
      </w:r>
      <w:r w:rsidRPr="00FA5F97">
        <w:t xml:space="preserve">State whether the LPC intends to call witnesses to the meeting or simply rely upon their written statements. </w:t>
      </w:r>
      <w:r w:rsidR="00743708">
        <w:t xml:space="preserve"> </w:t>
      </w:r>
      <w:r w:rsidRPr="00FA5F97">
        <w:t xml:space="preserve">The employee should also be asked if they wish to submit relevant evidence or call relevant witnesses to the hearing. </w:t>
      </w:r>
      <w:r w:rsidR="00743708">
        <w:t xml:space="preserve"> </w:t>
      </w:r>
      <w:r w:rsidRPr="00FA5F97">
        <w:t xml:space="preserve">The </w:t>
      </w:r>
      <w:proofErr w:type="spellStart"/>
      <w:r w:rsidRPr="00FA5F97">
        <w:t>Acas</w:t>
      </w:r>
      <w:proofErr w:type="spellEnd"/>
      <w:r w:rsidRPr="00FA5F97">
        <w:t xml:space="preserve"> Code provides that employees should be given a reasonable opportunity to call relevant witnesses. </w:t>
      </w:r>
      <w:r w:rsidR="00743708">
        <w:t xml:space="preserve"> </w:t>
      </w:r>
      <w:r w:rsidRPr="00FA5F97">
        <w:t xml:space="preserve">However, care should be taken to avoid an open invitation to call any witnesses. </w:t>
      </w:r>
      <w:r w:rsidR="001E5C41">
        <w:t xml:space="preserve"> </w:t>
      </w:r>
      <w:r w:rsidRPr="00FA5F97">
        <w:t xml:space="preserve">It may be appropriate to merely ask if the employee 'wishes to submit any evidence' without making specific reference to calling witnesses; </w:t>
      </w:r>
    </w:p>
    <w:p w14:paraId="29BCB981" w14:textId="51DF68E2" w:rsidR="00FA5F97" w:rsidRDefault="00FA5F97" w:rsidP="00743708">
      <w:pPr>
        <w:pStyle w:val="Heading4"/>
      </w:pPr>
      <w:r w:rsidRPr="00FA5F97">
        <w:t>inform the employee of the time and place of the disciplinary hearing</w:t>
      </w:r>
      <w:r w:rsidR="00CB342B">
        <w:t>, which should be reasonable</w:t>
      </w:r>
      <w:r w:rsidRPr="00FA5F97">
        <w:t>;</w:t>
      </w:r>
    </w:p>
    <w:p w14:paraId="02C7947A" w14:textId="4F5F66A5" w:rsidR="00CB342B" w:rsidRPr="00FA5F97" w:rsidRDefault="00CB342B" w:rsidP="00743708">
      <w:pPr>
        <w:pStyle w:val="Heading4"/>
      </w:pPr>
      <w:r>
        <w:t>outline other arrangement</w:t>
      </w:r>
      <w:r w:rsidR="00BB4851">
        <w:t>s</w:t>
      </w:r>
      <w:r>
        <w:t xml:space="preserve"> for the hearing, such as details of any individuals who may attend the hearing and their respective </w:t>
      </w:r>
      <w:proofErr w:type="gramStart"/>
      <w:r>
        <w:t>roles;</w:t>
      </w:r>
      <w:proofErr w:type="gramEnd"/>
    </w:p>
    <w:p w14:paraId="4825559E" w14:textId="77777777" w:rsidR="00FA5F97" w:rsidRPr="00FA5F97" w:rsidRDefault="00FA5F97" w:rsidP="00743708">
      <w:pPr>
        <w:pStyle w:val="Heading4"/>
      </w:pPr>
      <w:r w:rsidRPr="00FA5F97">
        <w:t>make it clear that the employee has the right to be accompanied to the hearing by a trade union representative or a colleague;</w:t>
      </w:r>
    </w:p>
    <w:p w14:paraId="5B525A60" w14:textId="77777777" w:rsidR="00FA5F97" w:rsidRPr="00FA5F97" w:rsidRDefault="00FA5F97" w:rsidP="00743708">
      <w:pPr>
        <w:pStyle w:val="Heading4"/>
      </w:pPr>
      <w:r w:rsidRPr="00FA5F97">
        <w:t>enquire as to whether the employee has any disability or other special requirements for which reasonable adjustments may need to be made;</w:t>
      </w:r>
    </w:p>
    <w:p w14:paraId="0161F5C3" w14:textId="77777777" w:rsidR="00FA5F97" w:rsidRPr="00FA5F97" w:rsidRDefault="00FA5F97" w:rsidP="00743708">
      <w:pPr>
        <w:pStyle w:val="Heading4"/>
      </w:pPr>
      <w:r w:rsidRPr="00FA5F97">
        <w:t>if one consequence of any misconduct may be dismissal, this must be made clear; and</w:t>
      </w:r>
    </w:p>
    <w:p w14:paraId="261DE7FF" w14:textId="33EF62AC" w:rsidR="00FA5F97" w:rsidRPr="00FA5F97" w:rsidRDefault="00FA5F97" w:rsidP="00743708">
      <w:pPr>
        <w:pStyle w:val="Heading4"/>
      </w:pPr>
      <w:r w:rsidRPr="00FA5F97">
        <w:t>if the employee has not already been given a copy of the LPC’s disciplinary procedure</w:t>
      </w:r>
      <w:r w:rsidR="00A320C0">
        <w:t xml:space="preserve"> (set out in the Staff Handbook)</w:t>
      </w:r>
      <w:r w:rsidRPr="00FA5F97">
        <w:t>, this should be enclosed with the letter.</w:t>
      </w:r>
    </w:p>
    <w:p w14:paraId="6459F747" w14:textId="77777777" w:rsidR="00FA5F97" w:rsidRPr="00FA5F97" w:rsidRDefault="00FA5F97" w:rsidP="00743708">
      <w:pPr>
        <w:pStyle w:val="Heading1Bold"/>
      </w:pPr>
      <w:bookmarkStart w:id="122" w:name="_Toc452539235"/>
      <w:bookmarkStart w:id="123" w:name="_Toc452539544"/>
      <w:bookmarkStart w:id="124" w:name="_Toc456622893"/>
      <w:bookmarkStart w:id="125" w:name="_Toc456692468"/>
      <w:bookmarkStart w:id="126" w:name="_Toc456693048"/>
      <w:bookmarkEnd w:id="121"/>
      <w:r w:rsidRPr="00FA5F97">
        <w:t>Disciplinary hearing</w:t>
      </w:r>
      <w:bookmarkEnd w:id="122"/>
      <w:bookmarkEnd w:id="123"/>
      <w:bookmarkEnd w:id="124"/>
      <w:bookmarkEnd w:id="125"/>
      <w:bookmarkEnd w:id="126"/>
    </w:p>
    <w:p w14:paraId="6A705BBC" w14:textId="34D4364A" w:rsidR="00FA5F97" w:rsidRPr="00FA5F97" w:rsidRDefault="00FA5F97" w:rsidP="00743708">
      <w:pPr>
        <w:pStyle w:val="Heading2"/>
      </w:pPr>
      <w:bookmarkStart w:id="127" w:name="_Toc452539236"/>
      <w:bookmarkStart w:id="128" w:name="_Toc452539545"/>
      <w:bookmarkStart w:id="129" w:name="_Toc456622894"/>
      <w:bookmarkStart w:id="130" w:name="_Toc456692469"/>
      <w:bookmarkStart w:id="131" w:name="_Toc456693049"/>
      <w:r w:rsidRPr="00FA5F97">
        <w:t xml:space="preserve">The disciplinary hearing should be held at a reasonable time and place, in a private meeting room during the employee's normal working hours. </w:t>
      </w:r>
      <w:r w:rsidR="00CB342B">
        <w:t>W</w:t>
      </w:r>
      <w:r w:rsidR="00CB342B" w:rsidRPr="00CB342B">
        <w:t>here the employee works remotely, it may be reasonable for the hearing to be conducted remote</w:t>
      </w:r>
      <w:r w:rsidR="00CB342B">
        <w:t>ly.</w:t>
      </w:r>
      <w:r w:rsidR="000E094F">
        <w:t xml:space="preserve"> </w:t>
      </w:r>
      <w:r w:rsidRPr="00FA5F97">
        <w:t xml:space="preserve">Sufficient time should be allowed between sending the letter and the meeting itself to enable the employee to consider the allegations and the evidence enclosed with the letter, and to prepare their case for the hearing.  The length of this period will depend on the nature of the allegations and the complexity of the case but in most cases a period of three to five working days will be appropriate. </w:t>
      </w:r>
      <w:r w:rsidR="001E5C41">
        <w:t xml:space="preserve"> </w:t>
      </w:r>
      <w:r w:rsidRPr="00FA5F97">
        <w:t>Reasons for any further delay should be explained to the employee.</w:t>
      </w:r>
      <w:bookmarkEnd w:id="127"/>
      <w:bookmarkEnd w:id="128"/>
      <w:bookmarkEnd w:id="129"/>
      <w:bookmarkEnd w:id="130"/>
      <w:bookmarkEnd w:id="131"/>
    </w:p>
    <w:p w14:paraId="3922C206" w14:textId="77777777" w:rsidR="00857A5B" w:rsidRDefault="00FA5F97" w:rsidP="00857A5B">
      <w:pPr>
        <w:pStyle w:val="Heading2"/>
      </w:pPr>
      <w:bookmarkStart w:id="132" w:name="_Toc452539237"/>
      <w:bookmarkStart w:id="133" w:name="_Toc452539546"/>
      <w:bookmarkStart w:id="134" w:name="_Toc456622895"/>
      <w:bookmarkStart w:id="135" w:name="_Toc456692470"/>
      <w:bookmarkStart w:id="136" w:name="_Toc456693050"/>
      <w:r w:rsidRPr="00FA5F97">
        <w:t xml:space="preserve">The disciplinary hearing should be conducted by either a single manager or by a panel with one individual appointed as the chair. </w:t>
      </w:r>
      <w:r w:rsidR="00743708">
        <w:t xml:space="preserve"> </w:t>
      </w:r>
      <w:r w:rsidRPr="00FA5F97">
        <w:t xml:space="preserve">The chair should not have been involved in the investigation either as an investigator or witness.  Bear in mind also that someone else within the organisation, preferably someone more senior, may be required to hold a subsequent appeal hearing.  It is also sensible to have a further individual present to act in an advisory HR capacity and to take notes of the hearing. The notes should be typed up and provided to the employee for agreement following the disciplinary hearing. </w:t>
      </w:r>
      <w:r w:rsidR="001E5C41">
        <w:t xml:space="preserve"> </w:t>
      </w:r>
      <w:r w:rsidRPr="00FA5F97">
        <w:t>In the event of a dispute over their content, attach a copy of the employee's comments to the note.</w:t>
      </w:r>
      <w:bookmarkEnd w:id="132"/>
      <w:bookmarkEnd w:id="133"/>
      <w:bookmarkEnd w:id="134"/>
      <w:bookmarkEnd w:id="135"/>
      <w:bookmarkEnd w:id="136"/>
    </w:p>
    <w:p w14:paraId="7C79F7E8" w14:textId="3DA68AAC" w:rsidR="00FA5F97" w:rsidRPr="00857A5B" w:rsidRDefault="00FA5F97" w:rsidP="00857A5B">
      <w:pPr>
        <w:pStyle w:val="Heading2"/>
        <w:numPr>
          <w:ilvl w:val="0"/>
          <w:numId w:val="0"/>
        </w:numPr>
        <w:ind w:left="907"/>
        <w:rPr>
          <w:b/>
          <w:bCs/>
        </w:rPr>
      </w:pPr>
      <w:r w:rsidRPr="00857A5B">
        <w:rPr>
          <w:b/>
          <w:bCs/>
        </w:rPr>
        <w:t xml:space="preserve">Postponement or failure to attend </w:t>
      </w:r>
      <w:proofErr w:type="gramStart"/>
      <w:r w:rsidRPr="00857A5B">
        <w:rPr>
          <w:b/>
          <w:bCs/>
        </w:rPr>
        <w:t>hearing</w:t>
      </w:r>
      <w:proofErr w:type="gramEnd"/>
    </w:p>
    <w:p w14:paraId="6E2878E3" w14:textId="77777777" w:rsidR="00FA5F97" w:rsidRPr="00FA5F97" w:rsidRDefault="00FA5F97" w:rsidP="00743708">
      <w:pPr>
        <w:pStyle w:val="Heading2"/>
      </w:pPr>
      <w:bookmarkStart w:id="137" w:name="_Toc452539238"/>
      <w:bookmarkStart w:id="138" w:name="_Toc452539547"/>
      <w:bookmarkStart w:id="139" w:name="_Toc456622896"/>
      <w:bookmarkStart w:id="140" w:name="_Toc456692471"/>
      <w:bookmarkStart w:id="141" w:name="_Toc456693051"/>
      <w:r w:rsidRPr="00FA5F97">
        <w:lastRenderedPageBreak/>
        <w:t xml:space="preserve">If an employee fails to attend a disciplinary hearing through unforeseen circumstances such as </w:t>
      </w:r>
      <w:proofErr w:type="gramStart"/>
      <w:r w:rsidRPr="00FA5F97">
        <w:t>illness, or</w:t>
      </w:r>
      <w:proofErr w:type="gramEnd"/>
      <w:r w:rsidRPr="00FA5F97">
        <w:t xml:space="preserve"> wishes to adjourn due to their own or their companion's unavailability, a further meeting should be arranged within a reasonable timescale.</w:t>
      </w:r>
      <w:bookmarkEnd w:id="137"/>
      <w:bookmarkEnd w:id="138"/>
      <w:bookmarkEnd w:id="139"/>
      <w:bookmarkEnd w:id="140"/>
      <w:bookmarkEnd w:id="141"/>
    </w:p>
    <w:p w14:paraId="63D46401" w14:textId="020CBF5C" w:rsidR="00857A5B" w:rsidRDefault="00FA5F97" w:rsidP="00857A5B">
      <w:pPr>
        <w:pStyle w:val="Heading2"/>
      </w:pPr>
      <w:bookmarkStart w:id="142" w:name="_Toc452539239"/>
      <w:bookmarkStart w:id="143" w:name="_Toc452539548"/>
      <w:bookmarkStart w:id="144" w:name="_Toc456622897"/>
      <w:bookmarkStart w:id="145" w:name="_Toc456692472"/>
      <w:bookmarkStart w:id="146" w:name="_Toc456693052"/>
      <w:r w:rsidRPr="00FA5F97">
        <w:t xml:space="preserve">If the employee persistently seeks to postpone the meeting or simply fails to attend without good </w:t>
      </w:r>
      <w:proofErr w:type="gramStart"/>
      <w:r w:rsidRPr="00FA5F97">
        <w:t>reason</w:t>
      </w:r>
      <w:proofErr w:type="gramEnd"/>
      <w:r w:rsidRPr="00FA5F97">
        <w:t xml:space="preserve"> then it may be possible to reach a decision in the employee's absence. </w:t>
      </w:r>
      <w:r w:rsidR="00743708">
        <w:t xml:space="preserve"> </w:t>
      </w:r>
      <w:r w:rsidRPr="00FA5F97">
        <w:t>However, this should be avoided, if at all possible, particularly if dismissal is a likely outcome.</w:t>
      </w:r>
      <w:bookmarkEnd w:id="142"/>
      <w:bookmarkEnd w:id="143"/>
      <w:bookmarkEnd w:id="144"/>
      <w:bookmarkEnd w:id="145"/>
      <w:bookmarkEnd w:id="146"/>
      <w:r w:rsidRPr="00FA5F97">
        <w:t xml:space="preserve">  </w:t>
      </w:r>
      <w:bookmarkStart w:id="147" w:name="_Toc452539240"/>
      <w:bookmarkStart w:id="148" w:name="_Toc452539549"/>
      <w:bookmarkStart w:id="149" w:name="_Toc456622898"/>
      <w:bookmarkStart w:id="150" w:name="_Toc456692473"/>
      <w:bookmarkStart w:id="151" w:name="_Toc456693053"/>
      <w:r w:rsidR="00CB342B" w:rsidRPr="00CB342B">
        <w:t xml:space="preserve">We advise that the LPC seeks further legal advice from Clyde &amp; Co LLP before </w:t>
      </w:r>
      <w:r w:rsidR="00CB342B">
        <w:t>proceeding in the employee’s absence.</w:t>
      </w:r>
    </w:p>
    <w:p w14:paraId="7C0ECFD3" w14:textId="348D6660" w:rsidR="00857A5B" w:rsidRDefault="00FA5F97" w:rsidP="00857A5B">
      <w:pPr>
        <w:pStyle w:val="Heading2"/>
      </w:pPr>
      <w:r w:rsidRPr="00FA5F97">
        <w:t>The LPC should consider the reason for a requested postponement</w:t>
      </w:r>
      <w:r w:rsidR="00F74E00">
        <w:t xml:space="preserve"> and any other relevant circumstances</w:t>
      </w:r>
      <w:r w:rsidRPr="00FA5F97">
        <w:t xml:space="preserve">. </w:t>
      </w:r>
      <w:r w:rsidR="00743708">
        <w:t xml:space="preserve"> </w:t>
      </w:r>
      <w:r w:rsidRPr="00FA5F97">
        <w:t>If the employee is unwell, consideration may be given to conducting a disciplinary hearing at or near their home or by telephone</w:t>
      </w:r>
      <w:r w:rsidR="00F74E00">
        <w:t xml:space="preserve">/video </w:t>
      </w:r>
      <w:proofErr w:type="gramStart"/>
      <w:r w:rsidR="00F74E00">
        <w:t>conference</w:t>
      </w:r>
      <w:r w:rsidRPr="00FA5F97">
        <w:t>, or</w:t>
      </w:r>
      <w:proofErr w:type="gramEnd"/>
      <w:r w:rsidRPr="00FA5F97">
        <w:t xml:space="preserve"> postponing until a medical certificate has been obtained to give a better picture of the likely prognosis.  There is a fine balancing act between treating the employee fairly and ensuring that necessary LPC decisions are not postponed indefinitely by pandering to an employee who is trying to avoid the inevitable. </w:t>
      </w:r>
      <w:r w:rsidR="00743708">
        <w:t xml:space="preserve"> </w:t>
      </w:r>
      <w:r w:rsidRPr="00FA5F97">
        <w:t xml:space="preserve">We strongly advise that the LPC seeks further legal advice from Clyde &amp; Co LLP before </w:t>
      </w:r>
      <w:proofErr w:type="gramStart"/>
      <w:r w:rsidRPr="00FA5F97">
        <w:t>making a decision</w:t>
      </w:r>
      <w:proofErr w:type="gramEnd"/>
      <w:r w:rsidRPr="00FA5F97">
        <w:t xml:space="preserve"> in these circumstances.</w:t>
      </w:r>
      <w:bookmarkEnd w:id="147"/>
      <w:bookmarkEnd w:id="148"/>
      <w:bookmarkEnd w:id="149"/>
      <w:bookmarkEnd w:id="150"/>
      <w:bookmarkEnd w:id="151"/>
      <w:r w:rsidRPr="00FA5F97">
        <w:t xml:space="preserve"> </w:t>
      </w:r>
      <w:r w:rsidR="00F74E00" w:rsidRPr="00F74E00">
        <w:t>Where an employee is suffering from stress due to the disciplinary allegations remaining unresolved, the medical advice may be to facilitate the hearing without further delay.</w:t>
      </w:r>
    </w:p>
    <w:p w14:paraId="4FD250F0" w14:textId="70E0D315" w:rsidR="00FA5F97" w:rsidRPr="00857A5B" w:rsidRDefault="00FA5F97" w:rsidP="00857A5B">
      <w:pPr>
        <w:pStyle w:val="Heading2"/>
        <w:numPr>
          <w:ilvl w:val="0"/>
          <w:numId w:val="0"/>
        </w:numPr>
        <w:ind w:left="907"/>
        <w:rPr>
          <w:b/>
          <w:bCs/>
        </w:rPr>
      </w:pPr>
      <w:r w:rsidRPr="00857A5B">
        <w:rPr>
          <w:b/>
          <w:bCs/>
        </w:rPr>
        <w:t>Conducting the hearing</w:t>
      </w:r>
    </w:p>
    <w:p w14:paraId="5277F88E" w14:textId="59513799" w:rsidR="00FA5F97" w:rsidRPr="00FA5F97" w:rsidRDefault="00FA5F97" w:rsidP="00743708">
      <w:pPr>
        <w:pStyle w:val="Heading2"/>
      </w:pPr>
      <w:bookmarkStart w:id="152" w:name="_Toc452539241"/>
      <w:bookmarkStart w:id="153" w:name="_Toc452539550"/>
      <w:bookmarkStart w:id="154" w:name="_Toc456622899"/>
      <w:bookmarkStart w:id="155" w:name="_Toc456692474"/>
      <w:bookmarkStart w:id="156" w:name="_Toc456693054"/>
      <w:r w:rsidRPr="00FA5F97">
        <w:t xml:space="preserve">At the start of the hearing, the chair should introduce those present, explain the </w:t>
      </w:r>
      <w:r w:rsidR="00F74E00">
        <w:t xml:space="preserve">allegations against the employee and the </w:t>
      </w:r>
      <w:r w:rsidRPr="00FA5F97">
        <w:t xml:space="preserve">purpose of the meeting and, if the employee is unaccompanied, remind them of their right to be accompanied. </w:t>
      </w:r>
      <w:r w:rsidR="00743708">
        <w:t xml:space="preserve"> </w:t>
      </w:r>
      <w:r w:rsidRPr="00FA5F97">
        <w:t xml:space="preserve">The employee's representative can make statements and ask questions on the employee's behalf. </w:t>
      </w:r>
      <w:r w:rsidR="00743708">
        <w:t xml:space="preserve"> </w:t>
      </w:r>
      <w:r w:rsidRPr="00FA5F97">
        <w:t>The representative should not be permitted to answer questions that have been put to the employee directly, although they may confer privately with the employee before any reply is given.</w:t>
      </w:r>
      <w:bookmarkEnd w:id="152"/>
      <w:bookmarkEnd w:id="153"/>
      <w:bookmarkEnd w:id="154"/>
      <w:bookmarkEnd w:id="155"/>
      <w:bookmarkEnd w:id="156"/>
      <w:r w:rsidRPr="00FA5F97">
        <w:t xml:space="preserve"> </w:t>
      </w:r>
    </w:p>
    <w:p w14:paraId="5F87329B" w14:textId="77777777" w:rsidR="00FA5F97" w:rsidRPr="00FA5F97" w:rsidRDefault="00FA5F97" w:rsidP="00743708">
      <w:pPr>
        <w:pStyle w:val="Heading2"/>
      </w:pPr>
      <w:bookmarkStart w:id="157" w:name="_Toc452539242"/>
      <w:bookmarkStart w:id="158" w:name="_Toc452539551"/>
      <w:bookmarkStart w:id="159" w:name="_Toc456622900"/>
      <w:bookmarkStart w:id="160" w:name="_Toc456692475"/>
      <w:bookmarkStart w:id="161" w:name="_Toc456693055"/>
      <w:r w:rsidRPr="00FA5F97">
        <w:t>A final check should be made as to whether any reasonable adjustments need to be made if the employee or any witnesses are disabled.</w:t>
      </w:r>
      <w:bookmarkEnd w:id="157"/>
      <w:bookmarkEnd w:id="158"/>
      <w:bookmarkEnd w:id="159"/>
      <w:bookmarkEnd w:id="160"/>
      <w:bookmarkEnd w:id="161"/>
    </w:p>
    <w:p w14:paraId="60AD4809" w14:textId="033CFD79" w:rsidR="00FA5F97" w:rsidRPr="00FA5F97" w:rsidRDefault="00FA5F97" w:rsidP="00743708">
      <w:pPr>
        <w:pStyle w:val="Heading2"/>
      </w:pPr>
      <w:bookmarkStart w:id="162" w:name="_Toc452539243"/>
      <w:bookmarkStart w:id="163" w:name="_Toc452539552"/>
      <w:bookmarkStart w:id="164" w:name="_Toc456622901"/>
      <w:bookmarkStart w:id="165" w:name="_Toc456692476"/>
      <w:bookmarkStart w:id="166" w:name="_Toc456693056"/>
      <w:r w:rsidRPr="00FA5F97">
        <w:t xml:space="preserve">The chair should check that the employee is satisfied with the arrangements for the hearing, and has received, read and understood all the necessary documents, including the disciplinary procedure, any report of the investigation, and the witness statements. </w:t>
      </w:r>
      <w:r w:rsidR="001E5C41">
        <w:t xml:space="preserve"> </w:t>
      </w:r>
      <w:r w:rsidRPr="00FA5F97">
        <w:t xml:space="preserve">The employee should then be taken carefully through the allegations that have been made and all relevant evidence. </w:t>
      </w:r>
      <w:r w:rsidR="00743708">
        <w:t xml:space="preserve"> </w:t>
      </w:r>
      <w:r w:rsidRPr="00FA5F97">
        <w:t>The employee should then be given the opportunity to make any representations, ask questions and produce or discuss documentary evidence in reply.</w:t>
      </w:r>
      <w:bookmarkEnd w:id="162"/>
      <w:bookmarkEnd w:id="163"/>
      <w:bookmarkEnd w:id="164"/>
      <w:bookmarkEnd w:id="165"/>
      <w:bookmarkEnd w:id="166"/>
      <w:r w:rsidRPr="00FA5F97">
        <w:t xml:space="preserve"> </w:t>
      </w:r>
    </w:p>
    <w:p w14:paraId="72B17867" w14:textId="55D4B0DF" w:rsidR="00FA5F97" w:rsidRPr="00FA5F97" w:rsidRDefault="00FA5F97" w:rsidP="00743708">
      <w:pPr>
        <w:pStyle w:val="Heading2"/>
      </w:pPr>
      <w:bookmarkStart w:id="167" w:name="_Toc452539244"/>
      <w:bookmarkStart w:id="168" w:name="_Toc452539553"/>
      <w:bookmarkStart w:id="169" w:name="_Toc456622902"/>
      <w:bookmarkStart w:id="170" w:name="_Toc456692477"/>
      <w:bookmarkStart w:id="171" w:name="_Toc456693057"/>
      <w:r w:rsidRPr="00FA5F97">
        <w:t xml:space="preserve">There is no need for the LPC to call all relevant witnesses to the hearing and the matter can be dealt with by witness statements alone if the employee has not asked for witnesses to be called. </w:t>
      </w:r>
      <w:r w:rsidR="001E5C41">
        <w:t xml:space="preserve"> </w:t>
      </w:r>
      <w:r w:rsidRPr="00FA5F97">
        <w:t xml:space="preserve">However, the employee should usually be allowed to call relevant witnesses to the hearing if they wish. </w:t>
      </w:r>
      <w:r w:rsidR="00743708">
        <w:t xml:space="preserve"> </w:t>
      </w:r>
      <w:r w:rsidRPr="00FA5F97">
        <w:t xml:space="preserve">The law does not generally require the chair to allow court-room style cross-examination of witnesses although the employee should be allowed to raise points in response to anything a witness has said.  </w:t>
      </w:r>
      <w:r w:rsidR="00442F05">
        <w:t xml:space="preserve">The Clyde &amp; Co recommended disciplinary procedure set out in the Staff Handbook states that employees will not normally be permitted to cross-examine witnesses. </w:t>
      </w:r>
      <w:bookmarkEnd w:id="167"/>
      <w:bookmarkEnd w:id="168"/>
      <w:bookmarkEnd w:id="169"/>
      <w:bookmarkEnd w:id="170"/>
      <w:bookmarkEnd w:id="171"/>
    </w:p>
    <w:p w14:paraId="1D650048" w14:textId="1D44E3D1" w:rsidR="00FA5F97" w:rsidRPr="00FA5F97" w:rsidRDefault="00FA5F97" w:rsidP="00743708">
      <w:pPr>
        <w:pStyle w:val="Heading2"/>
      </w:pPr>
      <w:bookmarkStart w:id="172" w:name="_Toc452539245"/>
      <w:bookmarkStart w:id="173" w:name="_Toc452539554"/>
      <w:bookmarkStart w:id="174" w:name="_Toc456622903"/>
      <w:bookmarkStart w:id="175" w:name="_Toc456692478"/>
      <w:bookmarkStart w:id="176" w:name="_Toc456693058"/>
      <w:r w:rsidRPr="00FA5F97">
        <w:t xml:space="preserve">Regard should be had to the fact that employees and witnesses may be under significant stress as a result of the hearing, and therefore may become visibly distressed and/or aggressive. </w:t>
      </w:r>
      <w:r w:rsidR="00743708">
        <w:t xml:space="preserve"> </w:t>
      </w:r>
      <w:r w:rsidRPr="00FA5F97">
        <w:t xml:space="preserve">The chair should be sensitive to this and, if necessary, </w:t>
      </w:r>
      <w:r w:rsidRPr="00FA5F97">
        <w:lastRenderedPageBreak/>
        <w:t>make sensible use of adjournments for "time out" and to allow the individuals concerned to regain their composure.</w:t>
      </w:r>
      <w:bookmarkEnd w:id="172"/>
      <w:bookmarkEnd w:id="173"/>
      <w:bookmarkEnd w:id="174"/>
      <w:bookmarkEnd w:id="175"/>
      <w:bookmarkEnd w:id="176"/>
      <w:r w:rsidRPr="00FA5F97">
        <w:t xml:space="preserve"> </w:t>
      </w:r>
    </w:p>
    <w:p w14:paraId="05E2A361" w14:textId="77777777" w:rsidR="00857A5B" w:rsidRDefault="00FA5F97" w:rsidP="00857A5B">
      <w:pPr>
        <w:pStyle w:val="Heading2"/>
      </w:pPr>
      <w:bookmarkStart w:id="177" w:name="_Toc452539246"/>
      <w:bookmarkStart w:id="178" w:name="_Toc452539555"/>
      <w:bookmarkStart w:id="179" w:name="_Toc456622904"/>
      <w:bookmarkStart w:id="180" w:name="_Toc456692479"/>
      <w:bookmarkStart w:id="181" w:name="_Toc456693059"/>
      <w:r w:rsidRPr="00FA5F97">
        <w:t>Once the employee has presented their case, the chair should summarise the information put forward on both sides and request any necessary clarification from the employee.</w:t>
      </w:r>
      <w:bookmarkEnd w:id="177"/>
      <w:bookmarkEnd w:id="178"/>
      <w:bookmarkEnd w:id="179"/>
      <w:bookmarkEnd w:id="180"/>
      <w:bookmarkEnd w:id="181"/>
      <w:r w:rsidRPr="00FA5F97">
        <w:t xml:space="preserve"> </w:t>
      </w:r>
    </w:p>
    <w:p w14:paraId="1477424D" w14:textId="1DCABDDE" w:rsidR="00FA5F97" w:rsidRPr="00857A5B" w:rsidRDefault="00FA5F97" w:rsidP="00857A5B">
      <w:pPr>
        <w:pStyle w:val="Heading2"/>
        <w:numPr>
          <w:ilvl w:val="0"/>
          <w:numId w:val="0"/>
        </w:numPr>
        <w:ind w:left="907"/>
        <w:rPr>
          <w:b/>
          <w:bCs/>
        </w:rPr>
      </w:pPr>
      <w:r w:rsidRPr="00857A5B">
        <w:rPr>
          <w:b/>
          <w:bCs/>
        </w:rPr>
        <w:t>Adjourning the hearing</w:t>
      </w:r>
    </w:p>
    <w:p w14:paraId="3E374FBA" w14:textId="5B923168" w:rsidR="00FA5F97" w:rsidRPr="00FA5F97" w:rsidRDefault="00FA5F97" w:rsidP="00743708">
      <w:pPr>
        <w:pStyle w:val="Heading2"/>
      </w:pPr>
      <w:bookmarkStart w:id="182" w:name="_Toc452539247"/>
      <w:bookmarkStart w:id="183" w:name="_Toc452539556"/>
      <w:bookmarkStart w:id="184" w:name="_Toc456622905"/>
      <w:bookmarkStart w:id="185" w:name="_Toc456692480"/>
      <w:bookmarkStart w:id="186" w:name="_Toc456693060"/>
      <w:r w:rsidRPr="00FA5F97">
        <w:t xml:space="preserve">When all parties have presented their case and there are no further questions, the hearing should then be adjourned for the chair to consider what the employee has said.  Issues that have been raised by the employee may require further investigation and witnesses may need to be re-interviewed if they have not been </w:t>
      </w:r>
      <w:proofErr w:type="gramStart"/>
      <w:r w:rsidRPr="00FA5F97">
        <w:t>present</w:t>
      </w:r>
      <w:proofErr w:type="gramEnd"/>
      <w:r w:rsidRPr="00FA5F97">
        <w:t xml:space="preserve"> to give evidence at the hearing. </w:t>
      </w:r>
      <w:r w:rsidR="00743708">
        <w:t xml:space="preserve"> </w:t>
      </w:r>
      <w:r w:rsidRPr="00FA5F97">
        <w:t xml:space="preserve">If this is the </w:t>
      </w:r>
      <w:proofErr w:type="gramStart"/>
      <w:r w:rsidRPr="00FA5F97">
        <w:t>case</w:t>
      </w:r>
      <w:proofErr w:type="gramEnd"/>
      <w:r w:rsidRPr="00FA5F97">
        <w:t xml:space="preserve"> then the employee should be given a chance to respond to any new findings at a reconvened hearing. </w:t>
      </w:r>
      <w:r w:rsidR="001E5C41">
        <w:t xml:space="preserve"> </w:t>
      </w:r>
      <w:r w:rsidRPr="00FA5F97">
        <w:t>If new information has come to light then this should be given to the employee in writing, with sufficient time to consider it before the reconvened hearing.</w:t>
      </w:r>
      <w:bookmarkEnd w:id="182"/>
      <w:bookmarkEnd w:id="183"/>
      <w:bookmarkEnd w:id="184"/>
      <w:bookmarkEnd w:id="185"/>
      <w:bookmarkEnd w:id="186"/>
    </w:p>
    <w:p w14:paraId="6AFA5E8C" w14:textId="3F8199A0" w:rsidR="00FA5F97" w:rsidRPr="00FA5F97" w:rsidRDefault="00FA5F97" w:rsidP="00743708">
      <w:pPr>
        <w:pStyle w:val="Heading2"/>
      </w:pPr>
      <w:bookmarkStart w:id="187" w:name="_Toc452539248"/>
      <w:bookmarkStart w:id="188" w:name="_Toc452539557"/>
      <w:bookmarkStart w:id="189" w:name="_Toc456622906"/>
      <w:bookmarkStart w:id="190" w:name="_Toc456692481"/>
      <w:bookmarkStart w:id="191" w:name="_Toc456693061"/>
      <w:r w:rsidRPr="00FA5F97">
        <w:t xml:space="preserve">Even if the chair has an idea as to the appropriate decision at the end of the hearing, it is always good practice to adjourn in any event to take time for consideration. </w:t>
      </w:r>
      <w:r w:rsidR="00743708">
        <w:t xml:space="preserve"> </w:t>
      </w:r>
      <w:r w:rsidRPr="00FA5F97">
        <w:t>This makes it less likely the matter will be seen to have been pre-judged.</w:t>
      </w:r>
      <w:bookmarkEnd w:id="187"/>
      <w:bookmarkEnd w:id="188"/>
      <w:bookmarkEnd w:id="189"/>
      <w:bookmarkEnd w:id="190"/>
      <w:bookmarkEnd w:id="191"/>
      <w:r w:rsidRPr="00FA5F97">
        <w:t xml:space="preserve"> </w:t>
      </w:r>
    </w:p>
    <w:p w14:paraId="220A01BE" w14:textId="5499F944" w:rsidR="00FA5F97" w:rsidRPr="00FA5F97" w:rsidRDefault="00FA5F97" w:rsidP="00743708">
      <w:pPr>
        <w:pStyle w:val="Heading2"/>
      </w:pPr>
      <w:bookmarkStart w:id="192" w:name="_Toc452539249"/>
      <w:bookmarkStart w:id="193" w:name="_Toc452539558"/>
      <w:bookmarkStart w:id="194" w:name="_Toc456622907"/>
      <w:bookmarkStart w:id="195" w:name="_Toc456692482"/>
      <w:bookmarkStart w:id="196" w:name="_Toc456693062"/>
      <w:proofErr w:type="gramStart"/>
      <w:r w:rsidRPr="00FA5F97">
        <w:t>Obviously</w:t>
      </w:r>
      <w:proofErr w:type="gramEnd"/>
      <w:r w:rsidRPr="00FA5F97">
        <w:t xml:space="preserve"> the length of any adjournment will depend on the complexity of the issues to be considered and whether further investigation is needed.</w:t>
      </w:r>
      <w:r w:rsidR="00743708">
        <w:t xml:space="preserve"> </w:t>
      </w:r>
      <w:r w:rsidRPr="00FA5F97">
        <w:t xml:space="preserve"> It is helpful to give the employee an indication of how long it is likely to be before the meeting is reconvened. </w:t>
      </w:r>
      <w:r w:rsidR="00F74E00" w:rsidRPr="00F74E00">
        <w:t xml:space="preserve">If the adjournment is only for a short period of time, the chair may wish to leave the employee in the meeting room while they consider their decision. </w:t>
      </w:r>
      <w:r w:rsidRPr="00FA5F97">
        <w:t>In most cases it is sensible to adjourn for at least one to two working days.</w:t>
      </w:r>
      <w:bookmarkEnd w:id="192"/>
      <w:bookmarkEnd w:id="193"/>
      <w:bookmarkEnd w:id="194"/>
      <w:bookmarkEnd w:id="195"/>
      <w:bookmarkEnd w:id="196"/>
      <w:r w:rsidRPr="00FA5F97">
        <w:t xml:space="preserve"> </w:t>
      </w:r>
    </w:p>
    <w:p w14:paraId="74F1AA9D" w14:textId="77777777" w:rsidR="00FA5F97" w:rsidRPr="00FA5F97" w:rsidRDefault="00FA5F97" w:rsidP="00743708">
      <w:pPr>
        <w:pStyle w:val="Heading1Bold"/>
      </w:pPr>
      <w:bookmarkStart w:id="197" w:name="_Toc452539250"/>
      <w:bookmarkStart w:id="198" w:name="_Toc452539559"/>
      <w:bookmarkStart w:id="199" w:name="_Toc456622908"/>
      <w:bookmarkStart w:id="200" w:name="_Toc456692483"/>
      <w:bookmarkStart w:id="201" w:name="_Toc456693063"/>
      <w:r w:rsidRPr="00FA5F97">
        <w:t>Sanctions</w:t>
      </w:r>
      <w:bookmarkEnd w:id="197"/>
      <w:bookmarkEnd w:id="198"/>
      <w:bookmarkEnd w:id="199"/>
      <w:bookmarkEnd w:id="200"/>
      <w:bookmarkEnd w:id="201"/>
    </w:p>
    <w:p w14:paraId="762B4C02" w14:textId="77777777" w:rsidR="00FA5F97" w:rsidRPr="00FA5F97" w:rsidRDefault="00FA5F97" w:rsidP="00743708">
      <w:pPr>
        <w:pStyle w:val="Heading2"/>
      </w:pPr>
      <w:bookmarkStart w:id="202" w:name="_Toc452539251"/>
      <w:bookmarkStart w:id="203" w:name="_Toc452539560"/>
      <w:bookmarkStart w:id="204" w:name="_Toc456622909"/>
      <w:bookmarkStart w:id="205" w:name="_Toc456692484"/>
      <w:bookmarkStart w:id="206" w:name="_Toc456693064"/>
      <w:r w:rsidRPr="00FA5F97">
        <w:t>Although up until this point the LPC may have conducted the disciplinary procedure fairly and reasonably, it must also ensure that the sanction is fair and reasonable in all the circumstances.</w:t>
      </w:r>
      <w:bookmarkEnd w:id="202"/>
      <w:bookmarkEnd w:id="203"/>
      <w:bookmarkEnd w:id="204"/>
      <w:bookmarkEnd w:id="205"/>
      <w:bookmarkEnd w:id="206"/>
      <w:r w:rsidRPr="00FA5F97">
        <w:t xml:space="preserve">  </w:t>
      </w:r>
    </w:p>
    <w:p w14:paraId="760FD60B" w14:textId="13B9EB1B" w:rsidR="00FA5F97" w:rsidRPr="00FA5F97" w:rsidRDefault="00FA5F97" w:rsidP="00743708">
      <w:pPr>
        <w:pStyle w:val="Heading2"/>
      </w:pPr>
      <w:bookmarkStart w:id="207" w:name="_Toc452539252"/>
      <w:bookmarkStart w:id="208" w:name="_Toc452539561"/>
      <w:bookmarkStart w:id="209" w:name="_Toc456622910"/>
      <w:bookmarkStart w:id="210" w:name="_Toc456692485"/>
      <w:bookmarkStart w:id="211" w:name="_Toc456693065"/>
      <w:r w:rsidRPr="00FA5F97">
        <w:t>When considering the appropriate sanction</w:t>
      </w:r>
      <w:r w:rsidR="006F3043">
        <w:t xml:space="preserve"> and where the nature of the misconduct potentially warrants dismissal</w:t>
      </w:r>
      <w:r w:rsidRPr="00FA5F97">
        <w:t xml:space="preserve">, careful consideration must be given to alternatives to dismissal. </w:t>
      </w:r>
      <w:r w:rsidR="00743708">
        <w:t xml:space="preserve"> </w:t>
      </w:r>
      <w:r w:rsidRPr="00FA5F97">
        <w:t xml:space="preserve">For example, demotion, redeployment or a final written warning may be more appropriate. </w:t>
      </w:r>
      <w:r w:rsidR="001E5C41">
        <w:t xml:space="preserve"> </w:t>
      </w:r>
      <w:r w:rsidRPr="00FA5F97">
        <w:t xml:space="preserve">Caution should be taken when considering a demotion as this is likely to be a breach of the express terms of the contract, unless it is specifically permitted in the employment </w:t>
      </w:r>
      <w:proofErr w:type="gramStart"/>
      <w:r w:rsidRPr="00FA5F97">
        <w:t>contract</w:t>
      </w:r>
      <w:proofErr w:type="gramEnd"/>
      <w:r w:rsidRPr="00FA5F97">
        <w:t xml:space="preserve"> or the employee gives their consent.</w:t>
      </w:r>
      <w:r w:rsidR="00743708">
        <w:t xml:space="preserve"> </w:t>
      </w:r>
      <w:r w:rsidRPr="00FA5F97">
        <w:t xml:space="preserve"> Where a demotion is to be considered, please contact Clyde &amp; Co LLP for further advice.</w:t>
      </w:r>
      <w:r w:rsidRPr="00FA5F97">
        <w:rPr>
          <w:vertAlign w:val="superscript"/>
        </w:rPr>
        <w:t xml:space="preserve"> </w:t>
      </w:r>
      <w:bookmarkEnd w:id="207"/>
      <w:bookmarkEnd w:id="208"/>
      <w:bookmarkEnd w:id="209"/>
      <w:bookmarkEnd w:id="210"/>
      <w:bookmarkEnd w:id="211"/>
    </w:p>
    <w:p w14:paraId="589364CC" w14:textId="10166F5E" w:rsidR="00FA5F97" w:rsidRPr="00FA5F97" w:rsidRDefault="00FA5F97" w:rsidP="00743708">
      <w:pPr>
        <w:pStyle w:val="Heading2"/>
      </w:pPr>
      <w:bookmarkStart w:id="212" w:name="_Toc452539253"/>
      <w:bookmarkStart w:id="213" w:name="_Toc452539562"/>
      <w:bookmarkStart w:id="214" w:name="_Toc456622911"/>
      <w:bookmarkStart w:id="215" w:name="_Toc456692486"/>
      <w:bookmarkStart w:id="216" w:name="_Toc456693066"/>
      <w:r w:rsidRPr="00FA5F97">
        <w:t xml:space="preserve">The LPC should consider what sanctions have been imposed on other employees for similar conduct in the past and take account of any 'live' warnings on the employee's personnel file. </w:t>
      </w:r>
      <w:r w:rsidR="001E5C41">
        <w:t xml:space="preserve"> </w:t>
      </w:r>
      <w:r w:rsidRPr="00FA5F97">
        <w:t xml:space="preserve">Expired warnings should not be </w:t>
      </w:r>
      <w:proofErr w:type="gramStart"/>
      <w:r w:rsidRPr="00FA5F97">
        <w:t>taken into account</w:t>
      </w:r>
      <w:proofErr w:type="gramEnd"/>
      <w:r w:rsidRPr="00FA5F97">
        <w:t>. Except in cases of gross misconduct, employees should not be dismissed without any previous warning.</w:t>
      </w:r>
      <w:bookmarkEnd w:id="212"/>
      <w:bookmarkEnd w:id="213"/>
      <w:bookmarkEnd w:id="214"/>
      <w:bookmarkEnd w:id="215"/>
      <w:bookmarkEnd w:id="216"/>
      <w:r w:rsidRPr="00FA5F97">
        <w:t xml:space="preserve"> </w:t>
      </w:r>
      <w:r w:rsidRPr="00FA5F97">
        <w:rPr>
          <w:iCs/>
        </w:rPr>
        <w:t xml:space="preserve"> </w:t>
      </w:r>
    </w:p>
    <w:p w14:paraId="298EC93E" w14:textId="03DA6875" w:rsidR="00FA5F97" w:rsidRPr="00FA5F97" w:rsidRDefault="00FA5F97" w:rsidP="00743708">
      <w:pPr>
        <w:pStyle w:val="Heading2"/>
      </w:pPr>
      <w:bookmarkStart w:id="217" w:name="_Toc452539254"/>
      <w:bookmarkStart w:id="218" w:name="_Toc452539563"/>
      <w:bookmarkStart w:id="219" w:name="_Toc456622912"/>
      <w:bookmarkStart w:id="220" w:name="_Toc456692487"/>
      <w:bookmarkStart w:id="221" w:name="_Toc456693067"/>
      <w:r w:rsidRPr="00FA5F97">
        <w:t>The tribunal will consider whether an employer acted within the band of reasonable responses in treating the misconduct as a sufficient reason to dismiss. Employers often lose cases where, despite having followed a fair procedure, they have not persuaded a tribunal that dismissal was a fair and reasonable sanction in all the circumstances.</w:t>
      </w:r>
      <w:bookmarkEnd w:id="217"/>
      <w:bookmarkEnd w:id="218"/>
      <w:bookmarkEnd w:id="219"/>
      <w:bookmarkEnd w:id="220"/>
      <w:bookmarkEnd w:id="221"/>
      <w:r w:rsidRPr="00FA5F97">
        <w:t xml:space="preserve">  </w:t>
      </w:r>
    </w:p>
    <w:p w14:paraId="65CB0EE9" w14:textId="47BB26F7" w:rsidR="00FA5F97" w:rsidRPr="00FA5F97" w:rsidRDefault="00FA5F97" w:rsidP="00743708">
      <w:pPr>
        <w:pStyle w:val="Heading2"/>
      </w:pPr>
      <w:bookmarkStart w:id="222" w:name="_Toc452539255"/>
      <w:bookmarkStart w:id="223" w:name="_Toc452539564"/>
      <w:bookmarkStart w:id="224" w:name="_Toc456622913"/>
      <w:bookmarkStart w:id="225" w:name="_Toc456692488"/>
      <w:bookmarkStart w:id="226" w:name="_Toc456693068"/>
      <w:r w:rsidRPr="00FA5F97">
        <w:t>Final written warnings should not be used oppressively and should only be used if proportionate to the offence.</w:t>
      </w:r>
      <w:r w:rsidR="001E5C41">
        <w:t xml:space="preserve"> </w:t>
      </w:r>
      <w:r w:rsidRPr="00FA5F97">
        <w:t xml:space="preserve"> It is usually considered fair to give two written warnings (a first written warning and a final written warning) before deciding to dismiss an </w:t>
      </w:r>
      <w:r w:rsidRPr="00FA5F97">
        <w:lastRenderedPageBreak/>
        <w:t xml:space="preserve">employee and the LPC should refer to </w:t>
      </w:r>
      <w:r w:rsidR="00442F05">
        <w:t>the Clyde &amp; Co recommended</w:t>
      </w:r>
      <w:r w:rsidRPr="00FA5F97">
        <w:t xml:space="preserve"> disciplinary procedure</w:t>
      </w:r>
      <w:r w:rsidR="00442F05">
        <w:t xml:space="preserve"> in the Staff Handbook </w:t>
      </w:r>
      <w:r w:rsidRPr="00FA5F97">
        <w:t xml:space="preserve">which </w:t>
      </w:r>
      <w:r w:rsidR="00442F05">
        <w:t>sets out</w:t>
      </w:r>
      <w:r w:rsidRPr="00FA5F97">
        <w:t xml:space="preserve"> a scale of warnings to be used</w:t>
      </w:r>
      <w:bookmarkEnd w:id="222"/>
      <w:bookmarkEnd w:id="223"/>
      <w:bookmarkEnd w:id="224"/>
      <w:bookmarkEnd w:id="225"/>
      <w:bookmarkEnd w:id="226"/>
      <w:r w:rsidRPr="00FA5F97">
        <w:t>.</w:t>
      </w:r>
    </w:p>
    <w:p w14:paraId="3A07F41C" w14:textId="77777777" w:rsidR="00FA5F97" w:rsidRPr="00FA5F97" w:rsidRDefault="00FA5F97" w:rsidP="00743708">
      <w:pPr>
        <w:pStyle w:val="Heading1Bold"/>
      </w:pPr>
      <w:r w:rsidRPr="00FA5F97">
        <w:t>Decision</w:t>
      </w:r>
    </w:p>
    <w:p w14:paraId="62973F6A" w14:textId="420135F0" w:rsidR="006F3043" w:rsidRDefault="006F3043" w:rsidP="00743708">
      <w:pPr>
        <w:pStyle w:val="Heading2"/>
      </w:pPr>
      <w:bookmarkStart w:id="227" w:name="_Toc452539256"/>
      <w:bookmarkStart w:id="228" w:name="_Toc452539565"/>
      <w:bookmarkStart w:id="229" w:name="_Toc456622914"/>
      <w:bookmarkStart w:id="230" w:name="_Toc456692489"/>
      <w:bookmarkStart w:id="231" w:name="_Toc456693069"/>
      <w:r w:rsidRPr="006F3043">
        <w:t xml:space="preserve">The </w:t>
      </w:r>
      <w:bookmarkStart w:id="232" w:name="_Hlk151561572"/>
      <w:r w:rsidRPr="006F3043">
        <w:t xml:space="preserve">first step will be to decide whether to uphold the allegations against the employee. If the chair is faced with conflicting witness evidence, they do not have to believe one person over another and should avoid doing so without good grounds.  For example, it would potentially be unfair to believe a witness over the accused employee simply because there is no apparent reason why the witness would lie. In that scenario, it is open to the chair to decide that there is insufficient evidence to determine culpability.   </w:t>
      </w:r>
      <w:bookmarkEnd w:id="232"/>
    </w:p>
    <w:p w14:paraId="5E2CAC7D" w14:textId="140A1A14" w:rsidR="00FA5F97" w:rsidRPr="00FA5F97" w:rsidRDefault="00FA5F97" w:rsidP="00743708">
      <w:pPr>
        <w:pStyle w:val="Heading2"/>
      </w:pPr>
      <w:r w:rsidRPr="00FA5F97">
        <w:t xml:space="preserve">Once the chair has reached a decision, the meeting should be </w:t>
      </w:r>
      <w:proofErr w:type="gramStart"/>
      <w:r w:rsidRPr="00FA5F97">
        <w:t>reconvened</w:t>
      </w:r>
      <w:proofErr w:type="gramEnd"/>
      <w:r w:rsidRPr="00FA5F97">
        <w:t xml:space="preserve"> and the decision explained to the employee. </w:t>
      </w:r>
      <w:r w:rsidR="00743708">
        <w:t xml:space="preserve"> </w:t>
      </w:r>
      <w:r w:rsidRPr="00FA5F97">
        <w:t>The decision must be given in writing in any event, but it is usually better-done face to face and then confirmed in writing and provided to the employee during the meeting.</w:t>
      </w:r>
      <w:r w:rsidR="00743708">
        <w:t xml:space="preserve"> </w:t>
      </w:r>
      <w:r w:rsidRPr="00FA5F97">
        <w:t xml:space="preserve"> If the employee is being dismissed, they also have the right to ask for a written statement of the reasons for dismissal.</w:t>
      </w:r>
      <w:bookmarkEnd w:id="227"/>
      <w:bookmarkEnd w:id="228"/>
      <w:bookmarkEnd w:id="229"/>
      <w:bookmarkEnd w:id="230"/>
      <w:bookmarkEnd w:id="231"/>
    </w:p>
    <w:p w14:paraId="72E21AD6" w14:textId="13D0D1C9" w:rsidR="00FA5F97" w:rsidRPr="00FA5F97" w:rsidRDefault="00FA5F97" w:rsidP="00743708">
      <w:pPr>
        <w:pStyle w:val="Heading2"/>
      </w:pPr>
      <w:bookmarkStart w:id="233" w:name="_Toc452539257"/>
      <w:bookmarkStart w:id="234" w:name="_Toc452539566"/>
      <w:bookmarkStart w:id="235" w:name="_Toc456622915"/>
      <w:bookmarkStart w:id="236" w:name="_Toc456692490"/>
      <w:bookmarkStart w:id="237" w:name="_Toc456693070"/>
      <w:r w:rsidRPr="00FA5F97">
        <w:t>The employee should be advised of the sanction, the reasons for imposing it and the fact that they have a right to submit a written appeal.</w:t>
      </w:r>
      <w:r w:rsidR="00743708">
        <w:t xml:space="preserve"> </w:t>
      </w:r>
      <w:r w:rsidRPr="00FA5F97">
        <w:t xml:space="preserve"> If a warning is imposed, the length of the warning should be given, and the consequences of any further misconduct or failure to improve must be made clear.  Warnings would normally be live only for a set period (typically six months for a first written warning and 12 months for a final written warning).</w:t>
      </w:r>
    </w:p>
    <w:p w14:paraId="672C855E" w14:textId="1B83368F" w:rsidR="00FA5F97" w:rsidRPr="00FA5F97" w:rsidRDefault="00FA5F97" w:rsidP="00743708">
      <w:pPr>
        <w:pStyle w:val="Heading2"/>
      </w:pPr>
      <w:r w:rsidRPr="00FA5F97">
        <w:t xml:space="preserve">If there is a possibility that the "live" period of the warning may be extended if the employee's conduct does not improve sufficiently, this must be made clear to the employee. </w:t>
      </w:r>
      <w:r w:rsidR="00743708">
        <w:t xml:space="preserve"> </w:t>
      </w:r>
      <w:r w:rsidRPr="00FA5F97">
        <w:t>The employee should also be advised as to whether the warning will be removed from their personnel file once it has expired.</w:t>
      </w:r>
      <w:bookmarkEnd w:id="233"/>
      <w:bookmarkEnd w:id="234"/>
      <w:bookmarkEnd w:id="235"/>
      <w:bookmarkEnd w:id="236"/>
      <w:bookmarkEnd w:id="237"/>
      <w:r w:rsidR="00743708">
        <w:t xml:space="preserve"> </w:t>
      </w:r>
      <w:r w:rsidRPr="00FA5F97">
        <w:t xml:space="preserve"> If considering an indefinite warning, this will only be appropriate in particular circumstances, for example where an employee has a history of allowing their conduct to lapse just after the expiry of warnings.</w:t>
      </w:r>
    </w:p>
    <w:p w14:paraId="32054A48" w14:textId="71D2A5F2" w:rsidR="00FA5F97" w:rsidRPr="00FA5F97" w:rsidRDefault="00FA5F97" w:rsidP="00743708">
      <w:pPr>
        <w:pStyle w:val="Heading2"/>
      </w:pPr>
      <w:bookmarkStart w:id="238" w:name="_Toc452539258"/>
      <w:bookmarkStart w:id="239" w:name="_Toc452539567"/>
      <w:bookmarkStart w:id="240" w:name="_Toc456622916"/>
      <w:bookmarkStart w:id="241" w:name="_Toc456692491"/>
      <w:bookmarkStart w:id="242" w:name="_Toc456693071"/>
      <w:bookmarkStart w:id="243" w:name="_Hlk111539719"/>
      <w:r w:rsidRPr="00FA5F97">
        <w:t xml:space="preserve">Instructions on how to appeal should also be provided, including the name of the person to whom the appeal should be submitted and the timescale for appeal.  Five working days is generally considered reasonable but there is no specific time limit in the </w:t>
      </w:r>
      <w:proofErr w:type="spellStart"/>
      <w:r w:rsidRPr="00FA5F97">
        <w:t>Acas</w:t>
      </w:r>
      <w:proofErr w:type="spellEnd"/>
      <w:r w:rsidRPr="00FA5F97">
        <w:t xml:space="preserve"> Code of Practice. </w:t>
      </w:r>
      <w:r w:rsidR="001E5C41">
        <w:t xml:space="preserve"> </w:t>
      </w:r>
      <w:r w:rsidRPr="00FA5F97">
        <w:t>Please contact Clyde &amp; Co LLP for advice before rejecting an appeal as being out of time.</w:t>
      </w:r>
      <w:bookmarkEnd w:id="238"/>
      <w:bookmarkEnd w:id="239"/>
      <w:bookmarkEnd w:id="240"/>
      <w:bookmarkEnd w:id="241"/>
      <w:bookmarkEnd w:id="242"/>
      <w:r w:rsidRPr="00FA5F97">
        <w:t xml:space="preserve"> </w:t>
      </w:r>
    </w:p>
    <w:p w14:paraId="0FFF6B8D" w14:textId="77777777" w:rsidR="00FA5F97" w:rsidRPr="00FA5F97" w:rsidRDefault="00FA5F97" w:rsidP="00743708">
      <w:pPr>
        <w:pStyle w:val="Heading1Bold"/>
      </w:pPr>
      <w:bookmarkStart w:id="244" w:name="_Toc456692492"/>
      <w:bookmarkStart w:id="245" w:name="_Toc456693072"/>
      <w:bookmarkStart w:id="246" w:name="_Toc452539259"/>
      <w:bookmarkStart w:id="247" w:name="_Toc452539568"/>
      <w:bookmarkStart w:id="248" w:name="_Toc456622917"/>
      <w:bookmarkStart w:id="249" w:name="_Hlk111544306"/>
      <w:bookmarkEnd w:id="243"/>
      <w:r w:rsidRPr="00FA5F97">
        <w:t>Appeal</w:t>
      </w:r>
      <w:bookmarkEnd w:id="244"/>
      <w:bookmarkEnd w:id="245"/>
      <w:bookmarkEnd w:id="246"/>
      <w:bookmarkEnd w:id="247"/>
      <w:bookmarkEnd w:id="248"/>
    </w:p>
    <w:p w14:paraId="54CDA6F6" w14:textId="0D33A3FD" w:rsidR="00FA5F97" w:rsidRPr="00FA5F97" w:rsidRDefault="00FA5F97" w:rsidP="00743708">
      <w:pPr>
        <w:pStyle w:val="Heading2"/>
      </w:pPr>
      <w:bookmarkStart w:id="250" w:name="_Toc452539260"/>
      <w:bookmarkStart w:id="251" w:name="_Toc452539569"/>
      <w:bookmarkStart w:id="252" w:name="_Toc456622918"/>
      <w:bookmarkStart w:id="253" w:name="_Toc456692493"/>
      <w:bookmarkStart w:id="254" w:name="_Toc456693073"/>
      <w:r w:rsidRPr="00FA5F97">
        <w:t xml:space="preserve">A failure to allow a right of appeal against any disciplinary action, including a warning, is a breach of the </w:t>
      </w:r>
      <w:proofErr w:type="spellStart"/>
      <w:r w:rsidRPr="00FA5F97">
        <w:t>Acas</w:t>
      </w:r>
      <w:proofErr w:type="spellEnd"/>
      <w:r w:rsidRPr="00FA5F97">
        <w:t xml:space="preserve"> Code. </w:t>
      </w:r>
      <w:r w:rsidR="00743708">
        <w:t xml:space="preserve"> </w:t>
      </w:r>
      <w:r w:rsidRPr="00FA5F97">
        <w:t>It could therefore increase compensation in the tribunal if the employee brings a successful claim (such as a victimisation claim) based on the disciplinary action.</w:t>
      </w:r>
      <w:bookmarkEnd w:id="250"/>
      <w:bookmarkEnd w:id="251"/>
      <w:bookmarkEnd w:id="252"/>
      <w:bookmarkEnd w:id="253"/>
      <w:bookmarkEnd w:id="254"/>
    </w:p>
    <w:p w14:paraId="708B01AF" w14:textId="39353B69" w:rsidR="00FA5F97" w:rsidRPr="00FA5F97" w:rsidRDefault="00FA5F97" w:rsidP="00743708">
      <w:pPr>
        <w:pStyle w:val="Heading2"/>
        <w:rPr>
          <w:rFonts w:cs="Times New Roman"/>
        </w:rPr>
      </w:pPr>
      <w:bookmarkStart w:id="255" w:name="_Toc452539261"/>
      <w:bookmarkStart w:id="256" w:name="_Toc452539570"/>
      <w:bookmarkStart w:id="257" w:name="_Toc456622919"/>
      <w:bookmarkStart w:id="258" w:name="_Toc456692494"/>
      <w:bookmarkStart w:id="259" w:name="_Toc456693074"/>
      <w:bookmarkEnd w:id="249"/>
      <w:r w:rsidRPr="00FA5F97">
        <w:rPr>
          <w:rFonts w:cs="Times New Roman"/>
        </w:rPr>
        <w:t>So</w:t>
      </w:r>
      <w:bookmarkStart w:id="260" w:name="_Hlk111544726"/>
      <w:r w:rsidRPr="00FA5F97">
        <w:rPr>
          <w:rFonts w:cs="Times New Roman"/>
        </w:rPr>
        <w:t xml:space="preserve"> far as possible, any appeal should be heard or chaired by someone who has not been previously involved.</w:t>
      </w:r>
      <w:r w:rsidR="001E5C41">
        <w:rPr>
          <w:rFonts w:cs="Times New Roman"/>
        </w:rPr>
        <w:t xml:space="preserve"> </w:t>
      </w:r>
      <w:r w:rsidRPr="00FA5F97">
        <w:rPr>
          <w:rFonts w:cs="Times New Roman"/>
        </w:rPr>
        <w:t xml:space="preserve"> Ideally, they should be more senior than the chair of the disciplinary hearing and, where possible, outside the employee's direct reporting line.</w:t>
      </w:r>
      <w:bookmarkEnd w:id="255"/>
      <w:bookmarkEnd w:id="256"/>
      <w:bookmarkEnd w:id="257"/>
      <w:bookmarkEnd w:id="258"/>
      <w:bookmarkEnd w:id="259"/>
      <w:r w:rsidRPr="00FA5F97">
        <w:rPr>
          <w:rFonts w:cs="Times New Roman"/>
        </w:rPr>
        <w:t xml:space="preserve"> </w:t>
      </w:r>
    </w:p>
    <w:p w14:paraId="1FCC7A02" w14:textId="41B66453" w:rsidR="00FA5F97" w:rsidRPr="00FA5F97" w:rsidRDefault="00FA5F97" w:rsidP="00743708">
      <w:pPr>
        <w:pStyle w:val="Heading2"/>
        <w:rPr>
          <w:rFonts w:cs="Times New Roman"/>
        </w:rPr>
      </w:pPr>
      <w:bookmarkStart w:id="261" w:name="_Toc452539262"/>
      <w:bookmarkStart w:id="262" w:name="_Toc452539571"/>
      <w:bookmarkStart w:id="263" w:name="_Toc456622920"/>
      <w:bookmarkStart w:id="264" w:name="_Toc456692495"/>
      <w:bookmarkStart w:id="265" w:name="_Toc456693075"/>
      <w:r w:rsidRPr="00FA5F97">
        <w:rPr>
          <w:rFonts w:cs="Times New Roman"/>
        </w:rPr>
        <w:t xml:space="preserve">The person conducting the appeal should have access to the evidence compiled during the investigation and copies of the notes from the disciplinary meeting. </w:t>
      </w:r>
      <w:r w:rsidR="00743708">
        <w:rPr>
          <w:rFonts w:cs="Times New Roman"/>
        </w:rPr>
        <w:t xml:space="preserve"> </w:t>
      </w:r>
      <w:r w:rsidRPr="00FA5F97">
        <w:rPr>
          <w:rFonts w:cs="Times New Roman"/>
        </w:rPr>
        <w:t>However, they should not confer with the initial decision-maker before the appeal meeting, as this may lead to a biased view being taken before the employee has presented their arguments.</w:t>
      </w:r>
      <w:bookmarkEnd w:id="261"/>
      <w:bookmarkEnd w:id="262"/>
      <w:bookmarkEnd w:id="263"/>
      <w:bookmarkEnd w:id="264"/>
      <w:bookmarkEnd w:id="265"/>
    </w:p>
    <w:p w14:paraId="027153B4" w14:textId="3DC1751B" w:rsidR="00FA5F97" w:rsidRPr="00FA5F97" w:rsidRDefault="00FA5F97" w:rsidP="00743708">
      <w:pPr>
        <w:pStyle w:val="Heading2"/>
        <w:rPr>
          <w:rFonts w:cs="Times New Roman"/>
        </w:rPr>
      </w:pPr>
      <w:bookmarkStart w:id="266" w:name="_Toc452539263"/>
      <w:bookmarkStart w:id="267" w:name="_Toc452539572"/>
      <w:bookmarkStart w:id="268" w:name="_Toc456622921"/>
      <w:bookmarkStart w:id="269" w:name="_Toc456692496"/>
      <w:bookmarkStart w:id="270" w:name="_Toc456693076"/>
      <w:r w:rsidRPr="00FA5F97">
        <w:rPr>
          <w:rFonts w:cs="Times New Roman"/>
        </w:rPr>
        <w:lastRenderedPageBreak/>
        <w:t xml:space="preserve">There is no set format for the appeal, provided the employee is allowed adequate opportunity to present their arguments. </w:t>
      </w:r>
      <w:r w:rsidR="00743708">
        <w:rPr>
          <w:rFonts w:cs="Times New Roman"/>
        </w:rPr>
        <w:t xml:space="preserve"> </w:t>
      </w:r>
      <w:r w:rsidRPr="00FA5F97">
        <w:rPr>
          <w:rFonts w:cs="Times New Roman"/>
        </w:rPr>
        <w:t>The person chairing it must be impartial.</w:t>
      </w:r>
      <w:r w:rsidR="00743708">
        <w:rPr>
          <w:rFonts w:cs="Times New Roman"/>
        </w:rPr>
        <w:t xml:space="preserve"> </w:t>
      </w:r>
      <w:r w:rsidRPr="00FA5F97">
        <w:rPr>
          <w:rFonts w:cs="Times New Roman"/>
        </w:rPr>
        <w:t xml:space="preserve"> If the original hearing was procedurally flawed, the appeal should be conducted as a full rehearing of all the evidence.</w:t>
      </w:r>
      <w:r w:rsidR="00743708">
        <w:rPr>
          <w:rFonts w:cs="Times New Roman"/>
        </w:rPr>
        <w:t xml:space="preserve"> </w:t>
      </w:r>
      <w:r w:rsidRPr="00FA5F97">
        <w:rPr>
          <w:rFonts w:cs="Times New Roman"/>
        </w:rPr>
        <w:t xml:space="preserve"> In other cases, it may be acceptable to consider the grounds of appeal and simply review the original decision based on the paperwork and any representations the employee may make.</w:t>
      </w:r>
      <w:bookmarkEnd w:id="266"/>
      <w:bookmarkEnd w:id="267"/>
      <w:bookmarkEnd w:id="268"/>
      <w:bookmarkEnd w:id="269"/>
      <w:bookmarkEnd w:id="270"/>
      <w:r w:rsidRPr="00FA5F97">
        <w:rPr>
          <w:rFonts w:cs="Times New Roman"/>
        </w:rPr>
        <w:t xml:space="preserve"> </w:t>
      </w:r>
    </w:p>
    <w:p w14:paraId="50A4E3FA" w14:textId="77777777" w:rsidR="00FA5F97" w:rsidRPr="00FA5F97" w:rsidRDefault="00FA5F97" w:rsidP="00743708">
      <w:pPr>
        <w:pStyle w:val="Heading2"/>
        <w:rPr>
          <w:rFonts w:cs="Times New Roman"/>
        </w:rPr>
      </w:pPr>
      <w:bookmarkStart w:id="271" w:name="_Toc452539264"/>
      <w:bookmarkStart w:id="272" w:name="_Toc452539573"/>
      <w:bookmarkStart w:id="273" w:name="_Toc456622922"/>
      <w:bookmarkStart w:id="274" w:name="_Toc456692497"/>
      <w:bookmarkStart w:id="275" w:name="_Toc456693077"/>
      <w:r w:rsidRPr="00FA5F97">
        <w:rPr>
          <w:rFonts w:cs="Times New Roman"/>
        </w:rPr>
        <w:t>Employees have the same right to be accompanied at an appeal hearing as at a disciplinary hearing.</w:t>
      </w:r>
      <w:bookmarkEnd w:id="271"/>
      <w:bookmarkEnd w:id="272"/>
      <w:bookmarkEnd w:id="273"/>
      <w:bookmarkEnd w:id="274"/>
      <w:bookmarkEnd w:id="275"/>
      <w:r w:rsidRPr="00FA5F97">
        <w:rPr>
          <w:rFonts w:cs="Times New Roman"/>
        </w:rPr>
        <w:t xml:space="preserve"> </w:t>
      </w:r>
    </w:p>
    <w:p w14:paraId="60CAC184" w14:textId="060C7740" w:rsidR="00FA5F97" w:rsidRDefault="00FA5F97" w:rsidP="00743708">
      <w:pPr>
        <w:pStyle w:val="Heading2"/>
        <w:rPr>
          <w:rFonts w:cs="Times New Roman"/>
        </w:rPr>
      </w:pPr>
      <w:proofErr w:type="gramStart"/>
      <w:r w:rsidRPr="00FA5F97">
        <w:rPr>
          <w:rFonts w:cs="Times New Roman"/>
        </w:rPr>
        <w:t>In the event that</w:t>
      </w:r>
      <w:proofErr w:type="gramEnd"/>
      <w:r w:rsidRPr="00FA5F97">
        <w:rPr>
          <w:rFonts w:cs="Times New Roman"/>
        </w:rPr>
        <w:t xml:space="preserve"> an employee does not pursue an appeal but later submits an application to the employment tribunal for unfair dismissal, the tribunal may reduce any award of compensation by up to 25%.</w:t>
      </w:r>
    </w:p>
    <w:bookmarkEnd w:id="260"/>
    <w:p w14:paraId="083C02E5" w14:textId="77777777" w:rsidR="00FA5F97" w:rsidRPr="00FA5F97" w:rsidRDefault="00FA5F97" w:rsidP="00FA5F97">
      <w:pPr>
        <w:spacing w:after="180"/>
        <w:outlineLvl w:val="1"/>
        <w:rPr>
          <w:rFonts w:ascii="Arial" w:eastAsia="Arial" w:hAnsi="Arial" w:cs="Times New Roman"/>
        </w:rPr>
      </w:pPr>
    </w:p>
    <w:sectPr w:rsidR="00FA5F97" w:rsidRPr="00FA5F9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6D36" w14:textId="77777777" w:rsidR="00A24E87" w:rsidRDefault="00A24E87" w:rsidP="00FA5F97">
      <w:r>
        <w:separator/>
      </w:r>
    </w:p>
  </w:endnote>
  <w:endnote w:type="continuationSeparator" w:id="0">
    <w:p w14:paraId="4A83F44E" w14:textId="77777777" w:rsidR="00A24E87" w:rsidRDefault="00A24E87" w:rsidP="00FA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5CFB" w14:textId="77777777" w:rsidR="005A26B5" w:rsidRDefault="005A2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984784"/>
      <w:docPartObj>
        <w:docPartGallery w:val="Page Numbers (Bottom of Page)"/>
        <w:docPartUnique/>
      </w:docPartObj>
    </w:sdtPr>
    <w:sdtEndPr>
      <w:rPr>
        <w:noProof/>
      </w:rPr>
    </w:sdtEndPr>
    <w:sdtContent>
      <w:p w14:paraId="6F63D5A3" w14:textId="1B3EA858" w:rsidR="005A26B5" w:rsidRDefault="005A26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DA0A95" w14:textId="77777777" w:rsidR="00051B81" w:rsidRDefault="00051B81" w:rsidP="00992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5B79" w14:textId="77777777" w:rsidR="005A26B5" w:rsidRDefault="005A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FF3A" w14:textId="77777777" w:rsidR="00A24E87" w:rsidRDefault="00A24E87" w:rsidP="00FA5F97">
      <w:r>
        <w:separator/>
      </w:r>
    </w:p>
  </w:footnote>
  <w:footnote w:type="continuationSeparator" w:id="0">
    <w:p w14:paraId="000792BC" w14:textId="77777777" w:rsidR="00A24E87" w:rsidRDefault="00A24E87" w:rsidP="00FA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35CD" w14:textId="77777777" w:rsidR="005A26B5" w:rsidRDefault="005A2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30A7" w14:textId="77777777" w:rsidR="0079522B" w:rsidRPr="0079522B" w:rsidRDefault="0079522B" w:rsidP="0079522B">
    <w:pPr>
      <w:jc w:val="right"/>
      <w:rPr>
        <w:rFonts w:ascii="Arial" w:eastAsia="Times New Roman" w:hAnsi="Arial" w:cs="Arial"/>
        <w:b/>
        <w:sz w:val="20"/>
        <w:szCs w:val="20"/>
        <w:lang w:eastAsia="en-GB"/>
      </w:rPr>
    </w:pPr>
    <w:r w:rsidRPr="0079522B">
      <w:rPr>
        <w:rFonts w:ascii="Arial" w:eastAsia="Times New Roman" w:hAnsi="Arial" w:cs="Arial"/>
        <w:b/>
        <w:sz w:val="20"/>
        <w:szCs w:val="20"/>
        <w:lang w:eastAsia="en-GB"/>
      </w:rPr>
      <w:t xml:space="preserve">Private &amp; Confidential </w:t>
    </w:r>
  </w:p>
  <w:p w14:paraId="2E37523B" w14:textId="77777777" w:rsidR="0079522B" w:rsidRPr="0079522B" w:rsidRDefault="0079522B" w:rsidP="0079522B">
    <w:pPr>
      <w:jc w:val="right"/>
      <w:rPr>
        <w:rFonts w:ascii="Arial" w:eastAsia="Times New Roman" w:hAnsi="Arial" w:cs="Arial"/>
        <w:b/>
        <w:sz w:val="20"/>
        <w:szCs w:val="20"/>
        <w:lang w:eastAsia="en-GB"/>
      </w:rPr>
    </w:pPr>
    <w:r w:rsidRPr="0079522B">
      <w:rPr>
        <w:rFonts w:ascii="Arial" w:eastAsia="Times New Roman" w:hAnsi="Arial" w:cs="Arial"/>
        <w:b/>
        <w:sz w:val="20"/>
        <w:szCs w:val="20"/>
        <w:lang w:eastAsia="en-GB"/>
      </w:rPr>
      <w:t>Legally Privileged</w:t>
    </w:r>
  </w:p>
  <w:p w14:paraId="392119D5" w14:textId="77777777" w:rsidR="0079522B" w:rsidRDefault="0079522B" w:rsidP="00992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6CFC" w14:textId="77777777" w:rsidR="005A26B5" w:rsidRDefault="005A2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D56998"/>
    <w:multiLevelType w:val="multilevel"/>
    <w:tmpl w:val="14742DBC"/>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2"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A82799"/>
    <w:multiLevelType w:val="multilevel"/>
    <w:tmpl w:val="1CB49678"/>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4" w15:restartNumberingAfterBreak="0">
    <w:nsid w:val="21642156"/>
    <w:multiLevelType w:val="multilevel"/>
    <w:tmpl w:val="ED42B098"/>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5" w15:restartNumberingAfterBreak="0">
    <w:nsid w:val="28DC3080"/>
    <w:multiLevelType w:val="multilevel"/>
    <w:tmpl w:val="4EBCF042"/>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6" w15:restartNumberingAfterBreak="0">
    <w:nsid w:val="2BBC028D"/>
    <w:multiLevelType w:val="multilevel"/>
    <w:tmpl w:val="E6DE8056"/>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8"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40096051">
    <w:abstractNumId w:val="1"/>
  </w:num>
  <w:num w:numId="2" w16cid:durableId="1879776190">
    <w:abstractNumId w:val="9"/>
  </w:num>
  <w:num w:numId="3" w16cid:durableId="1085809488">
    <w:abstractNumId w:val="6"/>
  </w:num>
  <w:num w:numId="4" w16cid:durableId="1833523357">
    <w:abstractNumId w:val="6"/>
  </w:num>
  <w:num w:numId="5" w16cid:durableId="299775982">
    <w:abstractNumId w:val="6"/>
  </w:num>
  <w:num w:numId="6" w16cid:durableId="1819489921">
    <w:abstractNumId w:val="2"/>
  </w:num>
  <w:num w:numId="7" w16cid:durableId="881131566">
    <w:abstractNumId w:val="0"/>
  </w:num>
  <w:num w:numId="8" w16cid:durableId="1103501494">
    <w:abstractNumId w:val="5"/>
  </w:num>
  <w:num w:numId="9" w16cid:durableId="1882401305">
    <w:abstractNumId w:val="5"/>
  </w:num>
  <w:num w:numId="10" w16cid:durableId="1194687457">
    <w:abstractNumId w:val="5"/>
  </w:num>
  <w:num w:numId="11" w16cid:durableId="283508900">
    <w:abstractNumId w:val="5"/>
  </w:num>
  <w:num w:numId="12" w16cid:durableId="1208374518">
    <w:abstractNumId w:val="5"/>
  </w:num>
  <w:num w:numId="13" w16cid:durableId="1122188190">
    <w:abstractNumId w:val="5"/>
  </w:num>
  <w:num w:numId="14" w16cid:durableId="1371223006">
    <w:abstractNumId w:val="5"/>
  </w:num>
  <w:num w:numId="15" w16cid:durableId="350109376">
    <w:abstractNumId w:val="5"/>
  </w:num>
  <w:num w:numId="16" w16cid:durableId="1577277498">
    <w:abstractNumId w:val="5"/>
  </w:num>
  <w:num w:numId="17" w16cid:durableId="572666932">
    <w:abstractNumId w:val="5"/>
  </w:num>
  <w:num w:numId="18" w16cid:durableId="1330979880">
    <w:abstractNumId w:val="5"/>
  </w:num>
  <w:num w:numId="19" w16cid:durableId="2068333473">
    <w:abstractNumId w:val="4"/>
  </w:num>
  <w:num w:numId="20" w16cid:durableId="1248729376">
    <w:abstractNumId w:val="8"/>
  </w:num>
  <w:num w:numId="21" w16cid:durableId="2118912547">
    <w:abstractNumId w:val="10"/>
  </w:num>
  <w:num w:numId="22" w16cid:durableId="22177587">
    <w:abstractNumId w:val="3"/>
  </w:num>
  <w:num w:numId="23" w16cid:durableId="1746881260">
    <w:abstractNumId w:val="3"/>
  </w:num>
  <w:num w:numId="24" w16cid:durableId="1541631533">
    <w:abstractNumId w:val="3"/>
  </w:num>
  <w:num w:numId="25" w16cid:durableId="2046363015">
    <w:abstractNumId w:val="3"/>
  </w:num>
  <w:num w:numId="26" w16cid:durableId="1081023273">
    <w:abstractNumId w:val="3"/>
  </w:num>
  <w:num w:numId="27" w16cid:durableId="1536305686">
    <w:abstractNumId w:val="3"/>
  </w:num>
  <w:num w:numId="28" w16cid:durableId="1363019215">
    <w:abstractNumId w:val="3"/>
  </w:num>
  <w:num w:numId="29" w16cid:durableId="592906310">
    <w:abstractNumId w:val="3"/>
  </w:num>
  <w:num w:numId="30" w16cid:durableId="587540844">
    <w:abstractNumId w:val="3"/>
  </w:num>
  <w:num w:numId="31" w16cid:durableId="1053115684">
    <w:abstractNumId w:val="3"/>
  </w:num>
  <w:num w:numId="32" w16cid:durableId="1071078354">
    <w:abstractNumId w:val="3"/>
  </w:num>
  <w:num w:numId="33" w16cid:durableId="1666475706">
    <w:abstractNumId w:val="7"/>
  </w:num>
  <w:num w:numId="34" w16cid:durableId="661278115">
    <w:abstractNumId w:val="4"/>
  </w:num>
  <w:num w:numId="35" w16cid:durableId="1606424377">
    <w:abstractNumId w:val="4"/>
  </w:num>
  <w:num w:numId="36" w16cid:durableId="1623995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97"/>
    <w:rsid w:val="00051B81"/>
    <w:rsid w:val="000E094F"/>
    <w:rsid w:val="001E5C41"/>
    <w:rsid w:val="002B64EE"/>
    <w:rsid w:val="002D3474"/>
    <w:rsid w:val="003B02D3"/>
    <w:rsid w:val="003E4A15"/>
    <w:rsid w:val="00442F05"/>
    <w:rsid w:val="00513EF1"/>
    <w:rsid w:val="005A26B5"/>
    <w:rsid w:val="005B1ACE"/>
    <w:rsid w:val="006F3043"/>
    <w:rsid w:val="00743708"/>
    <w:rsid w:val="0079522B"/>
    <w:rsid w:val="00857A5B"/>
    <w:rsid w:val="00894D50"/>
    <w:rsid w:val="008A2072"/>
    <w:rsid w:val="008E47F7"/>
    <w:rsid w:val="009769EA"/>
    <w:rsid w:val="00992143"/>
    <w:rsid w:val="00A24E87"/>
    <w:rsid w:val="00A320C0"/>
    <w:rsid w:val="00BB4851"/>
    <w:rsid w:val="00CB342B"/>
    <w:rsid w:val="00DD5441"/>
    <w:rsid w:val="00E44479"/>
    <w:rsid w:val="00E63193"/>
    <w:rsid w:val="00F74E00"/>
    <w:rsid w:val="00FA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E175"/>
  <w15:chartTrackingRefBased/>
  <w15:docId w15:val="{EC38356D-310C-4A7A-9222-D6A9F4F0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992143"/>
    <w:pPr>
      <w:spacing w:after="0" w:line="240" w:lineRule="auto"/>
      <w:jc w:val="both"/>
    </w:pPr>
  </w:style>
  <w:style w:type="paragraph" w:styleId="Heading1">
    <w:name w:val="heading 1"/>
    <w:basedOn w:val="BodyText"/>
    <w:link w:val="Heading1Char"/>
    <w:uiPriority w:val="3"/>
    <w:qFormat/>
    <w:rsid w:val="00992143"/>
    <w:pPr>
      <w:numPr>
        <w:numId w:val="19"/>
      </w:numPr>
      <w:outlineLvl w:val="0"/>
    </w:pPr>
  </w:style>
  <w:style w:type="paragraph" w:styleId="Heading2">
    <w:name w:val="heading 2"/>
    <w:basedOn w:val="BodyText"/>
    <w:link w:val="Heading2Char"/>
    <w:uiPriority w:val="3"/>
    <w:qFormat/>
    <w:rsid w:val="00992143"/>
    <w:pPr>
      <w:numPr>
        <w:ilvl w:val="1"/>
        <w:numId w:val="19"/>
      </w:numPr>
      <w:outlineLvl w:val="1"/>
    </w:pPr>
  </w:style>
  <w:style w:type="paragraph" w:styleId="Heading3">
    <w:name w:val="heading 3"/>
    <w:basedOn w:val="BodyText"/>
    <w:link w:val="Heading3Char"/>
    <w:uiPriority w:val="3"/>
    <w:qFormat/>
    <w:rsid w:val="00992143"/>
    <w:pPr>
      <w:numPr>
        <w:ilvl w:val="2"/>
        <w:numId w:val="19"/>
      </w:numPr>
      <w:outlineLvl w:val="2"/>
    </w:pPr>
  </w:style>
  <w:style w:type="paragraph" w:styleId="Heading4">
    <w:name w:val="heading 4"/>
    <w:basedOn w:val="BodyText"/>
    <w:link w:val="Heading4Char"/>
    <w:uiPriority w:val="3"/>
    <w:qFormat/>
    <w:rsid w:val="00992143"/>
    <w:pPr>
      <w:numPr>
        <w:ilvl w:val="3"/>
        <w:numId w:val="19"/>
      </w:numPr>
      <w:outlineLvl w:val="3"/>
    </w:pPr>
  </w:style>
  <w:style w:type="paragraph" w:styleId="Heading5">
    <w:name w:val="heading 5"/>
    <w:basedOn w:val="BodyText"/>
    <w:link w:val="Heading5Char"/>
    <w:uiPriority w:val="3"/>
    <w:qFormat/>
    <w:rsid w:val="00992143"/>
    <w:pPr>
      <w:numPr>
        <w:ilvl w:val="4"/>
        <w:numId w:val="19"/>
      </w:numPr>
      <w:outlineLvl w:val="4"/>
    </w:pPr>
  </w:style>
  <w:style w:type="paragraph" w:styleId="Heading6">
    <w:name w:val="heading 6"/>
    <w:basedOn w:val="BodyText"/>
    <w:link w:val="Heading6Char"/>
    <w:uiPriority w:val="3"/>
    <w:qFormat/>
    <w:rsid w:val="00992143"/>
    <w:pPr>
      <w:numPr>
        <w:ilvl w:val="5"/>
        <w:numId w:val="19"/>
      </w:numPr>
      <w:outlineLvl w:val="5"/>
    </w:pPr>
    <w:rPr>
      <w:bCs/>
    </w:rPr>
  </w:style>
  <w:style w:type="paragraph" w:styleId="Heading7">
    <w:name w:val="heading 7"/>
    <w:basedOn w:val="BodyText"/>
    <w:link w:val="Heading7Char"/>
    <w:uiPriority w:val="3"/>
    <w:rsid w:val="00992143"/>
    <w:pPr>
      <w:numPr>
        <w:ilvl w:val="6"/>
        <w:numId w:val="19"/>
      </w:numPr>
      <w:outlineLvl w:val="6"/>
    </w:pPr>
  </w:style>
  <w:style w:type="paragraph" w:styleId="Heading8">
    <w:name w:val="heading 8"/>
    <w:basedOn w:val="BodyText"/>
    <w:link w:val="Heading8Char"/>
    <w:uiPriority w:val="3"/>
    <w:rsid w:val="00992143"/>
    <w:pPr>
      <w:numPr>
        <w:ilvl w:val="7"/>
        <w:numId w:val="19"/>
      </w:numPr>
      <w:outlineLvl w:val="7"/>
    </w:pPr>
  </w:style>
  <w:style w:type="paragraph" w:styleId="Heading9">
    <w:name w:val="heading 9"/>
    <w:basedOn w:val="BodyText"/>
    <w:link w:val="Heading9Char"/>
    <w:uiPriority w:val="3"/>
    <w:rsid w:val="00992143"/>
    <w:pPr>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
    <w:semiHidden/>
    <w:rsid w:val="00992143"/>
    <w:rPr>
      <w:sz w:val="18"/>
    </w:rPr>
  </w:style>
  <w:style w:type="character" w:customStyle="1" w:styleId="EndnoteTextChar">
    <w:name w:val="Endnote Text Char"/>
    <w:basedOn w:val="DefaultParagraphFont"/>
    <w:link w:val="EndnoteText"/>
    <w:uiPriority w:val="9"/>
    <w:semiHidden/>
    <w:rsid w:val="00992143"/>
    <w:rPr>
      <w:sz w:val="18"/>
    </w:rPr>
  </w:style>
  <w:style w:type="paragraph" w:styleId="Header">
    <w:name w:val="header"/>
    <w:basedOn w:val="BodyText"/>
    <w:link w:val="HeaderChar"/>
    <w:uiPriority w:val="9"/>
    <w:rsid w:val="00992143"/>
    <w:pPr>
      <w:tabs>
        <w:tab w:val="center" w:pos="4150"/>
        <w:tab w:val="right" w:pos="8307"/>
      </w:tabs>
      <w:spacing w:after="0"/>
    </w:pPr>
    <w:rPr>
      <w:sz w:val="18"/>
    </w:rPr>
  </w:style>
  <w:style w:type="character" w:customStyle="1" w:styleId="HeaderChar">
    <w:name w:val="Header Char"/>
    <w:basedOn w:val="DefaultParagraphFont"/>
    <w:link w:val="Header"/>
    <w:uiPriority w:val="9"/>
    <w:rsid w:val="00992143"/>
    <w:rPr>
      <w:sz w:val="18"/>
    </w:rPr>
  </w:style>
  <w:style w:type="paragraph" w:styleId="Footer">
    <w:name w:val="footer"/>
    <w:basedOn w:val="BodyText"/>
    <w:link w:val="FooterChar"/>
    <w:uiPriority w:val="99"/>
    <w:rsid w:val="00992143"/>
    <w:pPr>
      <w:tabs>
        <w:tab w:val="center" w:pos="4150"/>
        <w:tab w:val="right" w:pos="8307"/>
      </w:tabs>
      <w:spacing w:after="0"/>
    </w:pPr>
    <w:rPr>
      <w:sz w:val="18"/>
    </w:rPr>
  </w:style>
  <w:style w:type="character" w:customStyle="1" w:styleId="FooterChar">
    <w:name w:val="Footer Char"/>
    <w:basedOn w:val="DefaultParagraphFont"/>
    <w:link w:val="Footer"/>
    <w:uiPriority w:val="99"/>
    <w:rsid w:val="00992143"/>
    <w:rPr>
      <w:sz w:val="18"/>
    </w:rPr>
  </w:style>
  <w:style w:type="paragraph" w:styleId="BodyText">
    <w:name w:val="Body Text"/>
    <w:basedOn w:val="Normal"/>
    <w:link w:val="BodyTextChar"/>
    <w:uiPriority w:val="2"/>
    <w:qFormat/>
    <w:rsid w:val="00992143"/>
    <w:pPr>
      <w:spacing w:after="180"/>
    </w:pPr>
    <w:rPr>
      <w:rFonts w:ascii="Arial" w:hAnsi="Arial" w:cs="Arial"/>
    </w:rPr>
  </w:style>
  <w:style w:type="character" w:customStyle="1" w:styleId="BodyTextChar">
    <w:name w:val="Body Text Char"/>
    <w:basedOn w:val="DefaultParagraphFont"/>
    <w:link w:val="BodyText"/>
    <w:uiPriority w:val="2"/>
    <w:rsid w:val="00992143"/>
    <w:rPr>
      <w:rFonts w:ascii="Arial" w:hAnsi="Arial" w:cs="Arial"/>
    </w:rPr>
  </w:style>
  <w:style w:type="paragraph" w:customStyle="1" w:styleId="AppendixHeading">
    <w:name w:val="Appendix Heading"/>
    <w:basedOn w:val="BodyText"/>
    <w:next w:val="BodyText"/>
    <w:uiPriority w:val="9"/>
    <w:rsid w:val="00992143"/>
    <w:pPr>
      <w:pageBreakBefore/>
      <w:numPr>
        <w:numId w:val="2"/>
      </w:numPr>
      <w:jc w:val="left"/>
    </w:pPr>
    <w:rPr>
      <w:rFonts w:asciiTheme="majorHAnsi" w:hAnsiTheme="majorHAnsi"/>
      <w:b/>
      <w:sz w:val="28"/>
    </w:rPr>
  </w:style>
  <w:style w:type="paragraph" w:styleId="BalloonText">
    <w:name w:val="Balloon Text"/>
    <w:basedOn w:val="Normal"/>
    <w:link w:val="BalloonTextChar"/>
    <w:uiPriority w:val="9"/>
    <w:semiHidden/>
    <w:rsid w:val="00992143"/>
    <w:rPr>
      <w:rFonts w:ascii="Tahoma" w:hAnsi="Tahoma" w:cs="Tahoma"/>
      <w:sz w:val="16"/>
      <w:szCs w:val="16"/>
    </w:rPr>
  </w:style>
  <w:style w:type="character" w:customStyle="1" w:styleId="BalloonTextChar">
    <w:name w:val="Balloon Text Char"/>
    <w:basedOn w:val="DefaultParagraphFont"/>
    <w:link w:val="BalloonText"/>
    <w:uiPriority w:val="9"/>
    <w:semiHidden/>
    <w:rsid w:val="00992143"/>
    <w:rPr>
      <w:rFonts w:ascii="Tahoma" w:hAnsi="Tahoma" w:cs="Tahoma"/>
      <w:sz w:val="16"/>
      <w:szCs w:val="16"/>
    </w:rPr>
  </w:style>
  <w:style w:type="paragraph" w:customStyle="1" w:styleId="BodyTextBold">
    <w:name w:val="Body Text Bold"/>
    <w:basedOn w:val="BodyText"/>
    <w:next w:val="BodyText"/>
    <w:link w:val="BodyTextBoldChar"/>
    <w:uiPriority w:val="1"/>
    <w:qFormat/>
    <w:rsid w:val="00992143"/>
    <w:rPr>
      <w:b/>
    </w:rPr>
  </w:style>
  <w:style w:type="character" w:customStyle="1" w:styleId="BodyTextBoldChar">
    <w:name w:val="Body Text Bold Char"/>
    <w:basedOn w:val="DefaultParagraphFont"/>
    <w:link w:val="BodyTextBold"/>
    <w:uiPriority w:val="1"/>
    <w:rsid w:val="00992143"/>
    <w:rPr>
      <w:b/>
    </w:rPr>
  </w:style>
  <w:style w:type="paragraph" w:customStyle="1" w:styleId="BodyTextGrey">
    <w:name w:val="Body Text Grey"/>
    <w:basedOn w:val="BodyText"/>
    <w:uiPriority w:val="1"/>
    <w:rsid w:val="00992143"/>
    <w:rPr>
      <w:color w:val="808080"/>
      <w:sz w:val="18"/>
    </w:rPr>
  </w:style>
  <w:style w:type="paragraph" w:customStyle="1" w:styleId="BodyTextIndent1">
    <w:name w:val="Body Text Indent 1"/>
    <w:basedOn w:val="BodyText"/>
    <w:uiPriority w:val="4"/>
    <w:qFormat/>
    <w:rsid w:val="00992143"/>
    <w:pPr>
      <w:ind w:left="907"/>
    </w:pPr>
  </w:style>
  <w:style w:type="paragraph" w:customStyle="1" w:styleId="BodyTextIndent1Bold">
    <w:name w:val="Body Text Indent 1 Bold"/>
    <w:basedOn w:val="BodyText"/>
    <w:next w:val="BodyTextIndent1"/>
    <w:uiPriority w:val="1"/>
    <w:qFormat/>
    <w:rsid w:val="00992143"/>
    <w:pPr>
      <w:ind w:left="907"/>
    </w:pPr>
    <w:rPr>
      <w:b/>
    </w:rPr>
  </w:style>
  <w:style w:type="paragraph" w:styleId="BodyTextIndent2">
    <w:name w:val="Body Text Indent 2"/>
    <w:basedOn w:val="BodyText"/>
    <w:link w:val="BodyTextIndent2Char"/>
    <w:uiPriority w:val="4"/>
    <w:qFormat/>
    <w:rsid w:val="00992143"/>
    <w:pPr>
      <w:ind w:left="1474"/>
    </w:pPr>
  </w:style>
  <w:style w:type="character" w:customStyle="1" w:styleId="BodyTextIndent2Char">
    <w:name w:val="Body Text Indent 2 Char"/>
    <w:basedOn w:val="DefaultParagraphFont"/>
    <w:link w:val="BodyTextIndent2"/>
    <w:uiPriority w:val="4"/>
    <w:rsid w:val="00992143"/>
    <w:rPr>
      <w:rFonts w:cs="Arial"/>
    </w:rPr>
  </w:style>
  <w:style w:type="paragraph" w:styleId="BodyTextIndent3">
    <w:name w:val="Body Text Indent 3"/>
    <w:basedOn w:val="BodyText"/>
    <w:link w:val="BodyTextIndent3Char"/>
    <w:uiPriority w:val="4"/>
    <w:qFormat/>
    <w:rsid w:val="00992143"/>
    <w:pPr>
      <w:ind w:left="2041"/>
    </w:pPr>
    <w:rPr>
      <w:szCs w:val="16"/>
    </w:rPr>
  </w:style>
  <w:style w:type="character" w:customStyle="1" w:styleId="BodyTextIndent3Char">
    <w:name w:val="Body Text Indent 3 Char"/>
    <w:basedOn w:val="DefaultParagraphFont"/>
    <w:link w:val="BodyTextIndent3"/>
    <w:uiPriority w:val="4"/>
    <w:rsid w:val="00992143"/>
    <w:rPr>
      <w:rFonts w:cs="Arial"/>
      <w:szCs w:val="16"/>
    </w:rPr>
  </w:style>
  <w:style w:type="paragraph" w:customStyle="1" w:styleId="BodyTextIndent4">
    <w:name w:val="Body Text Indent 4"/>
    <w:basedOn w:val="BodyText"/>
    <w:uiPriority w:val="4"/>
    <w:qFormat/>
    <w:rsid w:val="00992143"/>
    <w:pPr>
      <w:ind w:left="2608"/>
    </w:pPr>
  </w:style>
  <w:style w:type="paragraph" w:customStyle="1" w:styleId="BodyTextIndent5">
    <w:name w:val="Body Text Indent 5"/>
    <w:basedOn w:val="BodyText"/>
    <w:uiPriority w:val="4"/>
    <w:qFormat/>
    <w:rsid w:val="00992143"/>
    <w:pPr>
      <w:ind w:left="3175"/>
    </w:pPr>
  </w:style>
  <w:style w:type="paragraph" w:customStyle="1" w:styleId="BodyTextIndent6">
    <w:name w:val="Body Text Indent 6"/>
    <w:basedOn w:val="BodyText"/>
    <w:uiPriority w:val="4"/>
    <w:qFormat/>
    <w:rsid w:val="00992143"/>
    <w:pPr>
      <w:ind w:left="3742"/>
    </w:pPr>
  </w:style>
  <w:style w:type="paragraph" w:styleId="Caption">
    <w:name w:val="caption"/>
    <w:basedOn w:val="BodyText"/>
    <w:next w:val="BodyText"/>
    <w:uiPriority w:val="35"/>
    <w:semiHidden/>
    <w:qFormat/>
    <w:rsid w:val="00992143"/>
    <w:pPr>
      <w:jc w:val="left"/>
    </w:pPr>
    <w:rPr>
      <w:bCs/>
      <w:szCs w:val="18"/>
    </w:rPr>
  </w:style>
  <w:style w:type="paragraph" w:customStyle="1" w:styleId="Commencement">
    <w:name w:val="Commencement"/>
    <w:basedOn w:val="BodyText"/>
    <w:uiPriority w:val="9"/>
    <w:semiHidden/>
    <w:rsid w:val="00992143"/>
  </w:style>
  <w:style w:type="paragraph" w:customStyle="1" w:styleId="Contents">
    <w:name w:val="Contents"/>
    <w:basedOn w:val="BodyText"/>
    <w:next w:val="BodyText"/>
    <w:uiPriority w:val="9"/>
    <w:rsid w:val="00992143"/>
    <w:rPr>
      <w:rFonts w:asciiTheme="majorHAnsi" w:hAnsiTheme="majorHAnsi"/>
      <w:b/>
      <w:sz w:val="28"/>
    </w:rPr>
  </w:style>
  <w:style w:type="paragraph" w:customStyle="1" w:styleId="CourtBodyText">
    <w:name w:val="Court Body Text"/>
    <w:basedOn w:val="BodyText"/>
    <w:uiPriority w:val="8"/>
    <w:qFormat/>
    <w:rsid w:val="00992143"/>
    <w:pPr>
      <w:spacing w:line="360" w:lineRule="auto"/>
    </w:pPr>
  </w:style>
  <w:style w:type="paragraph" w:customStyle="1" w:styleId="CourtBodyText1">
    <w:name w:val="Court Body Text 1"/>
    <w:basedOn w:val="BodyText"/>
    <w:uiPriority w:val="8"/>
    <w:qFormat/>
    <w:rsid w:val="00992143"/>
    <w:pPr>
      <w:spacing w:line="360" w:lineRule="auto"/>
      <w:ind w:left="907"/>
    </w:pPr>
  </w:style>
  <w:style w:type="paragraph" w:customStyle="1" w:styleId="CourtBodyText2">
    <w:name w:val="Court Body Text 2"/>
    <w:basedOn w:val="BodyText"/>
    <w:uiPriority w:val="8"/>
    <w:qFormat/>
    <w:rsid w:val="00992143"/>
    <w:pPr>
      <w:spacing w:line="360" w:lineRule="auto"/>
      <w:ind w:left="1474"/>
    </w:pPr>
  </w:style>
  <w:style w:type="paragraph" w:customStyle="1" w:styleId="CourtBodyText3">
    <w:name w:val="Court Body Text 3"/>
    <w:basedOn w:val="BodyText"/>
    <w:uiPriority w:val="8"/>
    <w:qFormat/>
    <w:rsid w:val="00992143"/>
    <w:pPr>
      <w:spacing w:line="360" w:lineRule="auto"/>
      <w:ind w:left="2041"/>
    </w:pPr>
  </w:style>
  <w:style w:type="paragraph" w:customStyle="1" w:styleId="CourtHeading1">
    <w:name w:val="Court Heading 1"/>
    <w:basedOn w:val="BodyText"/>
    <w:uiPriority w:val="8"/>
    <w:qFormat/>
    <w:rsid w:val="00992143"/>
    <w:pPr>
      <w:numPr>
        <w:numId w:val="6"/>
      </w:numPr>
      <w:spacing w:line="360" w:lineRule="auto"/>
    </w:pPr>
  </w:style>
  <w:style w:type="paragraph" w:customStyle="1" w:styleId="CourtHeading2">
    <w:name w:val="Court Heading 2"/>
    <w:basedOn w:val="BodyText"/>
    <w:uiPriority w:val="8"/>
    <w:qFormat/>
    <w:rsid w:val="00992143"/>
    <w:pPr>
      <w:numPr>
        <w:ilvl w:val="1"/>
        <w:numId w:val="6"/>
      </w:numPr>
      <w:spacing w:line="360" w:lineRule="auto"/>
    </w:pPr>
  </w:style>
  <w:style w:type="paragraph" w:customStyle="1" w:styleId="CourtHeading3">
    <w:name w:val="Court Heading 3"/>
    <w:basedOn w:val="BodyText"/>
    <w:uiPriority w:val="8"/>
    <w:qFormat/>
    <w:rsid w:val="00992143"/>
    <w:pPr>
      <w:numPr>
        <w:ilvl w:val="2"/>
        <w:numId w:val="6"/>
      </w:numPr>
      <w:spacing w:line="360" w:lineRule="auto"/>
    </w:pPr>
  </w:style>
  <w:style w:type="numbering" w:customStyle="1" w:styleId="CourtHeadings">
    <w:name w:val="Court Headings"/>
    <w:uiPriority w:val="99"/>
    <w:rsid w:val="00992143"/>
    <w:pPr>
      <w:numPr>
        <w:numId w:val="6"/>
      </w:numPr>
    </w:pPr>
  </w:style>
  <w:style w:type="character" w:styleId="Emphasis">
    <w:name w:val="Emphasis"/>
    <w:basedOn w:val="DefaultParagraphFont"/>
    <w:uiPriority w:val="20"/>
    <w:rsid w:val="00992143"/>
    <w:rPr>
      <w:b/>
      <w:i w:val="0"/>
      <w:iCs/>
    </w:rPr>
  </w:style>
  <w:style w:type="character" w:styleId="EndnoteReference">
    <w:name w:val="endnote reference"/>
    <w:uiPriority w:val="9"/>
    <w:semiHidden/>
    <w:rsid w:val="00992143"/>
    <w:rPr>
      <w:vertAlign w:val="superscript"/>
    </w:rPr>
  </w:style>
  <w:style w:type="paragraph" w:customStyle="1" w:styleId="ExecutionHeading">
    <w:name w:val="Execution Heading"/>
    <w:basedOn w:val="BodyText"/>
    <w:next w:val="BodyText"/>
    <w:uiPriority w:val="9"/>
    <w:rsid w:val="00992143"/>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992143"/>
    <w:pPr>
      <w:pageBreakBefore/>
      <w:numPr>
        <w:numId w:val="7"/>
      </w:numPr>
      <w:jc w:val="left"/>
      <w:outlineLvl w:val="0"/>
    </w:pPr>
    <w:rPr>
      <w:rFonts w:asciiTheme="majorHAnsi" w:hAnsiTheme="majorHAnsi"/>
      <w:b/>
      <w:sz w:val="28"/>
    </w:rPr>
  </w:style>
  <w:style w:type="character" w:styleId="FootnoteReference">
    <w:name w:val="footnote reference"/>
    <w:uiPriority w:val="9"/>
    <w:semiHidden/>
    <w:rsid w:val="00992143"/>
    <w:rPr>
      <w:vertAlign w:val="superscript"/>
    </w:rPr>
  </w:style>
  <w:style w:type="paragraph" w:styleId="FootnoteText">
    <w:name w:val="footnote text"/>
    <w:basedOn w:val="Normal"/>
    <w:link w:val="FootnoteTextChar"/>
    <w:uiPriority w:val="9"/>
    <w:semiHidden/>
    <w:rsid w:val="00992143"/>
    <w:rPr>
      <w:sz w:val="18"/>
    </w:rPr>
  </w:style>
  <w:style w:type="character" w:customStyle="1" w:styleId="FootnoteTextChar">
    <w:name w:val="Footnote Text Char"/>
    <w:basedOn w:val="DefaultParagraphFont"/>
    <w:link w:val="FootnoteText"/>
    <w:uiPriority w:val="9"/>
    <w:semiHidden/>
    <w:rsid w:val="00992143"/>
    <w:rPr>
      <w:sz w:val="18"/>
    </w:rPr>
  </w:style>
  <w:style w:type="character" w:customStyle="1" w:styleId="Heading1Char">
    <w:name w:val="Heading 1 Char"/>
    <w:basedOn w:val="DefaultParagraphFont"/>
    <w:link w:val="Heading1"/>
    <w:uiPriority w:val="3"/>
    <w:rsid w:val="00992143"/>
  </w:style>
  <w:style w:type="paragraph" w:customStyle="1" w:styleId="Heading1Bold">
    <w:name w:val="Heading 1 Bold"/>
    <w:basedOn w:val="Heading1"/>
    <w:next w:val="BodyTextIndent1"/>
    <w:qFormat/>
    <w:rsid w:val="00992143"/>
    <w:pPr>
      <w:keepNext/>
    </w:pPr>
    <w:rPr>
      <w:b/>
      <w:sz w:val="24"/>
    </w:rPr>
  </w:style>
  <w:style w:type="character" w:customStyle="1" w:styleId="Heading2Char">
    <w:name w:val="Heading 2 Char"/>
    <w:basedOn w:val="DefaultParagraphFont"/>
    <w:link w:val="Heading2"/>
    <w:uiPriority w:val="3"/>
    <w:rsid w:val="00992143"/>
  </w:style>
  <w:style w:type="paragraph" w:customStyle="1" w:styleId="Heading2Bold">
    <w:name w:val="Heading 2 Bold"/>
    <w:basedOn w:val="Heading2"/>
    <w:next w:val="BodyTextIndent1"/>
    <w:qFormat/>
    <w:rsid w:val="00992143"/>
    <w:pPr>
      <w:keepNext/>
    </w:pPr>
    <w:rPr>
      <w:rFonts w:asciiTheme="majorHAnsi" w:hAnsiTheme="majorHAnsi"/>
      <w:b/>
    </w:rPr>
  </w:style>
  <w:style w:type="character" w:customStyle="1" w:styleId="Heading3Char">
    <w:name w:val="Heading 3 Char"/>
    <w:basedOn w:val="DefaultParagraphFont"/>
    <w:link w:val="Heading3"/>
    <w:uiPriority w:val="3"/>
    <w:rsid w:val="00992143"/>
  </w:style>
  <w:style w:type="character" w:customStyle="1" w:styleId="Heading4Char">
    <w:name w:val="Heading 4 Char"/>
    <w:basedOn w:val="DefaultParagraphFont"/>
    <w:link w:val="Heading4"/>
    <w:uiPriority w:val="3"/>
    <w:rsid w:val="00992143"/>
  </w:style>
  <w:style w:type="character" w:customStyle="1" w:styleId="Heading5Char">
    <w:name w:val="Heading 5 Char"/>
    <w:basedOn w:val="DefaultParagraphFont"/>
    <w:link w:val="Heading5"/>
    <w:uiPriority w:val="3"/>
    <w:rsid w:val="00992143"/>
  </w:style>
  <w:style w:type="character" w:customStyle="1" w:styleId="Heading6Char">
    <w:name w:val="Heading 6 Char"/>
    <w:basedOn w:val="DefaultParagraphFont"/>
    <w:link w:val="Heading6"/>
    <w:uiPriority w:val="3"/>
    <w:rsid w:val="00992143"/>
    <w:rPr>
      <w:bCs/>
    </w:rPr>
  </w:style>
  <w:style w:type="character" w:customStyle="1" w:styleId="Heading7Char">
    <w:name w:val="Heading 7 Char"/>
    <w:basedOn w:val="DefaultParagraphFont"/>
    <w:link w:val="Heading7"/>
    <w:uiPriority w:val="3"/>
    <w:rsid w:val="00992143"/>
  </w:style>
  <w:style w:type="character" w:customStyle="1" w:styleId="Heading8Char">
    <w:name w:val="Heading 8 Char"/>
    <w:basedOn w:val="DefaultParagraphFont"/>
    <w:link w:val="Heading8"/>
    <w:uiPriority w:val="3"/>
    <w:rsid w:val="00992143"/>
  </w:style>
  <w:style w:type="character" w:customStyle="1" w:styleId="Heading9Char">
    <w:name w:val="Heading 9 Char"/>
    <w:basedOn w:val="DefaultParagraphFont"/>
    <w:link w:val="Heading9"/>
    <w:uiPriority w:val="3"/>
    <w:rsid w:val="00992143"/>
  </w:style>
  <w:style w:type="numbering" w:customStyle="1" w:styleId="Headings">
    <w:name w:val="Headings"/>
    <w:uiPriority w:val="99"/>
    <w:rsid w:val="00992143"/>
    <w:pPr>
      <w:numPr>
        <w:numId w:val="19"/>
      </w:numPr>
    </w:pPr>
  </w:style>
  <w:style w:type="character" w:styleId="Hyperlink">
    <w:name w:val="Hyperlink"/>
    <w:uiPriority w:val="99"/>
    <w:rsid w:val="00992143"/>
    <w:rPr>
      <w:rFonts w:ascii="Arial" w:hAnsi="Arial"/>
      <w:color w:val="0000FF"/>
      <w:sz w:val="22"/>
      <w:u w:val="single"/>
    </w:rPr>
  </w:style>
  <w:style w:type="paragraph" w:customStyle="1" w:styleId="Notes">
    <w:name w:val="Notes"/>
    <w:basedOn w:val="BodyText"/>
    <w:next w:val="BodyText"/>
    <w:uiPriority w:val="9"/>
    <w:rsid w:val="00992143"/>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2143"/>
    <w:rPr>
      <w:rFonts w:asciiTheme="minorHAnsi" w:hAnsiTheme="minorHAnsi"/>
      <w:sz w:val="18"/>
    </w:rPr>
  </w:style>
  <w:style w:type="paragraph" w:customStyle="1" w:styleId="Parties">
    <w:name w:val="Parties"/>
    <w:basedOn w:val="BodyText"/>
    <w:uiPriority w:val="9"/>
    <w:rsid w:val="00992143"/>
    <w:pPr>
      <w:numPr>
        <w:numId w:val="20"/>
      </w:numPr>
    </w:pPr>
  </w:style>
  <w:style w:type="character" w:styleId="PlaceholderText">
    <w:name w:val="Placeholder Text"/>
    <w:basedOn w:val="DefaultParagraphFont"/>
    <w:uiPriority w:val="99"/>
    <w:semiHidden/>
    <w:rsid w:val="00992143"/>
    <w:rPr>
      <w:color w:val="808080"/>
    </w:rPr>
  </w:style>
  <w:style w:type="paragraph" w:customStyle="1" w:styleId="Recitals">
    <w:name w:val="Recitals"/>
    <w:basedOn w:val="BodyText"/>
    <w:uiPriority w:val="9"/>
    <w:rsid w:val="00992143"/>
    <w:pPr>
      <w:numPr>
        <w:numId w:val="21"/>
      </w:numPr>
    </w:pPr>
  </w:style>
  <w:style w:type="paragraph" w:customStyle="1" w:styleId="SchLevel1">
    <w:name w:val="Sch Level 1"/>
    <w:basedOn w:val="BodyText"/>
    <w:uiPriority w:val="6"/>
    <w:qFormat/>
    <w:rsid w:val="00992143"/>
    <w:pPr>
      <w:numPr>
        <w:ilvl w:val="1"/>
        <w:numId w:val="33"/>
      </w:numPr>
      <w:outlineLvl w:val="1"/>
    </w:pPr>
  </w:style>
  <w:style w:type="paragraph" w:customStyle="1" w:styleId="SchLevel1Bold">
    <w:name w:val="Sch Level 1 Bold"/>
    <w:basedOn w:val="SchLevel1"/>
    <w:next w:val="BodyTextIndent1"/>
    <w:uiPriority w:val="6"/>
    <w:qFormat/>
    <w:rsid w:val="00992143"/>
    <w:rPr>
      <w:b/>
      <w:sz w:val="24"/>
    </w:rPr>
  </w:style>
  <w:style w:type="paragraph" w:customStyle="1" w:styleId="SchLevel2">
    <w:name w:val="Sch Level 2"/>
    <w:basedOn w:val="BodyText"/>
    <w:uiPriority w:val="6"/>
    <w:qFormat/>
    <w:rsid w:val="00992143"/>
    <w:pPr>
      <w:numPr>
        <w:ilvl w:val="2"/>
        <w:numId w:val="33"/>
      </w:numPr>
      <w:outlineLvl w:val="2"/>
    </w:pPr>
  </w:style>
  <w:style w:type="paragraph" w:customStyle="1" w:styleId="SchLevel2Bold">
    <w:name w:val="Sch Level 2 Bold"/>
    <w:basedOn w:val="SchLevel2"/>
    <w:next w:val="BodyTextIndent1"/>
    <w:uiPriority w:val="6"/>
    <w:qFormat/>
    <w:rsid w:val="00992143"/>
    <w:rPr>
      <w:b/>
    </w:rPr>
  </w:style>
  <w:style w:type="paragraph" w:customStyle="1" w:styleId="SchLevel3">
    <w:name w:val="Sch Level 3"/>
    <w:basedOn w:val="BodyText"/>
    <w:uiPriority w:val="6"/>
    <w:qFormat/>
    <w:rsid w:val="00992143"/>
    <w:pPr>
      <w:numPr>
        <w:ilvl w:val="3"/>
        <w:numId w:val="33"/>
      </w:numPr>
      <w:outlineLvl w:val="3"/>
    </w:pPr>
  </w:style>
  <w:style w:type="paragraph" w:customStyle="1" w:styleId="SchLevel4">
    <w:name w:val="Sch Level 4"/>
    <w:basedOn w:val="BodyText"/>
    <w:uiPriority w:val="6"/>
    <w:rsid w:val="00992143"/>
    <w:pPr>
      <w:numPr>
        <w:ilvl w:val="4"/>
        <w:numId w:val="33"/>
      </w:numPr>
      <w:outlineLvl w:val="4"/>
    </w:pPr>
  </w:style>
  <w:style w:type="paragraph" w:customStyle="1" w:styleId="SchLevel5">
    <w:name w:val="Sch Level 5"/>
    <w:basedOn w:val="BodyText"/>
    <w:uiPriority w:val="6"/>
    <w:rsid w:val="00992143"/>
    <w:pPr>
      <w:numPr>
        <w:ilvl w:val="5"/>
        <w:numId w:val="33"/>
      </w:numPr>
      <w:outlineLvl w:val="5"/>
    </w:pPr>
  </w:style>
  <w:style w:type="paragraph" w:customStyle="1" w:styleId="SchLevel6">
    <w:name w:val="Sch Level 6"/>
    <w:basedOn w:val="BodyText"/>
    <w:uiPriority w:val="6"/>
    <w:rsid w:val="00992143"/>
    <w:pPr>
      <w:numPr>
        <w:ilvl w:val="6"/>
        <w:numId w:val="33"/>
      </w:numPr>
      <w:outlineLvl w:val="6"/>
    </w:pPr>
  </w:style>
  <w:style w:type="paragraph" w:customStyle="1" w:styleId="SchLevel7">
    <w:name w:val="Sch Level 7"/>
    <w:basedOn w:val="BodyText"/>
    <w:uiPriority w:val="6"/>
    <w:rsid w:val="00992143"/>
    <w:pPr>
      <w:numPr>
        <w:ilvl w:val="7"/>
        <w:numId w:val="33"/>
      </w:numPr>
      <w:outlineLvl w:val="7"/>
    </w:pPr>
  </w:style>
  <w:style w:type="paragraph" w:customStyle="1" w:styleId="SchLevel8">
    <w:name w:val="Sch Level 8"/>
    <w:basedOn w:val="BodyText"/>
    <w:uiPriority w:val="6"/>
    <w:rsid w:val="00992143"/>
    <w:pPr>
      <w:numPr>
        <w:ilvl w:val="8"/>
        <w:numId w:val="33"/>
      </w:numPr>
      <w:outlineLvl w:val="8"/>
    </w:pPr>
  </w:style>
  <w:style w:type="paragraph" w:customStyle="1" w:styleId="SchTitle1">
    <w:name w:val="Sch Title 1"/>
    <w:basedOn w:val="BodyText"/>
    <w:next w:val="BodyText"/>
    <w:uiPriority w:val="5"/>
    <w:qFormat/>
    <w:rsid w:val="00992143"/>
    <w:pPr>
      <w:pageBreakBefore/>
      <w:numPr>
        <w:numId w:val="33"/>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992143"/>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992143"/>
    <w:pPr>
      <w:jc w:val="left"/>
      <w:outlineLvl w:val="2"/>
    </w:pPr>
    <w:rPr>
      <w:rFonts w:asciiTheme="majorHAnsi" w:hAnsiTheme="majorHAnsi"/>
      <w:b/>
      <w:sz w:val="24"/>
    </w:rPr>
  </w:style>
  <w:style w:type="numbering" w:customStyle="1" w:styleId="Schedules">
    <w:name w:val="Schedules"/>
    <w:uiPriority w:val="99"/>
    <w:rsid w:val="00992143"/>
    <w:pPr>
      <w:numPr>
        <w:numId w:val="33"/>
      </w:numPr>
    </w:pPr>
  </w:style>
  <w:style w:type="character" w:styleId="Strong">
    <w:name w:val="Strong"/>
    <w:basedOn w:val="DefaultParagraphFont"/>
    <w:uiPriority w:val="99"/>
    <w:rsid w:val="00992143"/>
    <w:rPr>
      <w:b/>
      <w:bCs/>
    </w:rPr>
  </w:style>
  <w:style w:type="paragraph" w:customStyle="1" w:styleId="TableBody">
    <w:name w:val="Table Body"/>
    <w:basedOn w:val="Normal"/>
    <w:uiPriority w:val="9"/>
    <w:rsid w:val="00992143"/>
    <w:pPr>
      <w:spacing w:after="180"/>
      <w:jc w:val="left"/>
    </w:pPr>
  </w:style>
  <w:style w:type="paragraph" w:customStyle="1" w:styleId="TableBodyBold">
    <w:name w:val="Table Body Bold"/>
    <w:basedOn w:val="TableBody"/>
    <w:uiPriority w:val="9"/>
    <w:rsid w:val="00992143"/>
    <w:rPr>
      <w:b/>
    </w:rPr>
  </w:style>
  <w:style w:type="table" w:styleId="TableGrid">
    <w:name w:val="Table Grid"/>
    <w:basedOn w:val="TableNormal"/>
    <w:rsid w:val="00992143"/>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992143"/>
    <w:pPr>
      <w:jc w:val="left"/>
    </w:pPr>
    <w:rPr>
      <w:lang w:eastAsia="en-GB"/>
    </w:rPr>
  </w:style>
  <w:style w:type="paragraph" w:customStyle="1" w:styleId="TableGridCCBold">
    <w:name w:val="Table Grid CC Bold"/>
    <w:basedOn w:val="TableGridCC"/>
    <w:uiPriority w:val="9"/>
    <w:rsid w:val="00992143"/>
    <w:rPr>
      <w:b/>
    </w:rPr>
  </w:style>
  <w:style w:type="paragraph" w:styleId="TOC1">
    <w:name w:val="toc 1"/>
    <w:basedOn w:val="Normal"/>
    <w:next w:val="Normal"/>
    <w:autoRedefine/>
    <w:uiPriority w:val="39"/>
    <w:rsid w:val="00992143"/>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992143"/>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992143"/>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992143"/>
    <w:rPr>
      <w:rFonts w:asciiTheme="majorHAnsi" w:eastAsiaTheme="majorEastAsia" w:hAnsiTheme="majorHAnsi" w:cstheme="majorBidi"/>
      <w:b/>
      <w:bCs/>
      <w:sz w:val="28"/>
      <w:szCs w:val="28"/>
    </w:rPr>
  </w:style>
  <w:style w:type="paragraph" w:styleId="Revision">
    <w:name w:val="Revision"/>
    <w:hidden/>
    <w:uiPriority w:val="99"/>
    <w:semiHidden/>
    <w:rsid w:val="003B0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B395C64C-A070-435B-A59B-8E15F73FB9C3}"/>
</file>

<file path=customXml/itemProps2.xml><?xml version="1.0" encoding="utf-8"?>
<ds:datastoreItem xmlns:ds="http://schemas.openxmlformats.org/officeDocument/2006/customXml" ds:itemID="{C687E448-E03C-49E7-B087-21349214CDAD}"/>
</file>

<file path=customXml/itemProps3.xml><?xml version="1.0" encoding="utf-8"?>
<ds:datastoreItem xmlns:ds="http://schemas.openxmlformats.org/officeDocument/2006/customXml" ds:itemID="{1D98BCFA-56CB-41DE-AD02-7DB55B9C1F7E}"/>
</file>

<file path=docProps/app.xml><?xml version="1.0" encoding="utf-8"?>
<Properties xmlns="http://schemas.openxmlformats.org/officeDocument/2006/extended-properties" xmlns:vt="http://schemas.openxmlformats.org/officeDocument/2006/docPropsVTypes">
  <Template>Normal.dotm</Template>
  <TotalTime>126</TotalTime>
  <Pages>8</Pages>
  <Words>3542</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McNaughton, Alyce</cp:lastModifiedBy>
  <cp:revision>11</cp:revision>
  <dcterms:created xsi:type="dcterms:W3CDTF">2022-09-07T14:47:00Z</dcterms:created>
  <dcterms:modified xsi:type="dcterms:W3CDTF">2023-12-01T14:22:00Z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