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E946" w14:textId="405AA3A8" w:rsidR="00FA61DE" w:rsidRPr="00FA61DE" w:rsidRDefault="00FA61DE" w:rsidP="00FA61DE">
      <w:pPr>
        <w:jc w:val="center"/>
        <w:rPr>
          <w:b/>
          <w:bCs/>
        </w:rPr>
      </w:pPr>
      <w:r w:rsidRPr="00FA61DE">
        <w:rPr>
          <w:b/>
          <w:bCs/>
        </w:rPr>
        <w:t>Guidance on Reasonable Steps – Duty to Prevent Sexual Harassment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48"/>
        <w:gridCol w:w="2243"/>
        <w:gridCol w:w="2248"/>
      </w:tblGrid>
      <w:tr w:rsidR="001F5B55" w:rsidRPr="00704415" w14:paraId="2DAD3ABB" w14:textId="77777777" w:rsidTr="00704415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AD76" w14:textId="5BC20516" w:rsidR="001F5B55" w:rsidRDefault="001F5B55" w:rsidP="007044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Table of Measures 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357F" w14:textId="2DE7D754" w:rsidR="001F5B55" w:rsidRPr="001F5B55" w:rsidRDefault="001F5B55" w:rsidP="001F5B5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This table is designed to guide </w:t>
            </w:r>
            <w:r w:rsidR="00FA61DE">
              <w:rPr>
                <w:b/>
                <w:bCs/>
              </w:rPr>
              <w:t xml:space="preserve">the LPCs as </w:t>
            </w:r>
            <w:r w:rsidR="00915F87">
              <w:rPr>
                <w:b/>
                <w:bCs/>
              </w:rPr>
              <w:t>employers</w:t>
            </w:r>
            <w:r w:rsidR="00FA61D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as to the steps they might take to mitigate the risk of sexual harassment occurring and to </w:t>
            </w:r>
            <w:r w:rsidR="00915F87">
              <w:rPr>
                <w:b/>
                <w:bCs/>
              </w:rPr>
              <w:t xml:space="preserve">aid </w:t>
            </w:r>
            <w:r>
              <w:rPr>
                <w:b/>
                <w:bCs/>
              </w:rPr>
              <w:t>compl</w:t>
            </w:r>
            <w:r w:rsidR="00915F87">
              <w:rPr>
                <w:b/>
                <w:bCs/>
              </w:rPr>
              <w:t>iance</w:t>
            </w:r>
            <w:r>
              <w:rPr>
                <w:b/>
                <w:bCs/>
              </w:rPr>
              <w:t xml:space="preserve"> with the all-reasonable steps defence and the new duty to take reasonable steps to prevent sexual harassment</w:t>
            </w:r>
            <w:r w:rsidR="00FA61DE">
              <w:rPr>
                <w:b/>
                <w:bCs/>
              </w:rPr>
              <w:t xml:space="preserve"> in a retail </w:t>
            </w:r>
            <w:r w:rsidR="00EE716F">
              <w:rPr>
                <w:b/>
                <w:bCs/>
              </w:rPr>
              <w:t xml:space="preserve">focussed </w:t>
            </w:r>
            <w:r w:rsidR="00FA61DE">
              <w:rPr>
                <w:b/>
                <w:bCs/>
              </w:rPr>
              <w:t xml:space="preserve">organisation.  </w:t>
            </w:r>
          </w:p>
        </w:tc>
      </w:tr>
      <w:tr w:rsidR="00704415" w:rsidRPr="00704415" w14:paraId="7AAA9545" w14:textId="77777777" w:rsidTr="00704415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B00" w14:textId="255205D7" w:rsidR="00704415" w:rsidRPr="00704415" w:rsidRDefault="00704415" w:rsidP="00704415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typical workforce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23BB" w14:textId="323C6F2F" w:rsidR="00704415" w:rsidRPr="00704415" w:rsidRDefault="00EE716F" w:rsidP="003B227A">
            <w:pPr>
              <w:rPr>
                <w:i/>
                <w:iCs/>
              </w:rPr>
            </w:pPr>
            <w:r>
              <w:t xml:space="preserve"> </w:t>
            </w:r>
          </w:p>
        </w:tc>
      </w:tr>
      <w:tr w:rsidR="00704415" w:rsidRPr="00704415" w14:paraId="1F93FA2C" w14:textId="77777777" w:rsidTr="00AB3559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92DD" w14:textId="1A671447" w:rsidR="00704415" w:rsidRPr="00704415" w:rsidRDefault="00704415" w:rsidP="007044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Particular Sexual harassment risks for different job roles 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16BB" w14:textId="5382245B" w:rsidR="00704415" w:rsidRPr="00704415" w:rsidRDefault="00EE716F" w:rsidP="00EE716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704415" w:rsidRPr="00704415" w14:paraId="3DA40565" w14:textId="77777777" w:rsidTr="00704415"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860C6" w14:textId="77777777" w:rsidR="00704415" w:rsidRPr="00704415" w:rsidRDefault="00704415" w:rsidP="00704415">
            <w:pPr>
              <w:rPr>
                <w:b/>
                <w:bCs/>
              </w:rPr>
            </w:pPr>
            <w:r w:rsidRPr="00704415">
              <w:rPr>
                <w:b/>
                <w:bCs/>
              </w:rPr>
              <w:t>Measure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6446" w14:textId="77777777" w:rsidR="00704415" w:rsidRPr="00704415" w:rsidRDefault="00704415" w:rsidP="00704415">
            <w:pPr>
              <w:rPr>
                <w:b/>
                <w:bCs/>
              </w:rPr>
            </w:pPr>
            <w:r w:rsidRPr="00704415">
              <w:rPr>
                <w:b/>
                <w:bCs/>
              </w:rPr>
              <w:t xml:space="preserve">Bronze </w:t>
            </w:r>
          </w:p>
          <w:p w14:paraId="62448AD3" w14:textId="77777777" w:rsidR="00704415" w:rsidRPr="00704415" w:rsidRDefault="00704415" w:rsidP="00704415">
            <w:pPr>
              <w:rPr>
                <w:b/>
                <w:bCs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9FBC" w14:textId="77777777" w:rsidR="00704415" w:rsidRPr="00704415" w:rsidRDefault="00704415" w:rsidP="00704415">
            <w:pPr>
              <w:rPr>
                <w:b/>
                <w:bCs/>
              </w:rPr>
            </w:pPr>
            <w:r w:rsidRPr="00704415">
              <w:rPr>
                <w:b/>
                <w:bCs/>
              </w:rPr>
              <w:t xml:space="preserve">Silver </w:t>
            </w:r>
          </w:p>
          <w:p w14:paraId="4C92DC64" w14:textId="77777777" w:rsidR="00704415" w:rsidRPr="00704415" w:rsidRDefault="00704415" w:rsidP="00704415">
            <w:pPr>
              <w:rPr>
                <w:b/>
                <w:bCs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D427" w14:textId="77777777" w:rsidR="00704415" w:rsidRPr="00704415" w:rsidRDefault="00704415" w:rsidP="00704415">
            <w:pPr>
              <w:rPr>
                <w:b/>
                <w:bCs/>
              </w:rPr>
            </w:pPr>
            <w:r w:rsidRPr="00704415">
              <w:rPr>
                <w:b/>
                <w:bCs/>
              </w:rPr>
              <w:t>Gold</w:t>
            </w:r>
          </w:p>
          <w:p w14:paraId="48609E41" w14:textId="77777777" w:rsidR="00704415" w:rsidRPr="00704415" w:rsidRDefault="00704415" w:rsidP="00704415">
            <w:pPr>
              <w:rPr>
                <w:b/>
                <w:bCs/>
              </w:rPr>
            </w:pPr>
          </w:p>
        </w:tc>
      </w:tr>
      <w:tr w:rsidR="001F5B55" w:rsidRPr="00704415" w14:paraId="233A7F15" w14:textId="77777777" w:rsidTr="0023453B">
        <w:tc>
          <w:tcPr>
            <w:tcW w:w="9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6243" w14:textId="447F216D" w:rsidR="001F5B55" w:rsidRPr="00704415" w:rsidRDefault="001F5B55" w:rsidP="007044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review the allocation of x’s below and consider what would be reasonable for an </w:t>
            </w:r>
            <w:r w:rsidR="00EE716F">
              <w:rPr>
                <w:b/>
                <w:bCs/>
              </w:rPr>
              <w:t>LPC</w:t>
            </w:r>
            <w:r>
              <w:rPr>
                <w:b/>
                <w:bCs/>
              </w:rPr>
              <w:t xml:space="preserve"> to </w:t>
            </w:r>
            <w:r w:rsidR="00915F87">
              <w:rPr>
                <w:b/>
                <w:bCs/>
              </w:rPr>
              <w:t>do</w:t>
            </w:r>
            <w:r>
              <w:rPr>
                <w:b/>
                <w:bCs/>
              </w:rPr>
              <w:t xml:space="preserve">. </w:t>
            </w:r>
          </w:p>
        </w:tc>
      </w:tr>
      <w:tr w:rsidR="00704415" w:rsidRPr="00704415" w14:paraId="4FD230F3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CF1A" w14:textId="208E15C6" w:rsidR="00704415" w:rsidRPr="00704415" w:rsidRDefault="00704415" w:rsidP="00704415">
            <w:r w:rsidRPr="00704415">
              <w:t>Example applicable size of employer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095C" w14:textId="77777777" w:rsidR="00704415" w:rsidRPr="00704415" w:rsidRDefault="00704415" w:rsidP="00704415">
            <w:r w:rsidRPr="00704415">
              <w:t>Low SH risk employers with limited resources (such as less than 50 employees)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045C" w14:textId="77777777" w:rsidR="00704415" w:rsidRPr="00704415" w:rsidRDefault="00704415" w:rsidP="00704415">
            <w:r w:rsidRPr="00704415">
              <w:t>Low SH risk 50+ employees limited resources;</w:t>
            </w:r>
          </w:p>
          <w:p w14:paraId="75491383" w14:textId="77777777" w:rsidR="00704415" w:rsidRPr="00704415" w:rsidRDefault="00704415" w:rsidP="00704415">
            <w:r w:rsidRPr="00704415">
              <w:t>high risk smaller employer limited resources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7D7B" w14:textId="77777777" w:rsidR="00704415" w:rsidRPr="00704415" w:rsidRDefault="00704415" w:rsidP="00704415">
            <w:r w:rsidRPr="00704415">
              <w:t>Low SH risk 250+ employees;</w:t>
            </w:r>
          </w:p>
          <w:p w14:paraId="02A098F3" w14:textId="77777777" w:rsidR="00704415" w:rsidRPr="00704415" w:rsidRDefault="00704415" w:rsidP="00704415">
            <w:r w:rsidRPr="00704415">
              <w:t>medium risk 100+ employees;</w:t>
            </w:r>
          </w:p>
          <w:p w14:paraId="66185DC5" w14:textId="77777777" w:rsidR="00704415" w:rsidRPr="00704415" w:rsidRDefault="00704415" w:rsidP="00704415">
            <w:r w:rsidRPr="00704415">
              <w:t>high risk smaller employers with sufficient resources</w:t>
            </w:r>
          </w:p>
        </w:tc>
      </w:tr>
      <w:tr w:rsidR="00704415" w:rsidRPr="00704415" w14:paraId="7610AE5C" w14:textId="77777777" w:rsidTr="00704415">
        <w:tc>
          <w:tcPr>
            <w:tcW w:w="90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B7B6" w14:textId="77777777" w:rsidR="00704415" w:rsidRPr="00704415" w:rsidRDefault="00704415" w:rsidP="00704415">
            <w:r w:rsidRPr="00704415">
              <w:rPr>
                <w:b/>
                <w:bCs/>
              </w:rPr>
              <w:t>Culture and staff engagement</w:t>
            </w:r>
          </w:p>
        </w:tc>
      </w:tr>
      <w:tr w:rsidR="00704415" w:rsidRPr="00704415" w14:paraId="1515C0B0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F92D" w14:textId="77777777" w:rsidR="00704415" w:rsidRPr="00704415" w:rsidRDefault="00704415" w:rsidP="00704415">
            <w:r w:rsidRPr="00704415">
              <w:t xml:space="preserve">Employee climate survey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39FE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AED9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920D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2BA77187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C9BE" w14:textId="77777777" w:rsidR="00704415" w:rsidRPr="00704415" w:rsidRDefault="00704415" w:rsidP="00704415">
            <w:r w:rsidRPr="00704415">
              <w:t>Improve DEI to address power imbalances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8BDD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7148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A263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27412308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1F69" w14:textId="77777777" w:rsidR="00704415" w:rsidRPr="00704415" w:rsidRDefault="00704415" w:rsidP="00704415">
            <w:r w:rsidRPr="00704415">
              <w:t>Appoint and train harassment champions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D10B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5AEE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1E53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437CB457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AB53" w14:textId="77777777" w:rsidR="00704415" w:rsidRPr="00704415" w:rsidRDefault="00704415" w:rsidP="00704415">
            <w:r w:rsidRPr="00704415">
              <w:t xml:space="preserve">Proactively communicate and demonstrate a </w:t>
            </w:r>
            <w:proofErr w:type="gramStart"/>
            <w:r w:rsidRPr="00704415">
              <w:t xml:space="preserve">zero </w:t>
            </w:r>
            <w:r w:rsidRPr="00704415">
              <w:lastRenderedPageBreak/>
              <w:t>tolerance</w:t>
            </w:r>
            <w:proofErr w:type="gramEnd"/>
            <w:r w:rsidRPr="00704415">
              <w:t xml:space="preserve"> approach to SH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3239" w14:textId="77777777" w:rsidR="00704415" w:rsidRPr="00704415" w:rsidRDefault="00704415" w:rsidP="00704415">
            <w:r w:rsidRPr="00704415">
              <w:lastRenderedPageBreak/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687C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243B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6A0AEDF4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3D55" w14:textId="77777777" w:rsidR="00704415" w:rsidRPr="00704415" w:rsidRDefault="00704415" w:rsidP="00704415">
            <w:r w:rsidRPr="00704415">
              <w:t xml:space="preserve">Leadership to demonstrate their commitment to eliminating SH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A38C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F825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573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79364D86" w14:textId="77777777" w:rsidTr="00704415">
        <w:tc>
          <w:tcPr>
            <w:tcW w:w="90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892D" w14:textId="77777777" w:rsidR="00704415" w:rsidRPr="00704415" w:rsidRDefault="00704415" w:rsidP="00704415">
            <w:r w:rsidRPr="00704415">
              <w:rPr>
                <w:b/>
                <w:bCs/>
              </w:rPr>
              <w:t>Policy and assessing risk</w:t>
            </w:r>
          </w:p>
        </w:tc>
      </w:tr>
      <w:tr w:rsidR="00704415" w:rsidRPr="00704415" w14:paraId="6F8F2B32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0724" w14:textId="77777777" w:rsidR="00704415" w:rsidRPr="00704415" w:rsidRDefault="00704415" w:rsidP="00704415">
            <w:pPr>
              <w:rPr>
                <w:b/>
                <w:bCs/>
              </w:rPr>
            </w:pPr>
            <w:r w:rsidRPr="00704415">
              <w:t>Implement a risk assessment to assess where sexual harassment is a higher risk.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B47E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F309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48A8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6DA19F3D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1905" w14:textId="77777777" w:rsidR="00704415" w:rsidRPr="00704415" w:rsidRDefault="00704415" w:rsidP="00704415">
            <w:r w:rsidRPr="00704415">
              <w:t>Review existing anti-harassment policy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B865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E3E4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7C91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4E5EC7E4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DBD2" w14:textId="77777777" w:rsidR="00704415" w:rsidRPr="00704415" w:rsidRDefault="00704415" w:rsidP="00704415">
            <w:r w:rsidRPr="00704415">
              <w:t>Create a standalone and separate sexual harassment policy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0073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0AAE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72F3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71B7B2D0" w14:textId="77777777" w:rsidTr="00704415">
        <w:tc>
          <w:tcPr>
            <w:tcW w:w="90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5A16" w14:textId="77777777" w:rsidR="00704415" w:rsidRPr="00704415" w:rsidRDefault="00704415" w:rsidP="00704415">
            <w:r w:rsidRPr="00704415">
              <w:rPr>
                <w:b/>
                <w:bCs/>
              </w:rPr>
              <w:t>Training</w:t>
            </w:r>
          </w:p>
        </w:tc>
      </w:tr>
      <w:tr w:rsidR="00704415" w:rsidRPr="00704415" w14:paraId="3980156A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D7F0" w14:textId="77777777" w:rsidR="00704415" w:rsidRPr="00704415" w:rsidRDefault="00704415" w:rsidP="00704415">
            <w:r w:rsidRPr="00704415">
              <w:t>Provide all workers with training which addresses each of the three types of harassment and victimisation.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EE20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1698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9E50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F42E5B6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5FC0" w14:textId="77777777" w:rsidR="00704415" w:rsidRPr="00704415" w:rsidRDefault="00704415" w:rsidP="00704415">
            <w:r w:rsidRPr="00704415">
              <w:t>Provide training to all new employees during their induction and provide regularly updated training as necessary throughout their tenure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03DF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418D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B043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1B6A2B12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5C33" w14:textId="77777777" w:rsidR="00704415" w:rsidRPr="00704415" w:rsidRDefault="00704415" w:rsidP="00704415">
            <w:r w:rsidRPr="00704415">
              <w:t>Tailor training to the nature of the employer, the target audience and the employer’s policy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C547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09D6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36CD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148F239F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07C9" w14:textId="77777777" w:rsidR="00704415" w:rsidRPr="00704415" w:rsidRDefault="00704415" w:rsidP="00704415">
            <w:r w:rsidRPr="00704415">
              <w:t>Tailor training after conducting a climate survey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9757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BEF9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0C2F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44DBD287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42E2" w14:textId="77777777" w:rsidR="00704415" w:rsidRPr="00704415" w:rsidRDefault="00704415" w:rsidP="00704415">
            <w:r w:rsidRPr="00704415">
              <w:lastRenderedPageBreak/>
              <w:t>Provide mandatory role-specific training for managers and investigators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B3D0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18FC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875D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4695FBC0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8536B" w14:textId="77777777" w:rsidR="00704415" w:rsidRPr="00704415" w:rsidRDefault="00704415" w:rsidP="00704415">
            <w:r w:rsidRPr="00704415">
              <w:t>Hold bystander intervention training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098F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9D0C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B6FD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2BB7CB53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C7B3" w14:textId="77777777" w:rsidR="00704415" w:rsidRPr="00704415" w:rsidRDefault="00704415" w:rsidP="00704415">
            <w:r w:rsidRPr="00704415">
              <w:t>Pre-and post-training surveys to monitor effectiveness of training; adapt training based on feedback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D46E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2E7F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80E6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2DD30508" w14:textId="77777777" w:rsidTr="00704415">
        <w:tc>
          <w:tcPr>
            <w:tcW w:w="90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0BD7" w14:textId="77777777" w:rsidR="00704415" w:rsidRPr="00704415" w:rsidRDefault="00704415" w:rsidP="00704415">
            <w:r w:rsidRPr="00704415">
              <w:rPr>
                <w:b/>
                <w:bCs/>
              </w:rPr>
              <w:t>Reporting</w:t>
            </w:r>
          </w:p>
        </w:tc>
      </w:tr>
      <w:tr w:rsidR="00704415" w:rsidRPr="00704415" w14:paraId="492CCEEB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DA27" w14:textId="77777777" w:rsidR="00704415" w:rsidRPr="00704415" w:rsidRDefault="00704415" w:rsidP="00704415">
            <w:r w:rsidRPr="00704415">
              <w:t>Informal and formal reporting channels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C045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D016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E9A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616AC1E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F752" w14:textId="77777777" w:rsidR="00704415" w:rsidRPr="00704415" w:rsidRDefault="00704415" w:rsidP="00704415">
            <w:r w:rsidRPr="00704415">
              <w:t>Anonymous reporting by online or telephone reporting system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D87C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E2C3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4B3F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065B2FF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DB09" w14:textId="77777777" w:rsidR="00704415" w:rsidRPr="00704415" w:rsidRDefault="00704415" w:rsidP="00704415">
            <w:r w:rsidRPr="00704415">
              <w:t xml:space="preserve">Multiple reporting routes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9D79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DD17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5C53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0BAAB0D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BF1F" w14:textId="77777777" w:rsidR="00704415" w:rsidRPr="00704415" w:rsidRDefault="00704415" w:rsidP="00704415">
            <w:r w:rsidRPr="00704415">
              <w:t>Actively encourage reporting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E3F9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ADE2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9CA2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452D37F0" w14:textId="77777777" w:rsidTr="00704415">
        <w:tc>
          <w:tcPr>
            <w:tcW w:w="90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CE0B" w14:textId="77777777" w:rsidR="00704415" w:rsidRPr="00704415" w:rsidRDefault="00704415" w:rsidP="00704415">
            <w:r w:rsidRPr="00704415">
              <w:rPr>
                <w:b/>
                <w:bCs/>
              </w:rPr>
              <w:t>Response</w:t>
            </w:r>
          </w:p>
        </w:tc>
      </w:tr>
      <w:tr w:rsidR="00704415" w:rsidRPr="00704415" w14:paraId="65FF001A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D803" w14:textId="77777777" w:rsidR="00704415" w:rsidRPr="00704415" w:rsidRDefault="00704415" w:rsidP="00704415">
            <w:r w:rsidRPr="00704415">
              <w:t xml:space="preserve">Centralised record of complaints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E585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1807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8FFF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1647A75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D6D1" w14:textId="77777777" w:rsidR="00704415" w:rsidRPr="00704415" w:rsidRDefault="00704415" w:rsidP="00704415">
            <w:r w:rsidRPr="00704415">
              <w:t>Keep reports confidential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BC95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83DD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76B2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1B6403AC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B4A4" w14:textId="77777777" w:rsidR="00704415" w:rsidRPr="00704415" w:rsidRDefault="00704415" w:rsidP="00704415">
            <w:r w:rsidRPr="00704415">
              <w:t>Investigate complaints thoroughly and fairly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E51F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C5AE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81F2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CC7EF8C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A065" w14:textId="77777777" w:rsidR="00704415" w:rsidRPr="00704415" w:rsidRDefault="00704415" w:rsidP="00704415">
            <w:r w:rsidRPr="00704415">
              <w:t>Workplace champion to monitor SH issues and support victims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2466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3180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CA2D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1220B6BB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A779" w14:textId="77777777" w:rsidR="00704415" w:rsidRPr="00704415" w:rsidRDefault="00704415" w:rsidP="00704415">
            <w:r w:rsidRPr="00704415">
              <w:t>Provide guidance and support to the victim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B017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21BE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697C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B2919A7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E101" w14:textId="77777777" w:rsidR="00704415" w:rsidRPr="00704415" w:rsidRDefault="00704415" w:rsidP="00704415">
            <w:r w:rsidRPr="00704415">
              <w:lastRenderedPageBreak/>
              <w:t>Provide guidance and support to managers dealing with reports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9844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2552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929B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006D17E1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F13D" w14:textId="77777777" w:rsidR="00704415" w:rsidRPr="00704415" w:rsidRDefault="00704415" w:rsidP="00704415">
            <w:r w:rsidRPr="00704415">
              <w:t>Seek support from specialist organisations (</w:t>
            </w:r>
            <w:proofErr w:type="spellStart"/>
            <w:r w:rsidRPr="00704415">
              <w:t>eg</w:t>
            </w:r>
            <w:proofErr w:type="spellEnd"/>
            <w:r w:rsidRPr="00704415">
              <w:t xml:space="preserve"> ACAS)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7546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B62C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BB95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15AE3E04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B08F" w14:textId="77777777" w:rsidR="00704415" w:rsidRPr="00704415" w:rsidRDefault="00704415" w:rsidP="00704415">
            <w:r w:rsidRPr="00704415">
              <w:t>Set out a time frame for investigations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4307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4A45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1407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269E7A97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E177" w14:textId="77777777" w:rsidR="00704415" w:rsidRPr="00704415" w:rsidRDefault="00704415" w:rsidP="00704415">
            <w:r w:rsidRPr="00704415">
              <w:t>Select a trauma informed and experience person to conduct investigations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6D0B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1E88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1195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0DE6971F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B731" w14:textId="77777777" w:rsidR="00704415" w:rsidRPr="00704415" w:rsidRDefault="00704415" w:rsidP="00704415">
            <w:r w:rsidRPr="00704415">
              <w:t>Allow the victim to work normally – reassign or suspend the harasser during the investigation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9F75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F803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60E1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6DD4BB25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2BA5" w14:textId="77777777" w:rsidR="00704415" w:rsidRPr="00704415" w:rsidRDefault="00704415" w:rsidP="00704415">
            <w:r w:rsidRPr="00704415">
              <w:t>Be transparent about reports and investigations of SH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394C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0914" w14:textId="77777777" w:rsidR="00704415" w:rsidRPr="00704415" w:rsidRDefault="00704415" w:rsidP="00704415"/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1066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7E91952B" w14:textId="77777777" w:rsidTr="00704415">
        <w:tc>
          <w:tcPr>
            <w:tcW w:w="90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6D16" w14:textId="77777777" w:rsidR="00704415" w:rsidRPr="00704415" w:rsidRDefault="00704415" w:rsidP="00704415">
            <w:r w:rsidRPr="00704415">
              <w:rPr>
                <w:b/>
                <w:bCs/>
              </w:rPr>
              <w:t xml:space="preserve">Third party harassment </w:t>
            </w:r>
          </w:p>
        </w:tc>
      </w:tr>
      <w:tr w:rsidR="00704415" w:rsidRPr="00704415" w14:paraId="24B35C9F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8AF5" w14:textId="77777777" w:rsidR="00704415" w:rsidRPr="00704415" w:rsidRDefault="00704415" w:rsidP="00704415">
            <w:r w:rsidRPr="00704415">
              <w:t xml:space="preserve">Ensure included in anti-harassment policy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A80D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CC3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E036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3D3B3B62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13E9" w14:textId="77777777" w:rsidR="00704415" w:rsidRPr="00704415" w:rsidRDefault="00704415" w:rsidP="00704415">
            <w:r w:rsidRPr="00704415">
              <w:t>Publish a public notice advising third parties about zero tolerance approach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8472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E919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D3C32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787D681B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E3C3" w14:textId="77777777" w:rsidR="00704415" w:rsidRPr="00704415" w:rsidRDefault="00704415" w:rsidP="00704415">
            <w:r w:rsidRPr="00704415">
              <w:t>Include express term in third party contracts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7C6A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E0C5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E5D9" w14:textId="77777777" w:rsidR="00704415" w:rsidRPr="00704415" w:rsidRDefault="00704415" w:rsidP="00704415">
            <w:r w:rsidRPr="00704415">
              <w:t>x</w:t>
            </w:r>
          </w:p>
        </w:tc>
      </w:tr>
      <w:tr w:rsidR="00704415" w:rsidRPr="00704415" w14:paraId="13F95316" w14:textId="77777777" w:rsidTr="00704415"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CF70" w14:textId="77777777" w:rsidR="00704415" w:rsidRPr="00704415" w:rsidRDefault="00704415" w:rsidP="00704415">
            <w:r w:rsidRPr="00704415">
              <w:t>Encourage reporting by employees, provide support and take appropriate action for every complaint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F0CD" w14:textId="77777777" w:rsidR="00704415" w:rsidRPr="00704415" w:rsidRDefault="00704415" w:rsidP="00704415"/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BEB6" w14:textId="77777777" w:rsidR="00704415" w:rsidRPr="00704415" w:rsidRDefault="00704415" w:rsidP="00704415">
            <w:r w:rsidRPr="00704415">
              <w:t>x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4EF2" w14:textId="77777777" w:rsidR="00704415" w:rsidRPr="00704415" w:rsidRDefault="00704415" w:rsidP="00704415">
            <w:r w:rsidRPr="00704415">
              <w:t>x</w:t>
            </w:r>
          </w:p>
        </w:tc>
      </w:tr>
    </w:tbl>
    <w:p w14:paraId="5EF53D2B" w14:textId="77777777" w:rsidR="00704415" w:rsidRPr="00704415" w:rsidRDefault="00704415" w:rsidP="00704415"/>
    <w:p w14:paraId="01389416" w14:textId="77777777" w:rsidR="00704415" w:rsidRPr="00704415" w:rsidRDefault="00704415" w:rsidP="00704415">
      <w:pPr>
        <w:rPr>
          <w:b/>
          <w:bCs/>
        </w:rPr>
      </w:pPr>
    </w:p>
    <w:p w14:paraId="3090EE36" w14:textId="77777777" w:rsidR="0055450A" w:rsidRDefault="0055450A"/>
    <w:sectPr w:rsidR="00554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C96B" w14:textId="77777777" w:rsidR="002F3570" w:rsidRDefault="002F3570" w:rsidP="00704415">
      <w:pPr>
        <w:spacing w:after="0" w:line="240" w:lineRule="auto"/>
      </w:pPr>
      <w:r>
        <w:separator/>
      </w:r>
    </w:p>
  </w:endnote>
  <w:endnote w:type="continuationSeparator" w:id="0">
    <w:p w14:paraId="0E141EBA" w14:textId="77777777" w:rsidR="002F3570" w:rsidRDefault="002F3570" w:rsidP="0070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01CE" w14:textId="77777777" w:rsidR="002F3570" w:rsidRDefault="002F3570" w:rsidP="00704415">
      <w:pPr>
        <w:spacing w:after="0" w:line="240" w:lineRule="auto"/>
      </w:pPr>
      <w:r>
        <w:separator/>
      </w:r>
    </w:p>
  </w:footnote>
  <w:footnote w:type="continuationSeparator" w:id="0">
    <w:p w14:paraId="1AAA0C87" w14:textId="77777777" w:rsidR="002F3570" w:rsidRDefault="002F3570" w:rsidP="00704415">
      <w:pPr>
        <w:spacing w:after="0" w:line="240" w:lineRule="auto"/>
      </w:pPr>
      <w:r>
        <w:continuationSeparator/>
      </w:r>
    </w:p>
  </w:footnote>
  <w:footnote w:id="1">
    <w:p w14:paraId="16ECF890" w14:textId="77777777" w:rsidR="00704415" w:rsidRDefault="00704415" w:rsidP="00704415">
      <w:pPr>
        <w:pStyle w:val="FootnoteText"/>
      </w:pPr>
      <w:r>
        <w:rPr>
          <w:rStyle w:val="FootnoteReference"/>
        </w:rPr>
        <w:footnoteRef/>
      </w:r>
      <w:r>
        <w:t xml:space="preserve"> •</w:t>
      </w:r>
      <w:r>
        <w:tab/>
        <w:t xml:space="preserve">Low SH risk – </w:t>
      </w:r>
      <w:proofErr w:type="spellStart"/>
      <w:r>
        <w:t>eg</w:t>
      </w:r>
      <w:proofErr w:type="spellEnd"/>
      <w:r>
        <w:t xml:space="preserve"> no previously reported incidents and no employee contact with third parties</w:t>
      </w:r>
    </w:p>
    <w:p w14:paraId="1C087C30" w14:textId="77777777" w:rsidR="00704415" w:rsidRDefault="00704415" w:rsidP="00704415">
      <w:pPr>
        <w:pStyle w:val="FootnoteText"/>
      </w:pPr>
      <w:r>
        <w:t>•</w:t>
      </w:r>
      <w:r>
        <w:tab/>
        <w:t xml:space="preserve">Medium SH risk – </w:t>
      </w:r>
      <w:proofErr w:type="spellStart"/>
      <w:r>
        <w:t>eg</w:t>
      </w:r>
      <w:proofErr w:type="spellEnd"/>
      <w:r>
        <w:t xml:space="preserve"> employee contact with third parties; in past 5 years: no reported incidents (small employers) or 1 reported incident (100+ employees); or 3 reported incidents (250+ employees)</w:t>
      </w:r>
    </w:p>
    <w:p w14:paraId="05E61EAE" w14:textId="0C91090B" w:rsidR="00704415" w:rsidRDefault="00704415" w:rsidP="00704415">
      <w:pPr>
        <w:pStyle w:val="FootnoteText"/>
      </w:pPr>
      <w:r>
        <w:t>•</w:t>
      </w:r>
      <w:r>
        <w:tab/>
        <w:t xml:space="preserve">High SH risk – </w:t>
      </w:r>
      <w:proofErr w:type="spellStart"/>
      <w:r>
        <w:t>eg</w:t>
      </w:r>
      <w:proofErr w:type="spellEnd"/>
      <w:r>
        <w:t xml:space="preserve"> employee contact with third parties; in the past 5 years 1 reported incident (small employers) or 2 reported incidents (100+ employees); or 5 reported incidents (250+ employees)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0AA"/>
    <w:multiLevelType w:val="hybridMultilevel"/>
    <w:tmpl w:val="73A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15"/>
    <w:rsid w:val="00070250"/>
    <w:rsid w:val="001331E5"/>
    <w:rsid w:val="001F5B55"/>
    <w:rsid w:val="002F3570"/>
    <w:rsid w:val="00363CAB"/>
    <w:rsid w:val="003B227A"/>
    <w:rsid w:val="00465261"/>
    <w:rsid w:val="004B3D70"/>
    <w:rsid w:val="00506F77"/>
    <w:rsid w:val="00543BBA"/>
    <w:rsid w:val="0055450A"/>
    <w:rsid w:val="00634A17"/>
    <w:rsid w:val="00681EED"/>
    <w:rsid w:val="00704415"/>
    <w:rsid w:val="00773288"/>
    <w:rsid w:val="008A0CA7"/>
    <w:rsid w:val="00915F87"/>
    <w:rsid w:val="00A56321"/>
    <w:rsid w:val="00B203B2"/>
    <w:rsid w:val="00D038B6"/>
    <w:rsid w:val="00D470AE"/>
    <w:rsid w:val="00E274F8"/>
    <w:rsid w:val="00E30042"/>
    <w:rsid w:val="00EE716F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44BB"/>
  <w15:chartTrackingRefBased/>
  <w15:docId w15:val="{A680428F-54D8-45DF-9804-1CF36701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41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4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4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4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2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1DE"/>
  </w:style>
  <w:style w:type="paragraph" w:styleId="Footer">
    <w:name w:val="footer"/>
    <w:basedOn w:val="Normal"/>
    <w:link w:val="FooterChar"/>
    <w:uiPriority w:val="99"/>
    <w:unhideWhenUsed/>
    <w:rsid w:val="00FA6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B4BA0BDD-6B72-40C6-A04C-63E4FC331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218C0-6017-4443-AC4E-39B5263A9192}"/>
</file>

<file path=customXml/itemProps3.xml><?xml version="1.0" encoding="utf-8"?>
<ds:datastoreItem xmlns:ds="http://schemas.openxmlformats.org/officeDocument/2006/customXml" ds:itemID="{7FA1700D-B916-48F4-8A27-C67148CA4826}"/>
</file>

<file path=customXml/itemProps4.xml><?xml version="1.0" encoding="utf-8"?>
<ds:datastoreItem xmlns:ds="http://schemas.openxmlformats.org/officeDocument/2006/customXml" ds:itemID="{83501598-A839-49B6-90AB-8E8157A33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Bonino</dc:creator>
  <cp:keywords/>
  <dc:description/>
  <cp:lastModifiedBy>Major, James</cp:lastModifiedBy>
  <cp:revision>8</cp:revision>
  <dcterms:created xsi:type="dcterms:W3CDTF">2025-05-08T13:20:00Z</dcterms:created>
  <dcterms:modified xsi:type="dcterms:W3CDTF">2025-08-22T13:44:00Z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