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14BE" w14:textId="4E575D1D" w:rsidR="00D0402B" w:rsidRPr="00564C5A" w:rsidRDefault="0088455A" w:rsidP="007F49EA">
      <w:pPr>
        <w:spacing w:after="0" w:line="240" w:lineRule="auto"/>
        <w:contextualSpacing/>
        <w:jc w:val="right"/>
        <w:rPr>
          <w:rFonts w:ascii="Arial" w:hAnsi="Arial" w:cs="Arial"/>
          <w:noProof/>
          <w:sz w:val="24"/>
          <w:szCs w:val="24"/>
          <w:lang w:eastAsia="en-GB"/>
        </w:rPr>
      </w:pPr>
      <w:r w:rsidRPr="00564C5A">
        <w:rPr>
          <w:rFonts w:ascii="Arial" w:hAnsi="Arial" w:cs="Arial"/>
          <w:noProof/>
        </w:rPr>
        <w:drawing>
          <wp:inline distT="0" distB="0" distL="0" distR="0" wp14:anchorId="6750B0D3" wp14:editId="0AF39F1A">
            <wp:extent cx="2000250" cy="101318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1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75220" w14:textId="13EF0D9E" w:rsidR="00C00519" w:rsidRPr="00564C5A" w:rsidRDefault="00C00519" w:rsidP="007F49EA">
      <w:pPr>
        <w:spacing w:after="0" w:line="240" w:lineRule="auto"/>
        <w:contextualSpacing/>
        <w:jc w:val="right"/>
        <w:rPr>
          <w:rFonts w:ascii="Arial" w:hAnsi="Arial" w:cs="Arial"/>
          <w:noProof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1356"/>
        <w:gridCol w:w="1165"/>
        <w:gridCol w:w="2940"/>
        <w:gridCol w:w="3539"/>
      </w:tblGrid>
      <w:tr w:rsidR="00BF14B8" w:rsidRPr="00564C5A" w14:paraId="05EF612A" w14:textId="03B0FE88" w:rsidTr="00DF374B">
        <w:tc>
          <w:tcPr>
            <w:tcW w:w="6799" w:type="dxa"/>
            <w:gridSpan w:val="4"/>
          </w:tcPr>
          <w:p w14:paraId="5DA9348A" w14:textId="2F3D530E" w:rsidR="00BF14B8" w:rsidRPr="00564C5A" w:rsidRDefault="00BF14B8" w:rsidP="007F49EA">
            <w:pPr>
              <w:contextualSpacing/>
              <w:rPr>
                <w:rFonts w:ascii="Arial" w:hAnsi="Arial" w:cs="Arial"/>
                <w:noProof/>
                <w:color w:val="4E3487" w:themeColor="accent1"/>
                <w:sz w:val="24"/>
                <w:szCs w:val="24"/>
                <w:lang w:eastAsia="en-GB"/>
              </w:rPr>
            </w:pPr>
            <w:r w:rsidRPr="00564C5A">
              <w:rPr>
                <w:rFonts w:ascii="Arial" w:hAnsi="Arial" w:cs="Arial"/>
                <w:noProof/>
                <w:color w:val="4E3487" w:themeColor="accent1"/>
                <w:sz w:val="24"/>
                <w:szCs w:val="24"/>
                <w:lang w:eastAsia="en-GB"/>
              </w:rPr>
              <w:t>&lt; Insert name of pharmacy&gt;</w:t>
            </w:r>
          </w:p>
          <w:p w14:paraId="265E2CF4" w14:textId="29B46450" w:rsidR="00BF14B8" w:rsidRPr="00564C5A" w:rsidRDefault="00BF14B8" w:rsidP="007F49EA">
            <w:pPr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64C5A">
              <w:rPr>
                <w:rFonts w:ascii="Arial" w:eastAsia="Times New Roman" w:hAnsi="Arial" w:cs="Arial"/>
                <w:b/>
                <w:color w:val="AA890A"/>
                <w:sz w:val="28"/>
                <w:szCs w:val="28"/>
                <w:lang w:eastAsia="en-GB"/>
              </w:rPr>
              <w:t>Data security and information governance policy</w:t>
            </w:r>
          </w:p>
        </w:tc>
        <w:tc>
          <w:tcPr>
            <w:tcW w:w="3539" w:type="dxa"/>
          </w:tcPr>
          <w:p w14:paraId="2EAC8987" w14:textId="10158C8B" w:rsidR="00BF14B8" w:rsidRPr="00564C5A" w:rsidRDefault="00BF14B8" w:rsidP="007F49EA">
            <w:pPr>
              <w:contextualSpacing/>
              <w:rPr>
                <w:rFonts w:ascii="Arial" w:hAnsi="Arial" w:cs="Arial"/>
                <w:noProof/>
                <w:color w:val="4E3487" w:themeColor="accent1"/>
                <w:sz w:val="24"/>
                <w:szCs w:val="24"/>
                <w:lang w:eastAsia="en-GB"/>
              </w:rPr>
            </w:pPr>
            <w:r w:rsidRPr="00564C5A">
              <w:rPr>
                <w:rFonts w:ascii="Arial" w:hAnsi="Arial" w:cs="Arial"/>
                <w:noProof/>
                <w:color w:val="4E3487" w:themeColor="accent1"/>
                <w:sz w:val="24"/>
                <w:szCs w:val="24"/>
                <w:lang w:eastAsia="en-GB"/>
              </w:rPr>
              <w:t>&lt;Insert pharmacy logo&gt;</w:t>
            </w:r>
          </w:p>
          <w:p w14:paraId="38216213" w14:textId="77777777" w:rsidR="00BF14B8" w:rsidRPr="00564C5A" w:rsidRDefault="00BF14B8" w:rsidP="007F49EA">
            <w:pPr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DF374B" w:rsidRPr="00564C5A" w14:paraId="565A951B" w14:textId="3AB8A58E" w:rsidTr="00DF374B">
        <w:tc>
          <w:tcPr>
            <w:tcW w:w="1338" w:type="dxa"/>
          </w:tcPr>
          <w:p w14:paraId="4B6F378A" w14:textId="5898DF83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564C5A">
              <w:rPr>
                <w:rFonts w:ascii="Arial" w:hAnsi="Arial" w:cs="Arial"/>
                <w:sz w:val="21"/>
                <w:szCs w:val="21"/>
              </w:rPr>
              <w:t>Doc prepared by:</w:t>
            </w:r>
          </w:p>
        </w:tc>
        <w:tc>
          <w:tcPr>
            <w:tcW w:w="1356" w:type="dxa"/>
          </w:tcPr>
          <w:p w14:paraId="04B27437" w14:textId="1AB7AF2D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564C5A">
              <w:rPr>
                <w:rFonts w:ascii="Arial" w:hAnsi="Arial" w:cs="Arial"/>
                <w:sz w:val="21"/>
                <w:szCs w:val="21"/>
              </w:rPr>
              <w:t>Doc  approved by: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4D21159B" w14:textId="77777777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564C5A">
              <w:rPr>
                <w:rFonts w:ascii="Arial" w:hAnsi="Arial" w:cs="Arial"/>
                <w:sz w:val="21"/>
                <w:szCs w:val="21"/>
              </w:rPr>
              <w:t>Date next review due:</w:t>
            </w:r>
          </w:p>
        </w:tc>
        <w:tc>
          <w:tcPr>
            <w:tcW w:w="2940" w:type="dxa"/>
          </w:tcPr>
          <w:p w14:paraId="0946BAEC" w14:textId="77777777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3539" w:type="dxa"/>
          </w:tcPr>
          <w:p w14:paraId="58B41280" w14:textId="77777777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</w:tc>
      </w:tr>
      <w:tr w:rsidR="00DF374B" w:rsidRPr="00564C5A" w14:paraId="6858A01C" w14:textId="0F3A0FEF" w:rsidTr="00DF374B">
        <w:tc>
          <w:tcPr>
            <w:tcW w:w="1338" w:type="dxa"/>
          </w:tcPr>
          <w:p w14:paraId="6C1703DF" w14:textId="77777777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564C5A">
              <w:rPr>
                <w:rFonts w:ascii="Arial" w:hAnsi="Arial" w:cs="Arial"/>
                <w:sz w:val="21"/>
                <w:szCs w:val="21"/>
              </w:rPr>
              <w:t>Date prepared:</w:t>
            </w:r>
          </w:p>
        </w:tc>
        <w:tc>
          <w:tcPr>
            <w:tcW w:w="1356" w:type="dxa"/>
          </w:tcPr>
          <w:p w14:paraId="49FC84C3" w14:textId="77777777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564C5A">
              <w:rPr>
                <w:rFonts w:ascii="Arial" w:hAnsi="Arial" w:cs="Arial"/>
                <w:sz w:val="21"/>
                <w:szCs w:val="21"/>
              </w:rPr>
              <w:t>Date approved: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77E0554" w14:textId="77777777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  <w:r w:rsidRPr="00564C5A">
              <w:rPr>
                <w:rFonts w:ascii="Arial" w:hAnsi="Arial" w:cs="Arial"/>
                <w:sz w:val="21"/>
                <w:szCs w:val="21"/>
              </w:rPr>
              <w:t>Date review takes place:</w:t>
            </w:r>
          </w:p>
        </w:tc>
        <w:tc>
          <w:tcPr>
            <w:tcW w:w="2940" w:type="dxa"/>
          </w:tcPr>
          <w:p w14:paraId="389F5536" w14:textId="77777777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3539" w:type="dxa"/>
          </w:tcPr>
          <w:p w14:paraId="41820C0E" w14:textId="77777777" w:rsidR="00DF374B" w:rsidRPr="00564C5A" w:rsidRDefault="00DF374B" w:rsidP="007F49EA">
            <w:pPr>
              <w:contextualSpacing/>
              <w:jc w:val="right"/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</w:tc>
      </w:tr>
    </w:tbl>
    <w:p w14:paraId="10E2365F" w14:textId="77777777" w:rsidR="00F0212F" w:rsidRPr="00564C5A" w:rsidRDefault="00F0212F" w:rsidP="007F49EA">
      <w:pPr>
        <w:spacing w:after="0" w:line="240" w:lineRule="auto"/>
        <w:contextualSpacing/>
        <w:rPr>
          <w:rFonts w:ascii="Arial" w:hAnsi="Arial" w:cs="Arial"/>
          <w:noProof/>
          <w:sz w:val="21"/>
          <w:szCs w:val="2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0212F" w:rsidRPr="00564C5A" w14:paraId="3B8788AD" w14:textId="77777777" w:rsidTr="00F0212F">
        <w:tc>
          <w:tcPr>
            <w:tcW w:w="10338" w:type="dxa"/>
          </w:tcPr>
          <w:p w14:paraId="3BC97B2F" w14:textId="78B067D1" w:rsidR="00C11C33" w:rsidRPr="00564C5A" w:rsidRDefault="00C11C33" w:rsidP="007F49EA">
            <w:pPr>
              <w:contextualSpacing/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</w:pPr>
            <w:r w:rsidRPr="00564C5A">
              <w:rPr>
                <w:rFonts w:ascii="Arial" w:hAnsi="Arial" w:cs="Arial"/>
                <w:b/>
                <w:bCs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About </w:t>
            </w:r>
            <w:r w:rsidR="00775888" w:rsidRPr="00564C5A">
              <w:rPr>
                <w:rFonts w:ascii="Arial" w:hAnsi="Arial" w:cs="Arial"/>
                <w:b/>
                <w:bCs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>using</w:t>
            </w:r>
            <w:r w:rsidRPr="00564C5A">
              <w:rPr>
                <w:rFonts w:ascii="Arial" w:hAnsi="Arial" w:cs="Arial"/>
                <w:b/>
                <w:bCs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 document and related resources</w:t>
            </w:r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: This </w:t>
            </w:r>
            <w:hyperlink r:id="rId12" w:history="1">
              <w:r w:rsidRPr="00564C5A">
                <w:rPr>
                  <w:rStyle w:val="Hyperlink"/>
                  <w:rFonts w:ascii="Arial" w:hAnsi="Arial" w:cs="Arial"/>
                  <w:i/>
                  <w:iCs/>
                  <w:noProof/>
                  <w:sz w:val="19"/>
                  <w:szCs w:val="19"/>
                  <w:lang w:eastAsia="en-GB"/>
                </w:rPr>
                <w:t>data security</w:t>
              </w:r>
            </w:hyperlink>
            <w:r w:rsidRPr="00564C5A">
              <w:rPr>
                <w:rFonts w:ascii="Arial" w:hAnsi="Arial" w:cs="Arial"/>
                <w:i/>
                <w:iCs/>
                <w:noProof/>
                <w:sz w:val="19"/>
                <w:szCs w:val="19"/>
                <w:lang w:eastAsia="en-GB"/>
              </w:rPr>
              <w:t xml:space="preserve"> </w:t>
            </w:r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document assists the pharmacy’s </w:t>
            </w:r>
            <w:r w:rsidR="00775888"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>alignment</w:t>
            </w:r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 </w:t>
            </w:r>
            <w:r w:rsidR="00764339"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of </w:t>
            </w:r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>the</w:t>
            </w:r>
            <w:r w:rsidRPr="00564C5A">
              <w:rPr>
                <w:rFonts w:ascii="Arial" w:hAnsi="Arial" w:cs="Arial"/>
                <w:b/>
                <w:bCs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 </w:t>
            </w:r>
            <w:hyperlink r:id="rId13" w:history="1">
              <w:r w:rsidRPr="00564C5A">
                <w:rPr>
                  <w:rStyle w:val="Hyperlink"/>
                  <w:rFonts w:ascii="Arial" w:hAnsi="Arial" w:cs="Arial"/>
                  <w:b w:val="0"/>
                  <w:bCs/>
                  <w:i/>
                  <w:iCs/>
                  <w:noProof/>
                  <w:color w:val="4E3487" w:themeColor="accent1"/>
                  <w:sz w:val="19"/>
                  <w:szCs w:val="19"/>
                  <w:lang w:eastAsia="en-GB"/>
                </w:rPr>
                <w:t>Data Security and Protection Toolkit (DSPTK)</w:t>
              </w:r>
            </w:hyperlink>
            <w:r w:rsidRPr="00564C5A">
              <w:rPr>
                <w:rFonts w:ascii="Arial" w:hAnsi="Arial" w:cs="Arial"/>
                <w:bCs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>. Related pharmacy</w:t>
            </w:r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 policies are at </w:t>
            </w:r>
            <w:r w:rsidR="00EA2E1F"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>Community Pharmacy England</w:t>
            </w:r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 xml:space="preserve">’s </w:t>
            </w:r>
            <w:hyperlink r:id="rId14" w:history="1">
              <w:r w:rsidRPr="00564C5A">
                <w:rPr>
                  <w:rStyle w:val="Hyperlink"/>
                  <w:rFonts w:ascii="Arial" w:hAnsi="Arial" w:cs="Arial"/>
                  <w:i/>
                  <w:iCs/>
                  <w:noProof/>
                  <w:sz w:val="19"/>
                  <w:szCs w:val="19"/>
                  <w:lang w:eastAsia="en-GB"/>
                </w:rPr>
                <w:t>data security templates webpage</w:t>
              </w:r>
            </w:hyperlink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19"/>
                <w:szCs w:val="19"/>
                <w:lang w:eastAsia="en-GB"/>
              </w:rPr>
              <w:t>.</w:t>
            </w:r>
          </w:p>
        </w:tc>
      </w:tr>
    </w:tbl>
    <w:p w14:paraId="027E4E0A" w14:textId="25A6C3FB" w:rsidR="00F32F40" w:rsidRPr="00564C5A" w:rsidRDefault="00F32F40" w:rsidP="007F49EA">
      <w:pPr>
        <w:spacing w:after="0" w:line="240" w:lineRule="auto"/>
        <w:contextualSpacing/>
        <w:jc w:val="both"/>
        <w:outlineLvl w:val="2"/>
        <w:rPr>
          <w:rFonts w:ascii="Arial" w:eastAsiaTheme="minorEastAsia" w:hAnsi="Arial" w:cs="Arial"/>
          <w:sz w:val="21"/>
          <w:szCs w:val="21"/>
          <w:lang w:eastAsia="en-GB"/>
        </w:rPr>
      </w:pPr>
    </w:p>
    <w:p w14:paraId="09B94A94" w14:textId="77777777" w:rsidR="007F49EA" w:rsidRPr="00564C5A" w:rsidRDefault="007F49EA" w:rsidP="007F49EA">
      <w:pPr>
        <w:spacing w:after="0" w:line="240" w:lineRule="auto"/>
        <w:contextualSpacing/>
        <w:jc w:val="both"/>
        <w:outlineLvl w:val="2"/>
        <w:rPr>
          <w:rFonts w:ascii="Arial" w:eastAsiaTheme="minorEastAsia" w:hAnsi="Arial" w:cs="Arial"/>
          <w:sz w:val="21"/>
          <w:szCs w:val="21"/>
          <w:lang w:eastAsia="en-GB"/>
        </w:rPr>
      </w:pPr>
    </w:p>
    <w:p w14:paraId="4ACC7983" w14:textId="50B79156" w:rsidR="00F32F40" w:rsidRPr="00564C5A" w:rsidRDefault="0033070A" w:rsidP="007F49EA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color w:val="AA890A"/>
          <w:sz w:val="27"/>
          <w:szCs w:val="27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  <w:lang w:eastAsia="en-GB"/>
        </w:rPr>
        <w:t>Purposes of this policy</w:t>
      </w:r>
    </w:p>
    <w:p w14:paraId="21907BD1" w14:textId="4F480B53" w:rsidR="00F32F40" w:rsidRPr="00564C5A" w:rsidRDefault="00F32F40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</w:p>
    <w:p w14:paraId="5DA0211E" w14:textId="27E2A009" w:rsidR="00C910AC" w:rsidRPr="00564C5A" w:rsidRDefault="00590086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64C5A">
        <w:rPr>
          <w:rFonts w:ascii="Arial" w:hAnsi="Arial" w:cs="Arial"/>
          <w:sz w:val="21"/>
          <w:szCs w:val="21"/>
        </w:rPr>
        <w:t>This policy sets out the procedures</w:t>
      </w:r>
      <w:r w:rsidR="00775888" w:rsidRPr="00564C5A">
        <w:rPr>
          <w:rFonts w:ascii="Arial" w:hAnsi="Arial" w:cs="Arial"/>
          <w:sz w:val="21"/>
          <w:szCs w:val="21"/>
        </w:rPr>
        <w:t>, management accountability, and structures that have been put in place within the pharmacy to safeguard the movement of personal data</w:t>
      </w:r>
      <w:r w:rsidRPr="00564C5A">
        <w:rPr>
          <w:rFonts w:ascii="Arial" w:hAnsi="Arial" w:cs="Arial"/>
          <w:sz w:val="21"/>
          <w:szCs w:val="21"/>
        </w:rPr>
        <w:t>.</w:t>
      </w:r>
    </w:p>
    <w:p w14:paraId="7C6A4CDA" w14:textId="246ED3CD" w:rsidR="00590086" w:rsidRPr="00564C5A" w:rsidRDefault="00590086" w:rsidP="007F49EA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9964438" w14:textId="6A555ABD" w:rsidR="00E0702F" w:rsidRPr="00564C5A" w:rsidRDefault="00F74BBF" w:rsidP="007F49EA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  <w:lang w:eastAsia="en-GB"/>
        </w:rPr>
        <w:t>Underpinning procedures</w:t>
      </w:r>
    </w:p>
    <w:p w14:paraId="0C8B24ED" w14:textId="77777777" w:rsidR="00F74BBF" w:rsidRPr="00564C5A" w:rsidRDefault="00F74BBF" w:rsidP="007F49EA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5E136DB" w14:textId="16780538" w:rsidR="007426D6" w:rsidRPr="00564C5A" w:rsidRDefault="007426D6" w:rsidP="007F49EA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</w:rPr>
        <w:t>The following procedures (</w:t>
      </w:r>
      <w:hyperlink r:id="rId15" w:history="1">
        <w:r w:rsidR="001A2628" w:rsidRPr="00564C5A">
          <w:rPr>
            <w:rStyle w:val="Hyperlink"/>
            <w:rFonts w:ascii="Arial" w:hAnsi="Arial" w:cs="Arial"/>
          </w:rPr>
          <w:t>cpe.org.uk</w:t>
        </w:r>
        <w:r w:rsidRPr="00564C5A">
          <w:rPr>
            <w:rStyle w:val="Hyperlink"/>
            <w:rFonts w:ascii="Arial" w:hAnsi="Arial" w:cs="Arial"/>
          </w:rPr>
          <w:t>/</w:t>
        </w:r>
        <w:proofErr w:type="spellStart"/>
        <w:r w:rsidRPr="00564C5A">
          <w:rPr>
            <w:rStyle w:val="Hyperlink"/>
            <w:rFonts w:ascii="Arial" w:hAnsi="Arial" w:cs="Arial"/>
          </w:rPr>
          <w:t>dstemplates</w:t>
        </w:r>
        <w:proofErr w:type="spellEnd"/>
      </w:hyperlink>
      <w:r w:rsidRPr="00564C5A">
        <w:rPr>
          <w:rFonts w:ascii="Arial" w:hAnsi="Arial" w:cs="Arial"/>
        </w:rPr>
        <w:t>) have been put in place to support the confidential handling of information within the pharmacy and the sharing of this information with other organisations:</w:t>
      </w:r>
    </w:p>
    <w:p w14:paraId="2C023445" w14:textId="5BCD5EB3" w:rsidR="007426D6" w:rsidRPr="00564C5A" w:rsidRDefault="007426D6" w:rsidP="007F49EA">
      <w:pPr>
        <w:pStyle w:val="ListParagraph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  <w:b/>
          <w:bCs/>
          <w:color w:val="AA890A"/>
        </w:rPr>
        <w:t>Staff Confidentiality Code of Conduct</w:t>
      </w:r>
      <w:r w:rsidRPr="00564C5A">
        <w:rPr>
          <w:rFonts w:ascii="Arial" w:hAnsi="Arial" w:cs="Arial"/>
          <w:color w:val="AA890A"/>
        </w:rPr>
        <w:t xml:space="preserve"> </w:t>
      </w:r>
      <w:r w:rsidRPr="00564C5A">
        <w:rPr>
          <w:rFonts w:ascii="Arial" w:hAnsi="Arial" w:cs="Arial"/>
        </w:rPr>
        <w:t>(sets out the standards expected of staff in maintaining the confidentiality of patient information</w:t>
      </w:r>
      <w:r w:rsidR="00775888" w:rsidRPr="00564C5A">
        <w:rPr>
          <w:rFonts w:ascii="Arial" w:hAnsi="Arial" w:cs="Arial"/>
        </w:rPr>
        <w:t>,</w:t>
      </w:r>
      <w:r w:rsidR="0008231E" w:rsidRPr="00564C5A">
        <w:rPr>
          <w:rFonts w:ascii="Arial" w:hAnsi="Arial" w:cs="Arial"/>
        </w:rPr>
        <w:t xml:space="preserve"> including dealing with </w:t>
      </w:r>
      <w:r w:rsidR="00603A53" w:rsidRPr="00564C5A">
        <w:rPr>
          <w:rFonts w:ascii="Arial" w:hAnsi="Arial" w:cs="Arial"/>
        </w:rPr>
        <w:t>data being processed</w:t>
      </w:r>
      <w:r w:rsidR="0008231E" w:rsidRPr="00564C5A">
        <w:rPr>
          <w:rFonts w:ascii="Arial" w:hAnsi="Arial" w:cs="Arial"/>
        </w:rPr>
        <w:t xml:space="preserve"> in and out of the pharmacy</w:t>
      </w:r>
      <w:r w:rsidRPr="00564C5A">
        <w:rPr>
          <w:rFonts w:ascii="Arial" w:hAnsi="Arial" w:cs="Arial"/>
        </w:rPr>
        <w:t>);</w:t>
      </w:r>
    </w:p>
    <w:p w14:paraId="6B9C0432" w14:textId="60B5EBB2" w:rsidR="007426D6" w:rsidRPr="00564C5A" w:rsidRDefault="007426D6" w:rsidP="007F49EA">
      <w:pPr>
        <w:pStyle w:val="ListParagraph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bookmarkStart w:id="0" w:name="_Hlk63417707"/>
      <w:r w:rsidRPr="00564C5A">
        <w:rPr>
          <w:rFonts w:ascii="Arial" w:hAnsi="Arial" w:cs="Arial"/>
          <w:b/>
          <w:bCs/>
          <w:color w:val="AA890A"/>
        </w:rPr>
        <w:t>Staff Access Control and Password management SOP</w:t>
      </w:r>
      <w:r w:rsidRPr="00564C5A">
        <w:rPr>
          <w:rFonts w:ascii="Arial" w:hAnsi="Arial" w:cs="Arial"/>
        </w:rPr>
        <w:t xml:space="preserve"> </w:t>
      </w:r>
      <w:bookmarkEnd w:id="0"/>
      <w:r w:rsidRPr="00564C5A">
        <w:rPr>
          <w:rFonts w:ascii="Arial" w:hAnsi="Arial" w:cs="Arial"/>
        </w:rPr>
        <w:t>(sets out procedures for the management of access to computer-based information systems</w:t>
      </w:r>
      <w:r w:rsidR="00F84071" w:rsidRPr="00564C5A">
        <w:rPr>
          <w:rFonts w:ascii="Arial" w:hAnsi="Arial" w:cs="Arial"/>
        </w:rPr>
        <w:t xml:space="preserve"> including multi-factor authentication </w:t>
      </w:r>
      <w:r w:rsidR="00146E2D" w:rsidRPr="00564C5A">
        <w:rPr>
          <w:rFonts w:ascii="Arial" w:hAnsi="Arial" w:cs="Arial"/>
        </w:rPr>
        <w:t>requirements</w:t>
      </w:r>
      <w:r w:rsidRPr="00564C5A">
        <w:rPr>
          <w:rFonts w:ascii="Arial" w:hAnsi="Arial" w:cs="Arial"/>
        </w:rPr>
        <w:t>);</w:t>
      </w:r>
    </w:p>
    <w:p w14:paraId="5B59D6CB" w14:textId="2E554F74" w:rsidR="007426D6" w:rsidRPr="00564C5A" w:rsidRDefault="007426D6" w:rsidP="007F49EA">
      <w:pPr>
        <w:pStyle w:val="ListParagraph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  <w:b/>
          <w:bCs/>
          <w:color w:val="AA890A"/>
        </w:rPr>
        <w:t>Data Transfer SOP</w:t>
      </w:r>
      <w:r w:rsidRPr="00564C5A">
        <w:rPr>
          <w:rFonts w:ascii="Arial" w:hAnsi="Arial" w:cs="Arial"/>
        </w:rPr>
        <w:t xml:space="preserve"> (sets out procedures around the secure transfer of data, collecting consent and maintaining confidentiality within the pharmacy including the use of safe havens);</w:t>
      </w:r>
    </w:p>
    <w:p w14:paraId="2092017D" w14:textId="3FC4FEC7" w:rsidR="007426D6" w:rsidRPr="00564C5A" w:rsidRDefault="007426D6" w:rsidP="007F49EA">
      <w:pPr>
        <w:pStyle w:val="ListParagraph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  <w:b/>
          <w:bCs/>
          <w:color w:val="AA890A"/>
        </w:rPr>
        <w:t>Incident management SOP</w:t>
      </w:r>
      <w:r w:rsidRPr="00564C5A">
        <w:rPr>
          <w:rFonts w:ascii="Arial" w:hAnsi="Arial" w:cs="Arial"/>
        </w:rPr>
        <w:t xml:space="preserve"> (sets out the procedures for responding to a security breach);</w:t>
      </w:r>
    </w:p>
    <w:p w14:paraId="1C4FE6CA" w14:textId="51F2B808" w:rsidR="007426D6" w:rsidRPr="00564C5A" w:rsidRDefault="007426D6" w:rsidP="007F49EA">
      <w:pPr>
        <w:pStyle w:val="ListParagraph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  <w:b/>
          <w:bCs/>
          <w:color w:val="AA890A"/>
        </w:rPr>
        <w:t>Business Continuity SOP</w:t>
      </w:r>
      <w:r w:rsidRPr="00564C5A">
        <w:rPr>
          <w:rFonts w:ascii="Arial" w:hAnsi="Arial" w:cs="Arial"/>
        </w:rPr>
        <w:t xml:space="preserve"> (sets out the procedures in the event of system failure);</w:t>
      </w:r>
    </w:p>
    <w:p w14:paraId="405586B6" w14:textId="2A0E0421" w:rsidR="007426D6" w:rsidRPr="00564C5A" w:rsidRDefault="007426D6" w:rsidP="007F49EA">
      <w:pPr>
        <w:pStyle w:val="ListParagraph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  <w:b/>
          <w:bCs/>
          <w:color w:val="AA890A"/>
        </w:rPr>
        <w:t>Portable Device Staff Guidelines</w:t>
      </w:r>
      <w:r w:rsidRPr="00564C5A">
        <w:rPr>
          <w:rFonts w:ascii="Arial" w:hAnsi="Arial" w:cs="Arial"/>
        </w:rPr>
        <w:t xml:space="preserve"> (</w:t>
      </w:r>
      <w:r w:rsidR="00775888" w:rsidRPr="00564C5A">
        <w:rPr>
          <w:rFonts w:ascii="Arial" w:hAnsi="Arial" w:cs="Arial"/>
        </w:rPr>
        <w:t xml:space="preserve">provide guidance for staff </w:t>
      </w:r>
      <w:r w:rsidRPr="00564C5A">
        <w:rPr>
          <w:rFonts w:ascii="Arial" w:hAnsi="Arial" w:cs="Arial"/>
        </w:rPr>
        <w:t>on the use of portable devices).</w:t>
      </w:r>
    </w:p>
    <w:p w14:paraId="14226D2B" w14:textId="372A86BB" w:rsidR="000E0D74" w:rsidRPr="00564C5A" w:rsidRDefault="000E0D74" w:rsidP="007F49EA">
      <w:pPr>
        <w:pStyle w:val="ListParagraph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  <w:b/>
          <w:bCs/>
          <w:color w:val="AA890A"/>
        </w:rPr>
        <w:t xml:space="preserve">Privacy notice </w:t>
      </w:r>
      <w:r w:rsidRPr="00564C5A">
        <w:rPr>
          <w:rFonts w:ascii="Arial" w:hAnsi="Arial" w:cs="Arial"/>
        </w:rPr>
        <w:t>provides patients with information about how you process data.</w:t>
      </w:r>
    </w:p>
    <w:p w14:paraId="23E0FDD8" w14:textId="541F45E8" w:rsidR="001F4654" w:rsidRPr="00564C5A" w:rsidRDefault="007426D6" w:rsidP="007F49EA">
      <w:pPr>
        <w:pStyle w:val="ListParagraph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  <w:b/>
          <w:bCs/>
          <w:color w:val="AA890A"/>
        </w:rPr>
        <w:t>Data Quality policy</w:t>
      </w:r>
      <w:r w:rsidRPr="00564C5A">
        <w:rPr>
          <w:rFonts w:ascii="Arial" w:hAnsi="Arial" w:cs="Arial"/>
        </w:rPr>
        <w:t xml:space="preserve"> (provides guidance and training for staff about good data quality processes)</w:t>
      </w:r>
    </w:p>
    <w:p w14:paraId="7CE7DA43" w14:textId="4AFC0864" w:rsidR="00BB6FDB" w:rsidRPr="00564C5A" w:rsidRDefault="00BB6FDB" w:rsidP="007F49EA">
      <w:pPr>
        <w:spacing w:after="0" w:line="240" w:lineRule="auto"/>
        <w:contextualSpacing/>
        <w:jc w:val="both"/>
        <w:outlineLvl w:val="2"/>
        <w:rPr>
          <w:rFonts w:ascii="Arial" w:eastAsiaTheme="minorEastAsia" w:hAnsi="Arial" w:cs="Arial"/>
        </w:rPr>
      </w:pPr>
    </w:p>
    <w:p w14:paraId="44DACB59" w14:textId="5B138B81" w:rsidR="00BB6FDB" w:rsidRPr="00564C5A" w:rsidRDefault="00DA5F3F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t>Staff duties and responsibilities</w:t>
      </w:r>
    </w:p>
    <w:p w14:paraId="3B530104" w14:textId="77777777" w:rsidR="00DA5F3F" w:rsidRPr="00564C5A" w:rsidRDefault="00DA5F3F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0E9191FA" w14:textId="228BC7FF" w:rsidR="00BB6FDB" w:rsidRPr="00564C5A" w:rsidRDefault="0014379F" w:rsidP="009800A7">
      <w:pPr>
        <w:spacing w:after="0" w:line="240" w:lineRule="auto"/>
        <w:contextualSpacing/>
        <w:jc w:val="both"/>
        <w:rPr>
          <w:rFonts w:ascii="Arial" w:eastAsiaTheme="minorEastAsia" w:hAnsi="Arial" w:cs="Arial"/>
        </w:rPr>
      </w:pPr>
      <w:r w:rsidRPr="00564C5A">
        <w:rPr>
          <w:rFonts w:ascii="Arial" w:hAnsi="Arial" w:cs="Arial"/>
          <w:sz w:val="21"/>
          <w:szCs w:val="21"/>
        </w:rPr>
        <w:t>All staff, whether permanent, temporary or contracted are responsible for ensuring that they remain aware of the requirements incumbent upon them for ensuring compliance on a day</w:t>
      </w:r>
      <w:r w:rsidR="00B31AD5" w:rsidRPr="00564C5A">
        <w:rPr>
          <w:rFonts w:ascii="Arial" w:hAnsi="Arial" w:cs="Arial"/>
          <w:sz w:val="21"/>
          <w:szCs w:val="21"/>
        </w:rPr>
        <w:t>-</w:t>
      </w:r>
      <w:r w:rsidRPr="00564C5A">
        <w:rPr>
          <w:rFonts w:ascii="Arial" w:hAnsi="Arial" w:cs="Arial"/>
          <w:sz w:val="21"/>
          <w:szCs w:val="21"/>
        </w:rPr>
        <w:t>to</w:t>
      </w:r>
      <w:r w:rsidR="00B31AD5" w:rsidRPr="00564C5A">
        <w:rPr>
          <w:rFonts w:ascii="Arial" w:hAnsi="Arial" w:cs="Arial"/>
          <w:sz w:val="21"/>
          <w:szCs w:val="21"/>
        </w:rPr>
        <w:t>-</w:t>
      </w:r>
      <w:r w:rsidRPr="00564C5A">
        <w:rPr>
          <w:rFonts w:ascii="Arial" w:hAnsi="Arial" w:cs="Arial"/>
          <w:sz w:val="21"/>
          <w:szCs w:val="21"/>
        </w:rPr>
        <w:t xml:space="preserve">day basis. These </w:t>
      </w:r>
      <w:r w:rsidR="00764339" w:rsidRPr="00564C5A">
        <w:rPr>
          <w:rFonts w:ascii="Arial" w:hAnsi="Arial" w:cs="Arial"/>
          <w:sz w:val="21"/>
          <w:szCs w:val="21"/>
        </w:rPr>
        <w:t xml:space="preserve">include maintaining data confidentiality, ensuring secure data storage, and </w:t>
      </w:r>
      <w:r w:rsidRPr="00564C5A">
        <w:rPr>
          <w:rFonts w:ascii="Arial" w:hAnsi="Arial" w:cs="Arial"/>
          <w:sz w:val="21"/>
          <w:szCs w:val="21"/>
        </w:rPr>
        <w:t>being aware of situations where disclosure may be required or may not be required.</w:t>
      </w:r>
      <w:r w:rsidR="003D6F00" w:rsidRPr="00564C5A">
        <w:rPr>
          <w:rFonts w:ascii="Arial" w:hAnsi="Arial" w:cs="Arial"/>
          <w:sz w:val="21"/>
          <w:szCs w:val="21"/>
        </w:rPr>
        <w:t xml:space="preserve"> </w:t>
      </w:r>
      <w:r w:rsidR="006D6685" w:rsidRPr="00564C5A">
        <w:rPr>
          <w:rFonts w:ascii="Arial" w:hAnsi="Arial" w:cs="Arial"/>
          <w:sz w:val="21"/>
          <w:szCs w:val="21"/>
        </w:rPr>
        <w:t xml:space="preserve"> </w:t>
      </w:r>
      <w:r w:rsidR="009800A7" w:rsidRPr="00564C5A">
        <w:rPr>
          <w:rFonts w:ascii="Arial" w:hAnsi="Arial" w:cs="Arial"/>
          <w:sz w:val="21"/>
          <w:szCs w:val="21"/>
        </w:rPr>
        <w:t>All s</w:t>
      </w:r>
      <w:r w:rsidR="006D6685" w:rsidRPr="00564C5A">
        <w:rPr>
          <w:rFonts w:ascii="Arial" w:hAnsi="Arial" w:cs="Arial"/>
          <w:sz w:val="21"/>
          <w:szCs w:val="21"/>
        </w:rPr>
        <w:t>taff should also maintain good password practices e.g. s</w:t>
      </w:r>
      <w:r w:rsidR="00764339" w:rsidRPr="00564C5A">
        <w:rPr>
          <w:rFonts w:ascii="Arial" w:hAnsi="Arial" w:cs="Arial"/>
          <w:sz w:val="21"/>
          <w:szCs w:val="21"/>
        </w:rPr>
        <w:t>, e.g. separate passwords for separate systems, using three random words, etc (see also the ‘Staff Access Control and Password Management</w:t>
      </w:r>
    </w:p>
    <w:p w14:paraId="077EEDDB" w14:textId="51665B82" w:rsidR="00BB6FDB" w:rsidRPr="00564C5A" w:rsidRDefault="007F49EA" w:rsidP="007F49EA">
      <w:pPr>
        <w:spacing w:line="240" w:lineRule="auto"/>
        <w:contextualSpacing/>
        <w:rPr>
          <w:rFonts w:ascii="Arial" w:hAnsi="Arial" w:cs="Arial"/>
          <w:sz w:val="21"/>
          <w:szCs w:val="21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br w:type="page"/>
      </w:r>
      <w:r w:rsidR="00AE2377" w:rsidRPr="00564C5A">
        <w:rPr>
          <w:rFonts w:ascii="Arial" w:eastAsia="Times New Roman" w:hAnsi="Arial" w:cs="Arial"/>
          <w:b/>
          <w:color w:val="AA890A"/>
          <w:sz w:val="27"/>
          <w:szCs w:val="27"/>
        </w:rPr>
        <w:lastRenderedPageBreak/>
        <w:t>Accountability and responsibility for this policy</w:t>
      </w:r>
    </w:p>
    <w:p w14:paraId="308C94C2" w14:textId="77777777" w:rsidR="007F49EA" w:rsidRPr="00564C5A" w:rsidRDefault="007F49EA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0E66A2F1" w14:textId="1E9E0E05" w:rsidR="006300D5" w:rsidRPr="00564C5A" w:rsidRDefault="006300D5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64C5A">
        <w:rPr>
          <w:rFonts w:ascii="Arial" w:hAnsi="Arial" w:cs="Arial"/>
          <w:sz w:val="21"/>
          <w:szCs w:val="21"/>
        </w:rPr>
        <w:t xml:space="preserve">The designated </w:t>
      </w:r>
      <w:r w:rsidR="00B31AD5" w:rsidRPr="00564C5A">
        <w:rPr>
          <w:rFonts w:ascii="Arial" w:hAnsi="Arial" w:cs="Arial"/>
          <w:sz w:val="21"/>
          <w:szCs w:val="21"/>
        </w:rPr>
        <w:t>Data security and IG</w:t>
      </w:r>
      <w:r w:rsidRPr="00564C5A">
        <w:rPr>
          <w:rFonts w:ascii="Arial" w:hAnsi="Arial" w:cs="Arial"/>
          <w:sz w:val="21"/>
          <w:szCs w:val="21"/>
        </w:rPr>
        <w:t xml:space="preserve"> </w:t>
      </w:r>
      <w:r w:rsidR="00B31AD5" w:rsidRPr="00564C5A">
        <w:rPr>
          <w:rFonts w:ascii="Arial" w:hAnsi="Arial" w:cs="Arial"/>
          <w:sz w:val="21"/>
          <w:szCs w:val="21"/>
        </w:rPr>
        <w:t>l</w:t>
      </w:r>
      <w:r w:rsidRPr="00564C5A">
        <w:rPr>
          <w:rFonts w:ascii="Arial" w:hAnsi="Arial" w:cs="Arial"/>
          <w:sz w:val="21"/>
          <w:szCs w:val="21"/>
        </w:rPr>
        <w:t xml:space="preserve">ead in the pharmacy is responsible for overseeing day to day </w:t>
      </w:r>
      <w:r w:rsidR="00303C94" w:rsidRPr="00564C5A">
        <w:rPr>
          <w:rFonts w:ascii="Arial" w:hAnsi="Arial" w:cs="Arial"/>
          <w:sz w:val="21"/>
          <w:szCs w:val="21"/>
        </w:rPr>
        <w:t xml:space="preserve">data security </w:t>
      </w:r>
      <w:r w:rsidRPr="00564C5A">
        <w:rPr>
          <w:rFonts w:ascii="Arial" w:hAnsi="Arial" w:cs="Arial"/>
          <w:sz w:val="21"/>
          <w:szCs w:val="21"/>
        </w:rPr>
        <w:t xml:space="preserve">issues; developing and maintaining policies, standards, procedures and guidance, coordinating </w:t>
      </w:r>
      <w:r w:rsidR="00E36FD3" w:rsidRPr="00564C5A">
        <w:rPr>
          <w:rFonts w:ascii="Arial" w:hAnsi="Arial" w:cs="Arial"/>
          <w:sz w:val="21"/>
          <w:szCs w:val="21"/>
        </w:rPr>
        <w:t xml:space="preserve">data security </w:t>
      </w:r>
      <w:r w:rsidRPr="00564C5A">
        <w:rPr>
          <w:rFonts w:ascii="Arial" w:hAnsi="Arial" w:cs="Arial"/>
          <w:sz w:val="21"/>
          <w:szCs w:val="21"/>
        </w:rPr>
        <w:t>in the Pharmacy, raising awareness of Information Governance and ensuring that there is ongoing compliance with the policy and its supporting standards and guidelines.</w:t>
      </w:r>
    </w:p>
    <w:p w14:paraId="12859DD8" w14:textId="3DF2A454" w:rsidR="006300D5" w:rsidRPr="00564C5A" w:rsidRDefault="006300D5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2800807B" w14:textId="34562B3A" w:rsidR="00BB6FDB" w:rsidRPr="00564C5A" w:rsidRDefault="006300D5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64C5A">
        <w:rPr>
          <w:rFonts w:ascii="Arial" w:hAnsi="Arial" w:cs="Arial"/>
          <w:sz w:val="21"/>
          <w:szCs w:val="21"/>
        </w:rPr>
        <w:t xml:space="preserve">The pharmacy owner is responsible for ensuring that sufficient resources are available to support the implementation of </w:t>
      </w:r>
      <w:r w:rsidR="00E436F9" w:rsidRPr="00564C5A">
        <w:rPr>
          <w:rFonts w:ascii="Arial" w:hAnsi="Arial" w:cs="Arial"/>
          <w:sz w:val="21"/>
          <w:szCs w:val="21"/>
        </w:rPr>
        <w:t>data security</w:t>
      </w:r>
      <w:r w:rsidRPr="00564C5A">
        <w:rPr>
          <w:rFonts w:ascii="Arial" w:hAnsi="Arial" w:cs="Arial"/>
          <w:sz w:val="21"/>
          <w:szCs w:val="21"/>
        </w:rPr>
        <w:t xml:space="preserve"> procedures in order to ensure compliance with legal and professional requirements and the NHS </w:t>
      </w:r>
      <w:r w:rsidR="00E436F9" w:rsidRPr="00564C5A">
        <w:rPr>
          <w:rFonts w:ascii="Arial" w:hAnsi="Arial" w:cs="Arial"/>
          <w:sz w:val="21"/>
          <w:szCs w:val="21"/>
        </w:rPr>
        <w:t xml:space="preserve">information governance </w:t>
      </w:r>
      <w:r w:rsidRPr="00564C5A">
        <w:rPr>
          <w:rFonts w:ascii="Arial" w:hAnsi="Arial" w:cs="Arial"/>
          <w:sz w:val="21"/>
          <w:szCs w:val="21"/>
        </w:rPr>
        <w:t>requirements.</w:t>
      </w:r>
    </w:p>
    <w:p w14:paraId="73C2918E" w14:textId="1C33A022" w:rsidR="00771D6A" w:rsidRPr="00564C5A" w:rsidRDefault="00771D6A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43C34919" w14:textId="4B66CA00" w:rsidR="00771D6A" w:rsidRPr="00564C5A" w:rsidRDefault="007C2AAB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t>Data protection by design and default</w:t>
      </w:r>
    </w:p>
    <w:p w14:paraId="3DB0678A" w14:textId="41602DAE" w:rsidR="00771D6A" w:rsidRPr="00564C5A" w:rsidRDefault="00771D6A" w:rsidP="007F49EA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1C53139" w14:textId="68188260" w:rsidR="007C2AAB" w:rsidRPr="00564C5A" w:rsidRDefault="00E36FD3" w:rsidP="007F49EA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</w:rPr>
        <w:t>The pharmacy</w:t>
      </w:r>
      <w:r w:rsidR="009907AA" w:rsidRPr="00564C5A">
        <w:rPr>
          <w:rFonts w:ascii="Arial" w:hAnsi="Arial" w:cs="Arial"/>
        </w:rPr>
        <w:t xml:space="preserve"> IG lead(s) or equivalent</w:t>
      </w:r>
      <w:r w:rsidRPr="00564C5A">
        <w:rPr>
          <w:rFonts w:ascii="Arial" w:hAnsi="Arial" w:cs="Arial"/>
        </w:rPr>
        <w:t xml:space="preserve"> </w:t>
      </w:r>
      <w:r w:rsidR="00B155C5" w:rsidRPr="00564C5A">
        <w:rPr>
          <w:rFonts w:ascii="Arial" w:hAnsi="Arial" w:cs="Arial"/>
        </w:rPr>
        <w:t xml:space="preserve">will support the </w:t>
      </w:r>
      <w:r w:rsidR="00896D03" w:rsidRPr="00564C5A">
        <w:rPr>
          <w:rFonts w:ascii="Arial" w:hAnsi="Arial" w:cs="Arial"/>
        </w:rPr>
        <w:t>‘bak</w:t>
      </w:r>
      <w:r w:rsidR="00B155C5" w:rsidRPr="00564C5A">
        <w:rPr>
          <w:rFonts w:ascii="Arial" w:hAnsi="Arial" w:cs="Arial"/>
        </w:rPr>
        <w:t>ing</w:t>
      </w:r>
      <w:r w:rsidR="00896D03" w:rsidRPr="00564C5A">
        <w:rPr>
          <w:rFonts w:ascii="Arial" w:hAnsi="Arial" w:cs="Arial"/>
        </w:rPr>
        <w:t xml:space="preserve"> in’ </w:t>
      </w:r>
      <w:r w:rsidR="00B155C5" w:rsidRPr="00564C5A">
        <w:rPr>
          <w:rFonts w:ascii="Arial" w:hAnsi="Arial" w:cs="Arial"/>
        </w:rPr>
        <w:t xml:space="preserve">of </w:t>
      </w:r>
      <w:r w:rsidR="00896D03" w:rsidRPr="00564C5A">
        <w:rPr>
          <w:rFonts w:ascii="Arial" w:hAnsi="Arial" w:cs="Arial"/>
        </w:rPr>
        <w:t>data protection principles</w:t>
      </w:r>
      <w:r w:rsidR="00B155C5" w:rsidRPr="00564C5A">
        <w:rPr>
          <w:rFonts w:ascii="Arial" w:hAnsi="Arial" w:cs="Arial"/>
        </w:rPr>
        <w:t xml:space="preserve"> if the pharmacy begins </w:t>
      </w:r>
      <w:r w:rsidR="007F3279" w:rsidRPr="00564C5A">
        <w:rPr>
          <w:rFonts w:ascii="Arial" w:hAnsi="Arial" w:cs="Arial"/>
        </w:rPr>
        <w:t xml:space="preserve">with a </w:t>
      </w:r>
      <w:r w:rsidR="00B155C5" w:rsidRPr="00564C5A">
        <w:rPr>
          <w:rFonts w:ascii="Arial" w:hAnsi="Arial" w:cs="Arial"/>
        </w:rPr>
        <w:t>new type of data processing</w:t>
      </w:r>
      <w:r w:rsidR="007B6091" w:rsidRPr="00564C5A">
        <w:rPr>
          <w:rFonts w:ascii="Arial" w:hAnsi="Arial" w:cs="Arial"/>
        </w:rPr>
        <w:t xml:space="preserve">. A Data protection impact assessment may be </w:t>
      </w:r>
      <w:r w:rsidR="00B155C5" w:rsidRPr="00564C5A">
        <w:rPr>
          <w:rFonts w:ascii="Arial" w:hAnsi="Arial" w:cs="Arial"/>
        </w:rPr>
        <w:t xml:space="preserve"> e.g. </w:t>
      </w:r>
      <w:r w:rsidR="00B92C95" w:rsidRPr="00564C5A">
        <w:rPr>
          <w:rFonts w:ascii="Arial" w:hAnsi="Arial" w:cs="Arial"/>
        </w:rPr>
        <w:t>use of a new patient app to support pharmacy and patient interactions. F</w:t>
      </w:r>
      <w:r w:rsidR="007B6091" w:rsidRPr="00564C5A">
        <w:rPr>
          <w:rFonts w:ascii="Arial" w:hAnsi="Arial" w:cs="Arial"/>
        </w:rPr>
        <w:t xml:space="preserve">or some </w:t>
      </w:r>
      <w:r w:rsidR="00B92C95" w:rsidRPr="00564C5A">
        <w:rPr>
          <w:rFonts w:ascii="Arial" w:hAnsi="Arial" w:cs="Arial"/>
        </w:rPr>
        <w:t xml:space="preserve">types of </w:t>
      </w:r>
      <w:r w:rsidR="007B6091" w:rsidRPr="00564C5A">
        <w:rPr>
          <w:rFonts w:ascii="Arial" w:hAnsi="Arial" w:cs="Arial"/>
        </w:rPr>
        <w:t>new data process</w:t>
      </w:r>
      <w:r w:rsidR="00B92C95" w:rsidRPr="00564C5A">
        <w:rPr>
          <w:rFonts w:ascii="Arial" w:hAnsi="Arial" w:cs="Arial"/>
        </w:rPr>
        <w:t xml:space="preserve">ing, a </w:t>
      </w:r>
      <w:r w:rsidR="004728EF" w:rsidRPr="00564C5A">
        <w:rPr>
          <w:rFonts w:ascii="Arial" w:hAnsi="Arial" w:cs="Arial"/>
        </w:rPr>
        <w:t xml:space="preserve">DPIA may be required. Pharmacy templates </w:t>
      </w:r>
      <w:r w:rsidR="00067196" w:rsidRPr="00564C5A">
        <w:rPr>
          <w:rFonts w:ascii="Arial" w:hAnsi="Arial" w:cs="Arial"/>
        </w:rPr>
        <w:t xml:space="preserve">including pharmacy DPIAs are available at: </w:t>
      </w:r>
      <w:hyperlink r:id="rId16" w:history="1">
        <w:r w:rsidR="001A2628" w:rsidRPr="00564C5A">
          <w:rPr>
            <w:rStyle w:val="Hyperlink"/>
            <w:rFonts w:ascii="Arial" w:hAnsi="Arial" w:cs="Arial"/>
          </w:rPr>
          <w:t>cpe.org.uk</w:t>
        </w:r>
        <w:r w:rsidR="00537978" w:rsidRPr="00564C5A">
          <w:rPr>
            <w:rStyle w:val="Hyperlink"/>
            <w:rFonts w:ascii="Arial" w:hAnsi="Arial" w:cs="Arial"/>
          </w:rPr>
          <w:t>/</w:t>
        </w:r>
        <w:proofErr w:type="spellStart"/>
        <w:r w:rsidR="00537978" w:rsidRPr="00564C5A">
          <w:rPr>
            <w:rStyle w:val="Hyperlink"/>
            <w:rFonts w:ascii="Arial" w:hAnsi="Arial" w:cs="Arial"/>
          </w:rPr>
          <w:t>dstemplates</w:t>
        </w:r>
        <w:proofErr w:type="spellEnd"/>
      </w:hyperlink>
      <w:r w:rsidR="00067196" w:rsidRPr="00564C5A">
        <w:rPr>
          <w:rFonts w:ascii="Arial" w:hAnsi="Arial" w:cs="Arial"/>
        </w:rPr>
        <w:t>.</w:t>
      </w:r>
      <w:r w:rsidR="007F3279" w:rsidRPr="00564C5A">
        <w:rPr>
          <w:rFonts w:ascii="Arial" w:hAnsi="Arial" w:cs="Arial"/>
        </w:rPr>
        <w:t xml:space="preserve"> </w:t>
      </w:r>
    </w:p>
    <w:p w14:paraId="5D99A851" w14:textId="399B7117" w:rsidR="000E0D74" w:rsidRPr="00564C5A" w:rsidRDefault="000E0D74" w:rsidP="007F49EA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4821585" w14:textId="1C2EBD3D" w:rsidR="000E0D74" w:rsidRPr="00564C5A" w:rsidRDefault="0063030F" w:rsidP="007F49EA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t>The national data opt-out system for patients</w:t>
      </w:r>
    </w:p>
    <w:p w14:paraId="56C38D2B" w14:textId="77777777" w:rsidR="0063030F" w:rsidRPr="00564C5A" w:rsidRDefault="0063030F" w:rsidP="007F49EA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40BDDD5" w14:textId="1C4EE50E" w:rsidR="000E0D74" w:rsidRPr="00564C5A" w:rsidRDefault="003E00EC" w:rsidP="007F49EA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</w:rPr>
        <w:t xml:space="preserve">The </w:t>
      </w:r>
      <w:hyperlink r:id="rId17" w:history="1">
        <w:r w:rsidR="00F37D6C" w:rsidRPr="00564C5A">
          <w:rPr>
            <w:rStyle w:val="Hyperlink"/>
            <w:rFonts w:ascii="Arial" w:hAnsi="Arial" w:cs="Arial"/>
          </w:rPr>
          <w:t>national data opt-out system for patients</w:t>
        </w:r>
      </w:hyperlink>
      <w:r w:rsidR="00F37D6C" w:rsidRPr="00564C5A">
        <w:rPr>
          <w:rFonts w:ascii="Arial" w:hAnsi="Arial" w:cs="Arial"/>
        </w:rPr>
        <w:t xml:space="preserve"> </w:t>
      </w:r>
      <w:r w:rsidRPr="00564C5A">
        <w:rPr>
          <w:rFonts w:ascii="Arial" w:hAnsi="Arial" w:cs="Arial"/>
        </w:rPr>
        <w:t>allows patients to directly express their opt-out preference about whether health and care organisations can process their personal identifiable information where the only reason (or basis) is Research or planning purposes</w:t>
      </w:r>
      <w:r w:rsidR="00A52CF8" w:rsidRPr="00564C5A">
        <w:rPr>
          <w:rFonts w:ascii="Arial" w:hAnsi="Arial" w:cs="Arial"/>
        </w:rPr>
        <w:t xml:space="preserve">. </w:t>
      </w:r>
      <w:r w:rsidR="00E83344" w:rsidRPr="00564C5A">
        <w:rPr>
          <w:rFonts w:ascii="Arial" w:hAnsi="Arial" w:cs="Arial"/>
        </w:rPr>
        <w:t xml:space="preserve">Patients may find out more at </w:t>
      </w:r>
      <w:hyperlink r:id="rId18" w:history="1">
        <w:r w:rsidR="00A648ED" w:rsidRPr="00564C5A">
          <w:rPr>
            <w:rStyle w:val="Hyperlink"/>
            <w:rFonts w:ascii="Arial" w:hAnsi="Arial" w:cs="Arial"/>
            <w:bCs/>
          </w:rPr>
          <w:t>nhs.uk/</w:t>
        </w:r>
        <w:proofErr w:type="spellStart"/>
        <w:r w:rsidR="00A648ED" w:rsidRPr="00564C5A">
          <w:rPr>
            <w:rStyle w:val="Hyperlink"/>
            <w:rFonts w:ascii="Arial" w:hAnsi="Arial" w:cs="Arial"/>
            <w:bCs/>
          </w:rPr>
          <w:t>yournhsdatamatters</w:t>
        </w:r>
        <w:proofErr w:type="spellEnd"/>
      </w:hyperlink>
      <w:r w:rsidR="00A648ED" w:rsidRPr="00564C5A">
        <w:rPr>
          <w:rFonts w:ascii="Arial" w:hAnsi="Arial" w:cs="Arial"/>
        </w:rPr>
        <w:t>. T</w:t>
      </w:r>
      <w:r w:rsidR="00A52CF8" w:rsidRPr="00564C5A">
        <w:rPr>
          <w:rFonts w:ascii="Arial" w:hAnsi="Arial" w:cs="Arial"/>
        </w:rPr>
        <w:t>he pharmacy will not process data if planning/research is the only reason</w:t>
      </w:r>
      <w:r w:rsidR="00683BD4" w:rsidRPr="00564C5A">
        <w:rPr>
          <w:rFonts w:ascii="Arial" w:hAnsi="Arial" w:cs="Arial"/>
        </w:rPr>
        <w:t xml:space="preserve"> for processing that data</w:t>
      </w:r>
      <w:r w:rsidR="00A52CF8" w:rsidRPr="00564C5A">
        <w:rPr>
          <w:rFonts w:ascii="Arial" w:hAnsi="Arial" w:cs="Arial"/>
        </w:rPr>
        <w:t xml:space="preserve">. The pharmacy therefore aligns with the </w:t>
      </w:r>
      <w:r w:rsidR="00683BD4" w:rsidRPr="00564C5A">
        <w:rPr>
          <w:rFonts w:ascii="Arial" w:hAnsi="Arial" w:cs="Arial"/>
        </w:rPr>
        <w:t>opt-out system.</w:t>
      </w:r>
    </w:p>
    <w:p w14:paraId="7A91DBCD" w14:textId="25622020" w:rsidR="00BB6FDB" w:rsidRPr="00564C5A" w:rsidRDefault="00BB6FDB" w:rsidP="007F49EA">
      <w:pPr>
        <w:spacing w:after="0" w:line="240" w:lineRule="auto"/>
        <w:contextualSpacing/>
        <w:jc w:val="both"/>
        <w:outlineLvl w:val="2"/>
        <w:rPr>
          <w:rFonts w:ascii="Arial" w:eastAsiaTheme="minorEastAsia" w:hAnsi="Arial" w:cs="Arial"/>
        </w:rPr>
      </w:pPr>
    </w:p>
    <w:p w14:paraId="08034DBC" w14:textId="4D27E5FF" w:rsidR="00A01B4C" w:rsidRPr="00564C5A" w:rsidRDefault="00A01B4C" w:rsidP="00A01B4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t>Subject access requests</w:t>
      </w:r>
    </w:p>
    <w:p w14:paraId="01C9D94D" w14:textId="77777777" w:rsidR="00A01B4C" w:rsidRPr="00564C5A" w:rsidRDefault="00A01B4C" w:rsidP="00A01B4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0773834" w14:textId="77CA1817" w:rsidR="007F49EA" w:rsidRPr="00564C5A" w:rsidRDefault="00202119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</w:rPr>
      </w:pPr>
      <w:r w:rsidRPr="00564C5A">
        <w:rPr>
          <w:rFonts w:ascii="Arial" w:hAnsi="Arial" w:cs="Arial"/>
        </w:rPr>
        <w:t xml:space="preserve">You should keep a log of </w:t>
      </w:r>
      <w:r w:rsidR="0061454D" w:rsidRPr="00564C5A">
        <w:rPr>
          <w:rFonts w:ascii="Arial" w:hAnsi="Arial" w:cs="Arial"/>
        </w:rPr>
        <w:t>any patients</w:t>
      </w:r>
      <w:r w:rsidRPr="00564C5A">
        <w:rPr>
          <w:rFonts w:ascii="Arial" w:hAnsi="Arial" w:cs="Arial"/>
        </w:rPr>
        <w:t xml:space="preserve"> exercising their data subject rights, for example, those asking for a copy of their records, so that you can show you are complying with data protection expectations.</w:t>
      </w:r>
      <w:r w:rsidR="00B323D9" w:rsidRPr="00564C5A">
        <w:rPr>
          <w:rFonts w:ascii="Arial" w:hAnsi="Arial" w:cs="Arial"/>
        </w:rPr>
        <w:t xml:space="preserve"> You may need to </w:t>
      </w:r>
      <w:r w:rsidR="002F12A3" w:rsidRPr="00564C5A">
        <w:rPr>
          <w:rFonts w:ascii="Arial" w:hAnsi="Arial" w:cs="Arial"/>
        </w:rPr>
        <w:t>provide patients with record copies if they make a subject access request unless you explain why not</w:t>
      </w:r>
      <w:r w:rsidR="00BC2255" w:rsidRPr="00564C5A">
        <w:rPr>
          <w:rFonts w:ascii="Arial" w:hAnsi="Arial" w:cs="Arial"/>
        </w:rPr>
        <w:t xml:space="preserve">, or unless there is a suitable exemption which applies. In the event that a patient requests rights to </w:t>
      </w:r>
      <w:hyperlink r:id="rId19" w:history="1">
        <w:r w:rsidR="00BC2255" w:rsidRPr="00564C5A">
          <w:rPr>
            <w:rStyle w:val="Hyperlink"/>
            <w:rFonts w:ascii="Arial" w:hAnsi="Arial" w:cs="Arial"/>
          </w:rPr>
          <w:t>Shared Care Record</w:t>
        </w:r>
      </w:hyperlink>
      <w:r w:rsidR="00BC2255" w:rsidRPr="00564C5A">
        <w:rPr>
          <w:rFonts w:ascii="Arial" w:hAnsi="Arial" w:cs="Arial"/>
        </w:rPr>
        <w:t xml:space="preserve">, refer to your LPC about the process agreed locally for dealing with </w:t>
      </w:r>
      <w:r w:rsidR="00620BFD" w:rsidRPr="00564C5A">
        <w:rPr>
          <w:rFonts w:ascii="Arial" w:hAnsi="Arial" w:cs="Arial"/>
        </w:rPr>
        <w:t>subject access requests.</w:t>
      </w:r>
    </w:p>
    <w:p w14:paraId="2A3DB75E" w14:textId="77777777" w:rsidR="00651365" w:rsidRPr="00564C5A" w:rsidRDefault="00651365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</w:rPr>
      </w:pPr>
    </w:p>
    <w:p w14:paraId="372D7BC6" w14:textId="43727EA7" w:rsidR="00651365" w:rsidRPr="00564C5A" w:rsidRDefault="00651365" w:rsidP="007F49EA">
      <w:pPr>
        <w:spacing w:after="0" w:line="240" w:lineRule="auto"/>
        <w:contextualSpacing/>
        <w:jc w:val="both"/>
        <w:outlineLvl w:val="2"/>
        <w:rPr>
          <w:rFonts w:ascii="Arial" w:eastAsia="Times New Roman" w:hAnsi="Arial" w:cs="Arial"/>
          <w:b/>
          <w:color w:val="AA890A"/>
          <w:sz w:val="27"/>
          <w:szCs w:val="27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t xml:space="preserve">Our </w:t>
      </w:r>
      <w:r w:rsidR="00F73D2E" w:rsidRPr="00564C5A">
        <w:rPr>
          <w:rFonts w:ascii="Arial" w:eastAsia="Times New Roman" w:hAnsi="Arial" w:cs="Arial"/>
          <w:b/>
          <w:color w:val="AA890A"/>
          <w:sz w:val="27"/>
          <w:szCs w:val="27"/>
        </w:rPr>
        <w:t>u</w:t>
      </w: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t xml:space="preserve">ses of </w:t>
      </w:r>
      <w:r w:rsidR="00F73D2E" w:rsidRPr="00564C5A">
        <w:rPr>
          <w:rFonts w:ascii="Arial" w:eastAsia="Times New Roman" w:hAnsi="Arial" w:cs="Arial"/>
          <w:b/>
          <w:color w:val="AA890A"/>
          <w:sz w:val="27"/>
          <w:szCs w:val="27"/>
        </w:rPr>
        <w:t>administrative controls</w:t>
      </w:r>
    </w:p>
    <w:p w14:paraId="7BE6F07B" w14:textId="77777777" w:rsidR="00651365" w:rsidRPr="00564C5A" w:rsidRDefault="00651365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</w:p>
    <w:p w14:paraId="10A9D1EC" w14:textId="46947628" w:rsidR="00202119" w:rsidRPr="00564C5A" w:rsidRDefault="00994F39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 w:rsidRPr="00564C5A">
        <w:rPr>
          <w:rFonts w:ascii="Arial" w:hAnsi="Arial" w:cs="Arial"/>
          <w:sz w:val="21"/>
          <w:szCs w:val="21"/>
        </w:rPr>
        <w:t xml:space="preserve">Administrator access is granted only where essential to maintain secure and reliable pharmacy IT systems. These controls protect patient data, support compliance, and ensure continuity of operations. </w:t>
      </w:r>
      <w:r w:rsidR="00DF1285" w:rsidRPr="00564C5A">
        <w:rPr>
          <w:rFonts w:ascii="Arial" w:hAnsi="Arial" w:cs="Arial"/>
          <w:sz w:val="21"/>
          <w:szCs w:val="21"/>
        </w:rPr>
        <w:t xml:space="preserve">Administrators are granted access only where essential to maintain secure and reliable pharmacy IT systems. These controls protect patient data, </w:t>
      </w:r>
      <w:r w:rsidR="00223D09">
        <w:rPr>
          <w:rFonts w:ascii="Arial" w:hAnsi="Arial" w:cs="Arial"/>
          <w:sz w:val="21"/>
          <w:szCs w:val="21"/>
        </w:rPr>
        <w:t xml:space="preserve">user privacy, </w:t>
      </w:r>
      <w:r w:rsidR="00DF1285" w:rsidRPr="00564C5A">
        <w:rPr>
          <w:rFonts w:ascii="Arial" w:hAnsi="Arial" w:cs="Arial"/>
          <w:sz w:val="21"/>
          <w:szCs w:val="21"/>
        </w:rPr>
        <w:t>support compliance, and ensure continuity of operations.</w:t>
      </w:r>
    </w:p>
    <w:p w14:paraId="5F93A7A2" w14:textId="77777777" w:rsidR="00DF1285" w:rsidRPr="00564C5A" w:rsidRDefault="00DF1285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</w:p>
    <w:p w14:paraId="00765693" w14:textId="77777777" w:rsidR="00787067" w:rsidRPr="00564C5A" w:rsidRDefault="00787067" w:rsidP="00787067">
      <w:pPr>
        <w:spacing w:after="0" w:line="240" w:lineRule="auto"/>
        <w:contextualSpacing/>
        <w:jc w:val="both"/>
        <w:outlineLvl w:val="2"/>
        <w:rPr>
          <w:rFonts w:ascii="Arial" w:hAnsi="Arial" w:cs="Arial"/>
          <w:b/>
          <w:bCs/>
          <w:sz w:val="21"/>
          <w:szCs w:val="21"/>
        </w:rPr>
      </w:pPr>
      <w:r w:rsidRPr="00564C5A">
        <w:rPr>
          <w:rFonts w:ascii="Arial" w:hAnsi="Arial" w:cs="Arial"/>
          <w:b/>
          <w:bCs/>
          <w:sz w:val="21"/>
          <w:szCs w:val="21"/>
        </w:rPr>
        <w:t>Permitted Uses</w:t>
      </w:r>
    </w:p>
    <w:p w14:paraId="003CCEE0" w14:textId="0B33820E" w:rsidR="00787067" w:rsidRPr="00564C5A" w:rsidRDefault="00116017" w:rsidP="00787067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System maintenance and updates</w:t>
      </w:r>
      <w:r w:rsidR="00787067" w:rsidRPr="00564C5A">
        <w:rPr>
          <w:rFonts w:ascii="Arial" w:hAnsi="Arial" w:cs="Arial"/>
          <w:sz w:val="21"/>
          <w:szCs w:val="21"/>
        </w:rPr>
        <w:tab/>
      </w:r>
      <w:r w:rsidR="00F73D2E" w:rsidRPr="00564C5A">
        <w:rPr>
          <w:rFonts w:ascii="Arial" w:hAnsi="Arial" w:cs="Arial"/>
          <w:sz w:val="21"/>
          <w:szCs w:val="21"/>
        </w:rPr>
        <w:tab/>
      </w:r>
      <w:r w:rsidR="00F73D2E" w:rsidRPr="00564C5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Managing user accounts (joiners, leavers, role changes)</w:t>
      </w:r>
    </w:p>
    <w:p w14:paraId="2143AAB5" w14:textId="737D453D" w:rsidR="00787067" w:rsidRPr="00564C5A" w:rsidRDefault="00116017" w:rsidP="00787067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Troubleshooting technical issues</w:t>
      </w:r>
      <w:r w:rsidR="00F73D2E" w:rsidRPr="00564C5A">
        <w:rPr>
          <w:rFonts w:ascii="Arial" w:hAnsi="Arial" w:cs="Arial"/>
          <w:sz w:val="21"/>
          <w:szCs w:val="21"/>
        </w:rPr>
        <w:tab/>
      </w:r>
      <w:r w:rsidR="00F73D2E" w:rsidRPr="00564C5A">
        <w:rPr>
          <w:rFonts w:ascii="Arial" w:hAnsi="Arial" w:cs="Arial"/>
          <w:sz w:val="21"/>
          <w:szCs w:val="21"/>
        </w:rPr>
        <w:tab/>
      </w:r>
      <w:r w:rsidR="00F73D2E" w:rsidRPr="00564C5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Backup and recovery tasks</w:t>
      </w:r>
    </w:p>
    <w:p w14:paraId="4EEE5727" w14:textId="216E76AE" w:rsidR="00787067" w:rsidRPr="00564C5A" w:rsidRDefault="00116017" w:rsidP="00787067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Monitoring for security threats</w:t>
      </w:r>
      <w:r w:rsidR="00F73D2E" w:rsidRPr="00564C5A">
        <w:rPr>
          <w:rFonts w:ascii="Arial" w:hAnsi="Arial" w:cs="Arial"/>
          <w:sz w:val="21"/>
          <w:szCs w:val="21"/>
        </w:rPr>
        <w:tab/>
      </w:r>
      <w:r w:rsidR="00F73D2E" w:rsidRPr="00564C5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Compliance checks (e.g., DSPT</w:t>
      </w:r>
      <w:r w:rsidR="00220BEF">
        <w:rPr>
          <w:rFonts w:ascii="Arial" w:hAnsi="Arial" w:cs="Arial"/>
          <w:sz w:val="21"/>
          <w:szCs w:val="21"/>
        </w:rPr>
        <w:t>K</w:t>
      </w:r>
      <w:r w:rsidR="00787067" w:rsidRPr="00564C5A">
        <w:rPr>
          <w:rFonts w:ascii="Arial" w:hAnsi="Arial" w:cs="Arial"/>
          <w:sz w:val="21"/>
          <w:szCs w:val="21"/>
        </w:rPr>
        <w:t>)</w:t>
      </w:r>
    </w:p>
    <w:p w14:paraId="2892401F" w14:textId="77777777" w:rsidR="00787067" w:rsidRPr="00564C5A" w:rsidRDefault="00787067" w:rsidP="00787067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</w:p>
    <w:p w14:paraId="0DB2ADA5" w14:textId="77777777" w:rsidR="00787067" w:rsidRPr="00564C5A" w:rsidRDefault="00787067" w:rsidP="00787067">
      <w:pPr>
        <w:spacing w:after="0" w:line="240" w:lineRule="auto"/>
        <w:contextualSpacing/>
        <w:jc w:val="both"/>
        <w:outlineLvl w:val="2"/>
        <w:rPr>
          <w:rFonts w:ascii="Arial" w:hAnsi="Arial" w:cs="Arial"/>
          <w:b/>
          <w:bCs/>
          <w:sz w:val="21"/>
          <w:szCs w:val="21"/>
        </w:rPr>
      </w:pPr>
      <w:r w:rsidRPr="00564C5A">
        <w:rPr>
          <w:rFonts w:ascii="Arial" w:hAnsi="Arial" w:cs="Arial"/>
          <w:b/>
          <w:bCs/>
          <w:sz w:val="21"/>
          <w:szCs w:val="21"/>
        </w:rPr>
        <w:t>Not Permitted</w:t>
      </w:r>
    </w:p>
    <w:p w14:paraId="79F047DC" w14:textId="5D58F82B" w:rsidR="00787067" w:rsidRPr="00564C5A" w:rsidRDefault="00004674" w:rsidP="00787067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Accessing data out of curiosity or for personal use</w:t>
      </w:r>
      <w:r w:rsidR="00F73D2E" w:rsidRPr="00564C5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Making unauthorised changes</w:t>
      </w:r>
    </w:p>
    <w:p w14:paraId="237A15FF" w14:textId="42B69496" w:rsidR="00DF1285" w:rsidRPr="00564C5A" w:rsidRDefault="00004674" w:rsidP="00787067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Sharing admin credentials</w:t>
      </w:r>
      <w:r w:rsidR="00F73D2E" w:rsidRPr="00564C5A">
        <w:rPr>
          <w:rFonts w:ascii="Arial" w:hAnsi="Arial" w:cs="Arial"/>
          <w:sz w:val="21"/>
          <w:szCs w:val="21"/>
        </w:rPr>
        <w:tab/>
      </w:r>
      <w:r w:rsidR="00F73D2E" w:rsidRPr="00564C5A">
        <w:rPr>
          <w:rFonts w:ascii="Arial" w:hAnsi="Arial" w:cs="Arial"/>
          <w:sz w:val="21"/>
          <w:szCs w:val="21"/>
        </w:rPr>
        <w:tab/>
      </w:r>
      <w:r w:rsidR="00F73D2E" w:rsidRPr="00564C5A">
        <w:rPr>
          <w:rFonts w:ascii="Arial" w:hAnsi="Arial" w:cs="Arial"/>
          <w:sz w:val="21"/>
          <w:szCs w:val="21"/>
        </w:rPr>
        <w:tab/>
      </w:r>
      <w:r w:rsidR="00F73D2E" w:rsidRPr="00564C5A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- </w:t>
      </w:r>
      <w:r w:rsidR="00787067" w:rsidRPr="00564C5A">
        <w:rPr>
          <w:rFonts w:ascii="Arial" w:hAnsi="Arial" w:cs="Arial"/>
          <w:sz w:val="21"/>
          <w:szCs w:val="21"/>
        </w:rPr>
        <w:t>Using privileges outside pharmacy operations</w:t>
      </w:r>
    </w:p>
    <w:p w14:paraId="0F6BA39C" w14:textId="77777777" w:rsidR="00994F39" w:rsidRPr="00564C5A" w:rsidRDefault="00994F39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</w:p>
    <w:p w14:paraId="032AB508" w14:textId="5FB68FB7" w:rsidR="00994F39" w:rsidRPr="00564C5A" w:rsidRDefault="00564C5A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564C5A">
        <w:rPr>
          <w:rFonts w:ascii="Arial" w:hAnsi="Arial" w:cs="Arial"/>
          <w:sz w:val="21"/>
          <w:szCs w:val="21"/>
        </w:rPr>
        <w:t xml:space="preserve">dmin actions </w:t>
      </w:r>
      <w:r>
        <w:rPr>
          <w:rFonts w:ascii="Arial" w:hAnsi="Arial" w:cs="Arial"/>
          <w:sz w:val="21"/>
          <w:szCs w:val="21"/>
        </w:rPr>
        <w:t>are</w:t>
      </w:r>
      <w:r w:rsidRPr="00564C5A">
        <w:rPr>
          <w:rFonts w:ascii="Arial" w:hAnsi="Arial" w:cs="Arial"/>
          <w:sz w:val="21"/>
          <w:szCs w:val="21"/>
        </w:rPr>
        <w:t xml:space="preserve"> logged and reviewed. Admin misuse would lead to appropriate action.</w:t>
      </w:r>
    </w:p>
    <w:p w14:paraId="082CD33C" w14:textId="77777777" w:rsidR="00564C5A" w:rsidRPr="00564C5A" w:rsidRDefault="00564C5A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</w:rPr>
      </w:pPr>
    </w:p>
    <w:p w14:paraId="43E653B3" w14:textId="71A5C0DD" w:rsidR="00BB6FDB" w:rsidRPr="00564C5A" w:rsidRDefault="00AB4607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lastRenderedPageBreak/>
        <w:t>Monitoring this policy</w:t>
      </w:r>
    </w:p>
    <w:p w14:paraId="5698744B" w14:textId="23EBEB4C" w:rsidR="00AB4607" w:rsidRPr="00564C5A" w:rsidRDefault="00AB4607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25C1CBDD" w14:textId="1449B954" w:rsidR="00BB6FDB" w:rsidRPr="00564C5A" w:rsidRDefault="002C017F" w:rsidP="007F49EA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64C5A">
        <w:rPr>
          <w:rFonts w:ascii="Arial" w:hAnsi="Arial" w:cs="Arial"/>
          <w:sz w:val="21"/>
          <w:szCs w:val="21"/>
        </w:rPr>
        <w:t>This policy will be reviewed at least annually.</w:t>
      </w:r>
    </w:p>
    <w:p w14:paraId="754C95A4" w14:textId="38B3EECB" w:rsidR="00BB6FDB" w:rsidRPr="00564C5A" w:rsidRDefault="00BB6FDB" w:rsidP="007F49EA">
      <w:pPr>
        <w:spacing w:after="0" w:line="240" w:lineRule="auto"/>
        <w:contextualSpacing/>
        <w:jc w:val="both"/>
        <w:outlineLvl w:val="2"/>
        <w:rPr>
          <w:rFonts w:ascii="Arial" w:eastAsiaTheme="minorEastAsia" w:hAnsi="Arial" w:cs="Arial"/>
        </w:rPr>
      </w:pPr>
    </w:p>
    <w:p w14:paraId="5A942517" w14:textId="1F65C731" w:rsidR="00BB6FDB" w:rsidRPr="00564C5A" w:rsidRDefault="00821C88" w:rsidP="007F49EA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1"/>
          <w:szCs w:val="21"/>
        </w:rPr>
      </w:pPr>
      <w:r w:rsidRPr="00564C5A">
        <w:rPr>
          <w:rFonts w:ascii="Arial" w:eastAsia="Times New Roman" w:hAnsi="Arial" w:cs="Arial"/>
          <w:b/>
          <w:color w:val="AA890A"/>
          <w:sz w:val="27"/>
          <w:szCs w:val="27"/>
        </w:rPr>
        <w:t>Sanctions</w:t>
      </w:r>
    </w:p>
    <w:p w14:paraId="1CE98BB4" w14:textId="649F7CCA" w:rsidR="00821C88" w:rsidRPr="00564C5A" w:rsidRDefault="00821C88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766AFBFE" w14:textId="46A85477" w:rsidR="00BB6FDB" w:rsidRPr="00564C5A" w:rsidRDefault="00E93BC4" w:rsidP="007F49E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564C5A">
        <w:rPr>
          <w:rFonts w:ascii="Arial" w:hAnsi="Arial" w:cs="Arial"/>
          <w:sz w:val="21"/>
          <w:szCs w:val="21"/>
        </w:rPr>
        <w:t xml:space="preserve">Breach of this policy could lead to disciplinary action. Depending on the circumstances this could range from remedial training to dismissal.  </w:t>
      </w:r>
    </w:p>
    <w:p w14:paraId="5035B2E0" w14:textId="54181B09" w:rsidR="008C46C6" w:rsidRPr="00564C5A" w:rsidRDefault="008C46C6" w:rsidP="007F49EA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C95D13" w:rsidRPr="00564C5A" w14:paraId="527F7DF3" w14:textId="77777777" w:rsidTr="42B80C23">
        <w:tc>
          <w:tcPr>
            <w:tcW w:w="10338" w:type="dxa"/>
          </w:tcPr>
          <w:p w14:paraId="2EDE0DEF" w14:textId="565C72DE" w:rsidR="00C95D13" w:rsidRPr="00564C5A" w:rsidRDefault="00C95D13" w:rsidP="007F49EA">
            <w:pPr>
              <w:contextualSpacing/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</w:pPr>
            <w:r w:rsidRPr="00564C5A">
              <w:rPr>
                <w:rFonts w:ascii="Arial" w:hAnsi="Arial" w:cs="Arial"/>
                <w:noProof/>
                <w:color w:val="4E3487" w:themeColor="accen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0297FFC" wp14:editId="431FA3EA">
                  <wp:simplePos x="0" y="0"/>
                  <wp:positionH relativeFrom="column">
                    <wp:posOffset>5993130</wp:posOffset>
                  </wp:positionH>
                  <wp:positionV relativeFrom="paragraph">
                    <wp:posOffset>77470</wp:posOffset>
                  </wp:positionV>
                  <wp:extent cx="361950" cy="520700"/>
                  <wp:effectExtent l="0" t="0" r="0" b="0"/>
                  <wp:wrapTight wrapText="bothSides">
                    <wp:wrapPolygon edited="0">
                      <wp:start x="0" y="0"/>
                      <wp:lineTo x="0" y="20546"/>
                      <wp:lineTo x="20463" y="20546"/>
                      <wp:lineTo x="2046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  <w:t xml:space="preserve">This data security document assists the pharmacy’s </w:t>
            </w:r>
            <w:r w:rsidR="003223D7"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  <w:t>alignment</w:t>
            </w:r>
            <w:r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  <w:lang w:eastAsia="en-GB"/>
              </w:rPr>
              <w:t xml:space="preserve"> with the Data Security and Protection Toolkit (DSPTK). Related pharmacy policies and more can be found at:</w:t>
            </w:r>
          </w:p>
          <w:p w14:paraId="17C94DB6" w14:textId="0A472375" w:rsidR="00C95D13" w:rsidRPr="00564C5A" w:rsidRDefault="001A2628" w:rsidP="007F49EA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21" w:history="1">
              <w:r w:rsidRPr="00564C5A">
                <w:rPr>
                  <w:rStyle w:val="Hyperlink"/>
                  <w:rFonts w:ascii="Arial" w:hAnsi="Arial" w:cs="Arial"/>
                  <w:i/>
                  <w:iCs/>
                  <w:noProof/>
                  <w:sz w:val="20"/>
                  <w:szCs w:val="20"/>
                </w:rPr>
                <w:t>cpe.org.uk</w:t>
              </w:r>
              <w:r w:rsidR="00C95D13" w:rsidRPr="00564C5A">
                <w:rPr>
                  <w:rStyle w:val="Hyperlink"/>
                  <w:rFonts w:ascii="Arial" w:hAnsi="Arial" w:cs="Arial"/>
                  <w:i/>
                  <w:iCs/>
                  <w:noProof/>
                  <w:sz w:val="20"/>
                  <w:szCs w:val="20"/>
                </w:rPr>
                <w:t>/ds</w:t>
              </w:r>
            </w:hyperlink>
            <w:r w:rsidR="00C95D13"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</w:rPr>
              <w:t xml:space="preserve">; </w:t>
            </w:r>
          </w:p>
          <w:p w14:paraId="20B70853" w14:textId="242E898A" w:rsidR="00C95D13" w:rsidRPr="00564C5A" w:rsidRDefault="001A2628" w:rsidP="007F49EA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22" w:history="1">
              <w:r w:rsidRPr="00564C5A">
                <w:rPr>
                  <w:rStyle w:val="Hyperlink"/>
                  <w:rFonts w:ascii="Arial" w:hAnsi="Arial" w:cs="Arial"/>
                  <w:i/>
                  <w:iCs/>
                  <w:noProof/>
                  <w:sz w:val="20"/>
                  <w:szCs w:val="20"/>
                </w:rPr>
                <w:t>cpe.org.uk</w:t>
              </w:r>
              <w:r w:rsidR="00C95D13" w:rsidRPr="00564C5A">
                <w:rPr>
                  <w:rStyle w:val="Hyperlink"/>
                  <w:rFonts w:ascii="Arial" w:hAnsi="Arial" w:cs="Arial"/>
                  <w:i/>
                  <w:iCs/>
                  <w:noProof/>
                  <w:sz w:val="20"/>
                  <w:szCs w:val="20"/>
                </w:rPr>
                <w:t>/dsptk</w:t>
              </w:r>
            </w:hyperlink>
            <w:r w:rsidR="00C95D13"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</w:rPr>
              <w:t>;</w:t>
            </w:r>
            <w:r w:rsidR="00C95D13" w:rsidRPr="00564C5A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C95D13" w:rsidRPr="00564C5A">
              <w:rPr>
                <w:rFonts w:ascii="Arial" w:hAnsi="Arial" w:cs="Arial"/>
                <w:i/>
                <w:iCs/>
                <w:noProof/>
                <w:color w:val="4E3487" w:themeColor="accent1"/>
                <w:sz w:val="20"/>
                <w:szCs w:val="20"/>
              </w:rPr>
              <w:t xml:space="preserve">and </w:t>
            </w:r>
          </w:p>
          <w:p w14:paraId="28C71D63" w14:textId="6A35A858" w:rsidR="00C95D13" w:rsidRPr="00564C5A" w:rsidRDefault="001A2628" w:rsidP="007F49EA">
            <w:pPr>
              <w:pStyle w:val="ListParagraph"/>
              <w:numPr>
                <w:ilvl w:val="0"/>
                <w:numId w:val="35"/>
              </w:num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23" w:history="1">
              <w:r w:rsidRPr="00564C5A">
                <w:rPr>
                  <w:rStyle w:val="Hyperlink"/>
                  <w:rFonts w:ascii="Arial" w:hAnsi="Arial" w:cs="Arial"/>
                  <w:i/>
                  <w:iCs/>
                  <w:noProof/>
                  <w:sz w:val="20"/>
                  <w:szCs w:val="20"/>
                </w:rPr>
                <w:t>cpe.org.uk</w:t>
              </w:r>
              <w:r w:rsidR="00C95D13" w:rsidRPr="00564C5A">
                <w:rPr>
                  <w:rStyle w:val="Hyperlink"/>
                  <w:rFonts w:ascii="Arial" w:hAnsi="Arial" w:cs="Arial"/>
                  <w:i/>
                  <w:iCs/>
                  <w:noProof/>
                  <w:sz w:val="20"/>
                  <w:szCs w:val="20"/>
                </w:rPr>
                <w:t>/dstemplates</w:t>
              </w:r>
            </w:hyperlink>
            <w:r w:rsidR="00C95D13" w:rsidRPr="00564C5A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.</w:t>
            </w:r>
          </w:p>
          <w:p w14:paraId="79BF3282" w14:textId="0A7F2EC9" w:rsidR="00C95D13" w:rsidRPr="00564C5A" w:rsidRDefault="00C95D13" w:rsidP="007F49EA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4C5A"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  <w:t xml:space="preserve">Pharmacy </w:t>
            </w:r>
            <w:r w:rsidR="00D2636A" w:rsidRPr="00564C5A"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  <w:t xml:space="preserve">owners </w:t>
            </w:r>
            <w:r w:rsidRPr="00564C5A"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  <w:t xml:space="preserve">with queries about the original template or questions about DSPTK may contact </w:t>
            </w:r>
            <w:hyperlink r:id="rId24" w:history="1">
              <w:r w:rsidRPr="00564C5A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it@</w:t>
              </w:r>
              <w:r w:rsidR="001A2628" w:rsidRPr="00564C5A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cpe.org.uk</w:t>
              </w:r>
            </w:hyperlink>
            <w:r w:rsidRPr="00564C5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  <w:p w14:paraId="3701935F" w14:textId="37EAF0E4" w:rsidR="00C95D13" w:rsidRPr="00564C5A" w:rsidRDefault="00C95D13" w:rsidP="007F49EA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4C5A"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  <w:t xml:space="preserve">This document is based on a template updated during: </w:t>
            </w:r>
            <w:r w:rsidR="001247C6" w:rsidRPr="00564C5A">
              <w:rPr>
                <w:rFonts w:ascii="Arial" w:hAnsi="Arial" w:cs="Arial"/>
                <w:i/>
                <w:iCs/>
                <w:color w:val="4E3487" w:themeColor="accent1"/>
                <w:sz w:val="20"/>
                <w:szCs w:val="20"/>
              </w:rPr>
              <w:t>Feb 2025</w:t>
            </w:r>
          </w:p>
        </w:tc>
      </w:tr>
    </w:tbl>
    <w:p w14:paraId="308350DF" w14:textId="338B0535" w:rsidR="00DC680E" w:rsidRPr="00564C5A" w:rsidRDefault="00DC680E" w:rsidP="007F49EA">
      <w:pPr>
        <w:spacing w:after="0" w:line="240" w:lineRule="auto"/>
        <w:contextualSpacing/>
        <w:jc w:val="both"/>
        <w:rPr>
          <w:rFonts w:ascii="Arial" w:hAnsi="Arial" w:cs="Arial"/>
          <w:sz w:val="2"/>
          <w:szCs w:val="2"/>
        </w:rPr>
      </w:pPr>
    </w:p>
    <w:sectPr w:rsidR="00DC680E" w:rsidRPr="00564C5A" w:rsidSect="0006652C">
      <w:headerReference w:type="default" r:id="rId25"/>
      <w:footerReference w:type="default" r:id="rId26"/>
      <w:footerReference w:type="first" r:id="rId27"/>
      <w:pgSz w:w="11906" w:h="16838"/>
      <w:pgMar w:top="1440" w:right="849" w:bottom="851" w:left="709" w:header="708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724F" w14:textId="77777777" w:rsidR="0087470C" w:rsidRDefault="0087470C" w:rsidP="00991CB5">
      <w:pPr>
        <w:spacing w:after="0" w:line="240" w:lineRule="auto"/>
      </w:pPr>
      <w:r>
        <w:separator/>
      </w:r>
    </w:p>
  </w:endnote>
  <w:endnote w:type="continuationSeparator" w:id="0">
    <w:p w14:paraId="76CB4D34" w14:textId="77777777" w:rsidR="0087470C" w:rsidRDefault="0087470C" w:rsidP="00991CB5">
      <w:pPr>
        <w:spacing w:after="0" w:line="240" w:lineRule="auto"/>
      </w:pPr>
      <w:r>
        <w:continuationSeparator/>
      </w:r>
    </w:p>
  </w:endnote>
  <w:endnote w:type="continuationNotice" w:id="1">
    <w:p w14:paraId="54CBE5FC" w14:textId="77777777" w:rsidR="0087470C" w:rsidRDefault="00874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3AE1" w14:textId="77777777" w:rsidR="005E45F0" w:rsidRDefault="005E45F0" w:rsidP="005C5B3B">
    <w:pPr>
      <w:pStyle w:val="Footer"/>
      <w:tabs>
        <w:tab w:val="clear" w:pos="9026"/>
        <w:tab w:val="right" w:pos="9639"/>
      </w:tabs>
      <w:ind w:right="-613"/>
      <w:jc w:val="right"/>
      <w:rPr>
        <w:b/>
        <w:color w:val="808080" w:themeColor="background1" w:themeShade="80"/>
      </w:rPr>
    </w:pPr>
  </w:p>
  <w:tbl>
    <w:tblPr>
      <w:tblStyle w:val="TableGrid"/>
      <w:tblW w:w="1105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6"/>
      <w:gridCol w:w="5551"/>
    </w:tblGrid>
    <w:tr w:rsidR="005E45F0" w14:paraId="708AF7EB" w14:textId="77777777" w:rsidTr="003A1F4D">
      <w:tc>
        <w:tcPr>
          <w:tcW w:w="5506" w:type="dxa"/>
        </w:tcPr>
        <w:p w14:paraId="1802A66D" w14:textId="77777777" w:rsidR="005E45F0" w:rsidRDefault="005E45F0" w:rsidP="005E45F0">
          <w:pPr>
            <w:pStyle w:val="Footer"/>
            <w:tabs>
              <w:tab w:val="clear" w:pos="9026"/>
              <w:tab w:val="right" w:pos="9639"/>
            </w:tabs>
            <w:ind w:right="-613"/>
            <w:rPr>
              <w:b/>
              <w:color w:val="808080" w:themeColor="background1" w:themeShade="80"/>
            </w:rPr>
          </w:pPr>
          <w:r w:rsidRPr="005E45F0">
            <w:rPr>
              <w:b/>
              <w:color w:val="808080" w:themeColor="background1" w:themeShade="80"/>
            </w:rPr>
            <w:t xml:space="preserve">Page </w:t>
          </w:r>
          <w:r w:rsidRPr="005E45F0">
            <w:rPr>
              <w:b/>
              <w:color w:val="808080" w:themeColor="background1" w:themeShade="80"/>
            </w:rPr>
            <w:fldChar w:fldCharType="begin"/>
          </w:r>
          <w:r w:rsidRPr="005E45F0">
            <w:rPr>
              <w:b/>
              <w:color w:val="808080" w:themeColor="background1" w:themeShade="80"/>
            </w:rPr>
            <w:instrText xml:space="preserve"> PAGE  \* Arabic  \* MERGEFORMAT </w:instrText>
          </w:r>
          <w:r w:rsidRPr="005E45F0">
            <w:rPr>
              <w:b/>
              <w:color w:val="808080" w:themeColor="background1" w:themeShade="80"/>
            </w:rPr>
            <w:fldChar w:fldCharType="separate"/>
          </w:r>
          <w:r w:rsidR="008E3D1D">
            <w:rPr>
              <w:b/>
              <w:noProof/>
              <w:color w:val="808080" w:themeColor="background1" w:themeShade="80"/>
            </w:rPr>
            <w:t>2</w:t>
          </w:r>
          <w:r w:rsidRPr="005E45F0">
            <w:rPr>
              <w:b/>
              <w:color w:val="808080" w:themeColor="background1" w:themeShade="80"/>
            </w:rPr>
            <w:fldChar w:fldCharType="end"/>
          </w:r>
          <w:r w:rsidRPr="005E45F0">
            <w:rPr>
              <w:b/>
              <w:color w:val="808080" w:themeColor="background1" w:themeShade="80"/>
            </w:rPr>
            <w:t xml:space="preserve"> of </w:t>
          </w:r>
          <w:r w:rsidRPr="005E45F0">
            <w:rPr>
              <w:b/>
              <w:color w:val="808080" w:themeColor="background1" w:themeShade="80"/>
            </w:rPr>
            <w:fldChar w:fldCharType="begin"/>
          </w:r>
          <w:r w:rsidRPr="005E45F0">
            <w:rPr>
              <w:b/>
              <w:color w:val="808080" w:themeColor="background1" w:themeShade="80"/>
            </w:rPr>
            <w:instrText xml:space="preserve"> NUMPAGES  \* Arabic  \* MERGEFORMAT </w:instrText>
          </w:r>
          <w:r w:rsidRPr="005E45F0">
            <w:rPr>
              <w:b/>
              <w:color w:val="808080" w:themeColor="background1" w:themeShade="80"/>
            </w:rPr>
            <w:fldChar w:fldCharType="separate"/>
          </w:r>
          <w:r w:rsidR="008E3D1D">
            <w:rPr>
              <w:b/>
              <w:noProof/>
              <w:color w:val="808080" w:themeColor="background1" w:themeShade="80"/>
            </w:rPr>
            <w:t>2</w:t>
          </w:r>
          <w:r w:rsidRPr="005E45F0">
            <w:rPr>
              <w:b/>
              <w:color w:val="808080" w:themeColor="background1" w:themeShade="80"/>
            </w:rPr>
            <w:fldChar w:fldCharType="end"/>
          </w:r>
        </w:p>
      </w:tc>
      <w:tc>
        <w:tcPr>
          <w:tcW w:w="5551" w:type="dxa"/>
        </w:tcPr>
        <w:p w14:paraId="38B77186" w14:textId="066B1B31" w:rsidR="005E45F0" w:rsidRDefault="005E45F0" w:rsidP="005E45F0">
          <w:pPr>
            <w:pStyle w:val="Footer"/>
            <w:tabs>
              <w:tab w:val="clear" w:pos="9026"/>
              <w:tab w:val="right" w:pos="9639"/>
            </w:tabs>
            <w:ind w:right="34"/>
            <w:jc w:val="right"/>
            <w:rPr>
              <w:b/>
              <w:color w:val="808080" w:themeColor="background1" w:themeShade="80"/>
            </w:rPr>
          </w:pPr>
        </w:p>
      </w:tc>
    </w:tr>
  </w:tbl>
  <w:p w14:paraId="1E55F533" w14:textId="199DF371" w:rsidR="00991CB5" w:rsidRPr="005E45F0" w:rsidRDefault="00991CB5" w:rsidP="005E45F0">
    <w:pPr>
      <w:pStyle w:val="Footer"/>
      <w:tabs>
        <w:tab w:val="clear" w:pos="9026"/>
        <w:tab w:val="right" w:pos="9639"/>
      </w:tabs>
      <w:ind w:right="-613"/>
      <w:rPr>
        <w:b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1FA6" w14:textId="77777777" w:rsidR="00334084" w:rsidRDefault="00334084" w:rsidP="00334084">
    <w:pPr>
      <w:pStyle w:val="Footer"/>
      <w:tabs>
        <w:tab w:val="clear" w:pos="9026"/>
        <w:tab w:val="right" w:pos="9639"/>
      </w:tabs>
      <w:ind w:right="-613"/>
      <w:jc w:val="right"/>
      <w:rPr>
        <w:b/>
        <w:color w:val="808080" w:themeColor="background1" w:themeShade="80"/>
      </w:rPr>
    </w:pPr>
  </w:p>
  <w:tbl>
    <w:tblPr>
      <w:tblStyle w:val="TableGrid"/>
      <w:tblW w:w="1105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6"/>
      <w:gridCol w:w="5551"/>
    </w:tblGrid>
    <w:tr w:rsidR="00334084" w14:paraId="20A62BB7" w14:textId="77777777" w:rsidTr="003A1F4D">
      <w:tc>
        <w:tcPr>
          <w:tcW w:w="5506" w:type="dxa"/>
        </w:tcPr>
        <w:p w14:paraId="3374CEB0" w14:textId="77777777" w:rsidR="00334084" w:rsidRDefault="00334084" w:rsidP="0096313A">
          <w:pPr>
            <w:pStyle w:val="Footer"/>
            <w:tabs>
              <w:tab w:val="clear" w:pos="9026"/>
              <w:tab w:val="right" w:pos="9639"/>
            </w:tabs>
            <w:ind w:right="-613"/>
            <w:rPr>
              <w:b/>
              <w:color w:val="808080" w:themeColor="background1" w:themeShade="80"/>
            </w:rPr>
          </w:pPr>
          <w:r w:rsidRPr="005E45F0">
            <w:rPr>
              <w:b/>
              <w:color w:val="808080" w:themeColor="background1" w:themeShade="80"/>
            </w:rPr>
            <w:t xml:space="preserve">Page </w:t>
          </w:r>
          <w:r w:rsidRPr="005E45F0">
            <w:rPr>
              <w:b/>
              <w:color w:val="808080" w:themeColor="background1" w:themeShade="80"/>
            </w:rPr>
            <w:fldChar w:fldCharType="begin"/>
          </w:r>
          <w:r w:rsidRPr="005E45F0">
            <w:rPr>
              <w:b/>
              <w:color w:val="808080" w:themeColor="background1" w:themeShade="80"/>
            </w:rPr>
            <w:instrText xml:space="preserve"> PAGE  \* Arabic  \* MERGEFORMAT </w:instrText>
          </w:r>
          <w:r w:rsidRPr="005E45F0">
            <w:rPr>
              <w:b/>
              <w:color w:val="808080" w:themeColor="background1" w:themeShade="80"/>
            </w:rPr>
            <w:fldChar w:fldCharType="separate"/>
          </w:r>
          <w:r w:rsidR="00194CB5">
            <w:rPr>
              <w:b/>
              <w:noProof/>
              <w:color w:val="808080" w:themeColor="background1" w:themeShade="80"/>
            </w:rPr>
            <w:t>1</w:t>
          </w:r>
          <w:r w:rsidRPr="005E45F0">
            <w:rPr>
              <w:b/>
              <w:color w:val="808080" w:themeColor="background1" w:themeShade="80"/>
            </w:rPr>
            <w:fldChar w:fldCharType="end"/>
          </w:r>
          <w:r w:rsidRPr="005E45F0">
            <w:rPr>
              <w:b/>
              <w:color w:val="808080" w:themeColor="background1" w:themeShade="80"/>
            </w:rPr>
            <w:t xml:space="preserve"> of </w:t>
          </w:r>
          <w:r w:rsidRPr="005E45F0">
            <w:rPr>
              <w:b/>
              <w:color w:val="808080" w:themeColor="background1" w:themeShade="80"/>
            </w:rPr>
            <w:fldChar w:fldCharType="begin"/>
          </w:r>
          <w:r w:rsidRPr="005E45F0">
            <w:rPr>
              <w:b/>
              <w:color w:val="808080" w:themeColor="background1" w:themeShade="80"/>
            </w:rPr>
            <w:instrText xml:space="preserve"> NUMPAGES  \* Arabic  \* MERGEFORMAT </w:instrText>
          </w:r>
          <w:r w:rsidRPr="005E45F0">
            <w:rPr>
              <w:b/>
              <w:color w:val="808080" w:themeColor="background1" w:themeShade="80"/>
            </w:rPr>
            <w:fldChar w:fldCharType="separate"/>
          </w:r>
          <w:r w:rsidR="00194CB5">
            <w:rPr>
              <w:b/>
              <w:noProof/>
              <w:color w:val="808080" w:themeColor="background1" w:themeShade="80"/>
            </w:rPr>
            <w:t>1</w:t>
          </w:r>
          <w:r w:rsidRPr="005E45F0">
            <w:rPr>
              <w:b/>
              <w:color w:val="808080" w:themeColor="background1" w:themeShade="80"/>
            </w:rPr>
            <w:fldChar w:fldCharType="end"/>
          </w:r>
        </w:p>
      </w:tc>
      <w:tc>
        <w:tcPr>
          <w:tcW w:w="5551" w:type="dxa"/>
        </w:tcPr>
        <w:p w14:paraId="232A164C" w14:textId="70A0AC1F" w:rsidR="00334084" w:rsidRDefault="00334084" w:rsidP="0096313A">
          <w:pPr>
            <w:pStyle w:val="Footer"/>
            <w:tabs>
              <w:tab w:val="clear" w:pos="9026"/>
              <w:tab w:val="right" w:pos="9639"/>
            </w:tabs>
            <w:ind w:right="34"/>
            <w:jc w:val="right"/>
            <w:rPr>
              <w:b/>
              <w:color w:val="808080" w:themeColor="background1" w:themeShade="80"/>
            </w:rPr>
          </w:pPr>
        </w:p>
      </w:tc>
    </w:tr>
  </w:tbl>
  <w:p w14:paraId="21E7D79C" w14:textId="2C788FC1" w:rsidR="00334084" w:rsidRPr="00922205" w:rsidRDefault="00334084" w:rsidP="00922205">
    <w:pPr>
      <w:pStyle w:val="Footer"/>
      <w:tabs>
        <w:tab w:val="clear" w:pos="9026"/>
        <w:tab w:val="right" w:pos="9639"/>
      </w:tabs>
      <w:ind w:right="-613"/>
      <w:rPr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80B0" w14:textId="77777777" w:rsidR="0087470C" w:rsidRDefault="0087470C" w:rsidP="00991CB5">
      <w:pPr>
        <w:spacing w:after="0" w:line="240" w:lineRule="auto"/>
      </w:pPr>
      <w:r>
        <w:separator/>
      </w:r>
    </w:p>
  </w:footnote>
  <w:footnote w:type="continuationSeparator" w:id="0">
    <w:p w14:paraId="2EC7A74E" w14:textId="77777777" w:rsidR="0087470C" w:rsidRDefault="0087470C" w:rsidP="00991CB5">
      <w:pPr>
        <w:spacing w:after="0" w:line="240" w:lineRule="auto"/>
      </w:pPr>
      <w:r>
        <w:continuationSeparator/>
      </w:r>
    </w:p>
  </w:footnote>
  <w:footnote w:type="continuationNotice" w:id="1">
    <w:p w14:paraId="5005A259" w14:textId="77777777" w:rsidR="0087470C" w:rsidRDefault="008747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523C" w14:textId="14BCE7DD" w:rsidR="0088455A" w:rsidRDefault="42B80C23" w:rsidP="0088455A">
    <w:pPr>
      <w:pStyle w:val="Header"/>
      <w:jc w:val="right"/>
    </w:pPr>
    <w:r>
      <w:rPr>
        <w:noProof/>
      </w:rPr>
      <w:drawing>
        <wp:inline distT="0" distB="0" distL="0" distR="0" wp14:anchorId="2E17D5DD" wp14:editId="2AAE10B8">
          <wp:extent cx="1635978" cy="828675"/>
          <wp:effectExtent l="0" t="0" r="254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978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0CC"/>
    <w:multiLevelType w:val="hybridMultilevel"/>
    <w:tmpl w:val="8CDC6046"/>
    <w:lvl w:ilvl="0" w:tplc="96B87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89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733"/>
    <w:multiLevelType w:val="hybridMultilevel"/>
    <w:tmpl w:val="4BD8E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680A4C"/>
    <w:multiLevelType w:val="hybridMultilevel"/>
    <w:tmpl w:val="7DE40EDA"/>
    <w:lvl w:ilvl="0" w:tplc="0D0AAF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A89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53A2"/>
    <w:multiLevelType w:val="hybridMultilevel"/>
    <w:tmpl w:val="D1380F4C"/>
    <w:lvl w:ilvl="0" w:tplc="DD92AF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A89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CB5"/>
    <w:multiLevelType w:val="multilevel"/>
    <w:tmpl w:val="0E0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96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6CB8"/>
    <w:multiLevelType w:val="hybridMultilevel"/>
    <w:tmpl w:val="3124B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4F2C"/>
    <w:multiLevelType w:val="hybridMultilevel"/>
    <w:tmpl w:val="27A2D4B6"/>
    <w:lvl w:ilvl="0" w:tplc="FA80A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89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B2013"/>
    <w:multiLevelType w:val="hybridMultilevel"/>
    <w:tmpl w:val="BB88F25A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</w:rPr>
    </w:lvl>
    <w:lvl w:ilvl="1" w:tplc="08EA3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A890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A5310"/>
    <w:multiLevelType w:val="multilevel"/>
    <w:tmpl w:val="A94C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3137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46756"/>
    <w:multiLevelType w:val="multilevel"/>
    <w:tmpl w:val="43A4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A890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531DF"/>
    <w:multiLevelType w:val="multilevel"/>
    <w:tmpl w:val="091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5922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253BB"/>
    <w:multiLevelType w:val="multilevel"/>
    <w:tmpl w:val="C64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85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56598"/>
    <w:multiLevelType w:val="hybridMultilevel"/>
    <w:tmpl w:val="9E00F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80E38"/>
    <w:multiLevelType w:val="hybridMultilevel"/>
    <w:tmpl w:val="3A96EDB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</w:rPr>
    </w:lvl>
    <w:lvl w:ilvl="1" w:tplc="E2846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A890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73E65"/>
    <w:multiLevelType w:val="hybridMultilevel"/>
    <w:tmpl w:val="B34CFB98"/>
    <w:lvl w:ilvl="0" w:tplc="67C8E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A890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D1DF4"/>
    <w:multiLevelType w:val="hybridMultilevel"/>
    <w:tmpl w:val="B4A4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804D1"/>
    <w:multiLevelType w:val="hybridMultilevel"/>
    <w:tmpl w:val="EC7E2F9C"/>
    <w:lvl w:ilvl="0" w:tplc="2A7AF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A890A"/>
        <w:sz w:val="20"/>
      </w:rPr>
    </w:lvl>
    <w:lvl w:ilvl="1" w:tplc="9B36E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523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32B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064F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020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507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7242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34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236BD0"/>
    <w:multiLevelType w:val="hybridMultilevel"/>
    <w:tmpl w:val="845AE3FA"/>
    <w:lvl w:ilvl="0" w:tplc="DDF48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89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93019"/>
    <w:multiLevelType w:val="hybridMultilevel"/>
    <w:tmpl w:val="F97214E0"/>
    <w:lvl w:ilvl="0" w:tplc="61AA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9680"/>
        <w:sz w:val="20"/>
      </w:rPr>
    </w:lvl>
    <w:lvl w:ilvl="1" w:tplc="9B6C1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4C93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082B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3AFC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147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2A9D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024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E63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A536C"/>
    <w:multiLevelType w:val="hybridMultilevel"/>
    <w:tmpl w:val="50F68708"/>
    <w:lvl w:ilvl="0" w:tplc="6A5E2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F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FE0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4402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E24A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324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E269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A4F2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2A3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87EDA"/>
    <w:multiLevelType w:val="hybridMultilevel"/>
    <w:tmpl w:val="8CC62322"/>
    <w:lvl w:ilvl="0" w:tplc="183C2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3378A"/>
        <w:sz w:val="20"/>
      </w:rPr>
    </w:lvl>
    <w:lvl w:ilvl="1" w:tplc="BCC8C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F6A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623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083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D88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3890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5EC4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BC4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7700A4"/>
    <w:multiLevelType w:val="hybridMultilevel"/>
    <w:tmpl w:val="A71EB5AA"/>
    <w:lvl w:ilvl="0" w:tplc="81BA5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85C0"/>
        <w:sz w:val="20"/>
      </w:rPr>
    </w:lvl>
    <w:lvl w:ilvl="1" w:tplc="B2BC4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4E1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867A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BAB9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324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1CA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A426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5A2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7C3121"/>
    <w:multiLevelType w:val="hybridMultilevel"/>
    <w:tmpl w:val="FC6C675A"/>
    <w:lvl w:ilvl="0" w:tplc="653A0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185C0"/>
        <w:sz w:val="20"/>
      </w:rPr>
    </w:lvl>
    <w:lvl w:ilvl="1" w:tplc="D61A5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803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8466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621D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22B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12E7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A80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26E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457784"/>
    <w:multiLevelType w:val="hybridMultilevel"/>
    <w:tmpl w:val="99A6F1BA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A89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C34C9"/>
    <w:multiLevelType w:val="hybridMultilevel"/>
    <w:tmpl w:val="02F0F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06F2B"/>
    <w:multiLevelType w:val="hybridMultilevel"/>
    <w:tmpl w:val="2CA4F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047DF"/>
    <w:multiLevelType w:val="hybridMultilevel"/>
    <w:tmpl w:val="131206DE"/>
    <w:lvl w:ilvl="0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A890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543108"/>
    <w:multiLevelType w:val="hybridMultilevel"/>
    <w:tmpl w:val="D1380F4C"/>
    <w:lvl w:ilvl="0" w:tplc="DD92AF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A89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128A6"/>
    <w:multiLevelType w:val="hybridMultilevel"/>
    <w:tmpl w:val="9A788ADC"/>
    <w:lvl w:ilvl="0" w:tplc="EBE09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4D3654"/>
    <w:multiLevelType w:val="hybridMultilevel"/>
    <w:tmpl w:val="DC067D88"/>
    <w:lvl w:ilvl="0" w:tplc="F79A5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3137B"/>
        <w:sz w:val="20"/>
      </w:rPr>
    </w:lvl>
    <w:lvl w:ilvl="1" w:tplc="BCAA5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2E3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A414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407A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0A5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6043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E03E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A6B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20668"/>
    <w:multiLevelType w:val="hybridMultilevel"/>
    <w:tmpl w:val="D65AD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F69B3"/>
    <w:multiLevelType w:val="hybridMultilevel"/>
    <w:tmpl w:val="7848FA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20306"/>
    <w:multiLevelType w:val="hybridMultilevel"/>
    <w:tmpl w:val="4088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A02B9"/>
    <w:multiLevelType w:val="hybridMultilevel"/>
    <w:tmpl w:val="3DA07E1A"/>
    <w:lvl w:ilvl="0" w:tplc="FFFFFFFF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  <w:color w:val="AA890A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D9E6AD9"/>
    <w:multiLevelType w:val="hybridMultilevel"/>
    <w:tmpl w:val="8E2248DE"/>
    <w:lvl w:ilvl="0" w:tplc="E190DC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A89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3423">
    <w:abstractNumId w:val="19"/>
  </w:num>
  <w:num w:numId="2" w16cid:durableId="992680669">
    <w:abstractNumId w:val="18"/>
  </w:num>
  <w:num w:numId="3" w16cid:durableId="557399091">
    <w:abstractNumId w:val="11"/>
  </w:num>
  <w:num w:numId="4" w16cid:durableId="69666761">
    <w:abstractNumId w:val="21"/>
  </w:num>
  <w:num w:numId="5" w16cid:durableId="42486982">
    <w:abstractNumId w:val="9"/>
  </w:num>
  <w:num w:numId="6" w16cid:durableId="1768381046">
    <w:abstractNumId w:val="10"/>
  </w:num>
  <w:num w:numId="7" w16cid:durableId="1144078626">
    <w:abstractNumId w:val="29"/>
  </w:num>
  <w:num w:numId="8" w16cid:durableId="1952975066">
    <w:abstractNumId w:val="8"/>
  </w:num>
  <w:num w:numId="9" w16cid:durableId="2003196090">
    <w:abstractNumId w:val="20"/>
  </w:num>
  <w:num w:numId="10" w16cid:durableId="1648512530">
    <w:abstractNumId w:val="4"/>
  </w:num>
  <w:num w:numId="11" w16cid:durableId="1980844754">
    <w:abstractNumId w:val="22"/>
  </w:num>
  <w:num w:numId="12" w16cid:durableId="1566646236">
    <w:abstractNumId w:val="16"/>
  </w:num>
  <w:num w:numId="13" w16cid:durableId="2077898471">
    <w:abstractNumId w:val="5"/>
  </w:num>
  <w:num w:numId="14" w16cid:durableId="1146971927">
    <w:abstractNumId w:val="25"/>
  </w:num>
  <w:num w:numId="15" w16cid:durableId="504243578">
    <w:abstractNumId w:val="30"/>
  </w:num>
  <w:num w:numId="16" w16cid:durableId="913053811">
    <w:abstractNumId w:val="14"/>
  </w:num>
  <w:num w:numId="17" w16cid:durableId="463542627">
    <w:abstractNumId w:val="34"/>
  </w:num>
  <w:num w:numId="18" w16cid:durableId="310444627">
    <w:abstractNumId w:val="32"/>
  </w:num>
  <w:num w:numId="19" w16cid:durableId="820777166">
    <w:abstractNumId w:val="12"/>
  </w:num>
  <w:num w:numId="20" w16cid:durableId="550307157">
    <w:abstractNumId w:val="31"/>
  </w:num>
  <w:num w:numId="21" w16cid:durableId="1331255407">
    <w:abstractNumId w:val="24"/>
  </w:num>
  <w:num w:numId="22" w16cid:durableId="283929431">
    <w:abstractNumId w:val="15"/>
  </w:num>
  <w:num w:numId="23" w16cid:durableId="353769922">
    <w:abstractNumId w:val="6"/>
  </w:num>
  <w:num w:numId="24" w16cid:durableId="1668248609">
    <w:abstractNumId w:val="1"/>
  </w:num>
  <w:num w:numId="25" w16cid:durableId="951670146">
    <w:abstractNumId w:val="13"/>
  </w:num>
  <w:num w:numId="26" w16cid:durableId="1568763434">
    <w:abstractNumId w:val="27"/>
  </w:num>
  <w:num w:numId="27" w16cid:durableId="1151406731">
    <w:abstractNumId w:val="3"/>
  </w:num>
  <w:num w:numId="28" w16cid:durableId="577176505">
    <w:abstractNumId w:val="28"/>
  </w:num>
  <w:num w:numId="29" w16cid:durableId="224612031">
    <w:abstractNumId w:val="33"/>
  </w:num>
  <w:num w:numId="30" w16cid:durableId="630018302">
    <w:abstractNumId w:val="23"/>
  </w:num>
  <w:num w:numId="31" w16cid:durableId="766273512">
    <w:abstractNumId w:val="0"/>
  </w:num>
  <w:num w:numId="32" w16cid:durableId="994146637">
    <w:abstractNumId w:val="26"/>
  </w:num>
  <w:num w:numId="33" w16cid:durableId="161622493">
    <w:abstractNumId w:val="7"/>
  </w:num>
  <w:num w:numId="34" w16cid:durableId="673411281">
    <w:abstractNumId w:val="17"/>
  </w:num>
  <w:num w:numId="35" w16cid:durableId="835153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AA"/>
    <w:rsid w:val="000020AD"/>
    <w:rsid w:val="00002497"/>
    <w:rsid w:val="00003A5D"/>
    <w:rsid w:val="00004569"/>
    <w:rsid w:val="00004674"/>
    <w:rsid w:val="00005659"/>
    <w:rsid w:val="00010AD0"/>
    <w:rsid w:val="0001253D"/>
    <w:rsid w:val="00012ED9"/>
    <w:rsid w:val="00013B4E"/>
    <w:rsid w:val="0001427F"/>
    <w:rsid w:val="0001574F"/>
    <w:rsid w:val="00021F6F"/>
    <w:rsid w:val="00023A92"/>
    <w:rsid w:val="0002632C"/>
    <w:rsid w:val="0002667D"/>
    <w:rsid w:val="000274E8"/>
    <w:rsid w:val="00036AED"/>
    <w:rsid w:val="00046924"/>
    <w:rsid w:val="0004757D"/>
    <w:rsid w:val="00047BED"/>
    <w:rsid w:val="00051973"/>
    <w:rsid w:val="00052973"/>
    <w:rsid w:val="0005715A"/>
    <w:rsid w:val="00057209"/>
    <w:rsid w:val="00060811"/>
    <w:rsid w:val="00060BD8"/>
    <w:rsid w:val="0006652C"/>
    <w:rsid w:val="00067196"/>
    <w:rsid w:val="00072820"/>
    <w:rsid w:val="000731D5"/>
    <w:rsid w:val="00080F23"/>
    <w:rsid w:val="0008231E"/>
    <w:rsid w:val="00082C4E"/>
    <w:rsid w:val="00096D97"/>
    <w:rsid w:val="000A6FCE"/>
    <w:rsid w:val="000B4062"/>
    <w:rsid w:val="000B44D0"/>
    <w:rsid w:val="000C16BA"/>
    <w:rsid w:val="000C3C65"/>
    <w:rsid w:val="000C3FE4"/>
    <w:rsid w:val="000C564A"/>
    <w:rsid w:val="000C74CD"/>
    <w:rsid w:val="000D41EF"/>
    <w:rsid w:val="000D6158"/>
    <w:rsid w:val="000D6BA4"/>
    <w:rsid w:val="000D7EA1"/>
    <w:rsid w:val="000E0D74"/>
    <w:rsid w:val="000E2D17"/>
    <w:rsid w:val="000E3D6C"/>
    <w:rsid w:val="000E53A1"/>
    <w:rsid w:val="000E7787"/>
    <w:rsid w:val="000F0892"/>
    <w:rsid w:val="000F4227"/>
    <w:rsid w:val="00101511"/>
    <w:rsid w:val="0010660B"/>
    <w:rsid w:val="00113A64"/>
    <w:rsid w:val="00116017"/>
    <w:rsid w:val="00123B00"/>
    <w:rsid w:val="001247C6"/>
    <w:rsid w:val="00124DBA"/>
    <w:rsid w:val="00126503"/>
    <w:rsid w:val="001277A3"/>
    <w:rsid w:val="0013215C"/>
    <w:rsid w:val="0013245A"/>
    <w:rsid w:val="00135F4A"/>
    <w:rsid w:val="00137467"/>
    <w:rsid w:val="00142F37"/>
    <w:rsid w:val="0014379F"/>
    <w:rsid w:val="00146E2D"/>
    <w:rsid w:val="00147476"/>
    <w:rsid w:val="00153D8D"/>
    <w:rsid w:val="00162210"/>
    <w:rsid w:val="00162663"/>
    <w:rsid w:val="00165ADD"/>
    <w:rsid w:val="001707A0"/>
    <w:rsid w:val="00170986"/>
    <w:rsid w:val="00171281"/>
    <w:rsid w:val="001751C2"/>
    <w:rsid w:val="001760AF"/>
    <w:rsid w:val="00176146"/>
    <w:rsid w:val="00176588"/>
    <w:rsid w:val="001778EB"/>
    <w:rsid w:val="00180229"/>
    <w:rsid w:val="00180C2A"/>
    <w:rsid w:val="00182886"/>
    <w:rsid w:val="00185AAA"/>
    <w:rsid w:val="00185AFA"/>
    <w:rsid w:val="00193191"/>
    <w:rsid w:val="001939AA"/>
    <w:rsid w:val="00194CB5"/>
    <w:rsid w:val="00196354"/>
    <w:rsid w:val="001A2628"/>
    <w:rsid w:val="001A7A66"/>
    <w:rsid w:val="001B063C"/>
    <w:rsid w:val="001B3DFC"/>
    <w:rsid w:val="001B7E89"/>
    <w:rsid w:val="001C09F9"/>
    <w:rsid w:val="001C28A1"/>
    <w:rsid w:val="001D5650"/>
    <w:rsid w:val="001D61FE"/>
    <w:rsid w:val="001D6DF2"/>
    <w:rsid w:val="001F03AF"/>
    <w:rsid w:val="001F2011"/>
    <w:rsid w:val="001F2DA6"/>
    <w:rsid w:val="001F4654"/>
    <w:rsid w:val="001F48D9"/>
    <w:rsid w:val="00202119"/>
    <w:rsid w:val="00203857"/>
    <w:rsid w:val="00206564"/>
    <w:rsid w:val="00206800"/>
    <w:rsid w:val="00213586"/>
    <w:rsid w:val="002135EA"/>
    <w:rsid w:val="00214D46"/>
    <w:rsid w:val="00220BEF"/>
    <w:rsid w:val="0022281B"/>
    <w:rsid w:val="00223D09"/>
    <w:rsid w:val="00224825"/>
    <w:rsid w:val="00224A24"/>
    <w:rsid w:val="00226DA8"/>
    <w:rsid w:val="002340EF"/>
    <w:rsid w:val="002508A7"/>
    <w:rsid w:val="00251CFE"/>
    <w:rsid w:val="002529C3"/>
    <w:rsid w:val="00252A98"/>
    <w:rsid w:val="0025407D"/>
    <w:rsid w:val="00254B31"/>
    <w:rsid w:val="00262D62"/>
    <w:rsid w:val="00265936"/>
    <w:rsid w:val="0026664D"/>
    <w:rsid w:val="0026742A"/>
    <w:rsid w:val="002727D1"/>
    <w:rsid w:val="002769A3"/>
    <w:rsid w:val="00276BB4"/>
    <w:rsid w:val="00280656"/>
    <w:rsid w:val="00282154"/>
    <w:rsid w:val="002844AF"/>
    <w:rsid w:val="00285B1D"/>
    <w:rsid w:val="00290097"/>
    <w:rsid w:val="002912ED"/>
    <w:rsid w:val="00291825"/>
    <w:rsid w:val="002973E9"/>
    <w:rsid w:val="002A279B"/>
    <w:rsid w:val="002A2927"/>
    <w:rsid w:val="002A6D65"/>
    <w:rsid w:val="002B16D8"/>
    <w:rsid w:val="002B28D3"/>
    <w:rsid w:val="002B2C9B"/>
    <w:rsid w:val="002B2F83"/>
    <w:rsid w:val="002B65A0"/>
    <w:rsid w:val="002C017F"/>
    <w:rsid w:val="002C3672"/>
    <w:rsid w:val="002C73DE"/>
    <w:rsid w:val="002D3B49"/>
    <w:rsid w:val="002D3F38"/>
    <w:rsid w:val="002D46FD"/>
    <w:rsid w:val="002D64BE"/>
    <w:rsid w:val="002E19E4"/>
    <w:rsid w:val="002E3175"/>
    <w:rsid w:val="002E5544"/>
    <w:rsid w:val="002F12A3"/>
    <w:rsid w:val="002F7A5F"/>
    <w:rsid w:val="00303C94"/>
    <w:rsid w:val="00313E90"/>
    <w:rsid w:val="0031472F"/>
    <w:rsid w:val="0031484C"/>
    <w:rsid w:val="00314850"/>
    <w:rsid w:val="003152A4"/>
    <w:rsid w:val="00317314"/>
    <w:rsid w:val="003223D7"/>
    <w:rsid w:val="00323719"/>
    <w:rsid w:val="0032609C"/>
    <w:rsid w:val="00326694"/>
    <w:rsid w:val="0033070A"/>
    <w:rsid w:val="0033141A"/>
    <w:rsid w:val="00331DD2"/>
    <w:rsid w:val="00334084"/>
    <w:rsid w:val="0034345D"/>
    <w:rsid w:val="00343AA8"/>
    <w:rsid w:val="00352063"/>
    <w:rsid w:val="00353E0C"/>
    <w:rsid w:val="00355597"/>
    <w:rsid w:val="00356D1C"/>
    <w:rsid w:val="003615DB"/>
    <w:rsid w:val="003640DA"/>
    <w:rsid w:val="00366C1A"/>
    <w:rsid w:val="00367662"/>
    <w:rsid w:val="00370C4B"/>
    <w:rsid w:val="00374486"/>
    <w:rsid w:val="00376404"/>
    <w:rsid w:val="003773A4"/>
    <w:rsid w:val="003778A3"/>
    <w:rsid w:val="00380D86"/>
    <w:rsid w:val="00382BE1"/>
    <w:rsid w:val="003838A9"/>
    <w:rsid w:val="00384B31"/>
    <w:rsid w:val="0038625D"/>
    <w:rsid w:val="003869B9"/>
    <w:rsid w:val="00392FBF"/>
    <w:rsid w:val="0039349A"/>
    <w:rsid w:val="0039685F"/>
    <w:rsid w:val="00396DC5"/>
    <w:rsid w:val="003A1F4D"/>
    <w:rsid w:val="003A28C0"/>
    <w:rsid w:val="003A5DB3"/>
    <w:rsid w:val="003A618F"/>
    <w:rsid w:val="003A7139"/>
    <w:rsid w:val="003B2221"/>
    <w:rsid w:val="003B4A7B"/>
    <w:rsid w:val="003B5294"/>
    <w:rsid w:val="003B56F0"/>
    <w:rsid w:val="003B73EA"/>
    <w:rsid w:val="003B75F4"/>
    <w:rsid w:val="003C119B"/>
    <w:rsid w:val="003C2237"/>
    <w:rsid w:val="003C2571"/>
    <w:rsid w:val="003C4985"/>
    <w:rsid w:val="003D2203"/>
    <w:rsid w:val="003D2BFF"/>
    <w:rsid w:val="003D49AA"/>
    <w:rsid w:val="003D5937"/>
    <w:rsid w:val="003D6F00"/>
    <w:rsid w:val="003E00EC"/>
    <w:rsid w:val="003E0653"/>
    <w:rsid w:val="003E3E8D"/>
    <w:rsid w:val="003E6785"/>
    <w:rsid w:val="003F1917"/>
    <w:rsid w:val="003F30A9"/>
    <w:rsid w:val="003F5681"/>
    <w:rsid w:val="00400BBC"/>
    <w:rsid w:val="00400FBA"/>
    <w:rsid w:val="00405909"/>
    <w:rsid w:val="00407436"/>
    <w:rsid w:val="0040765E"/>
    <w:rsid w:val="00410EB2"/>
    <w:rsid w:val="00412954"/>
    <w:rsid w:val="004131FF"/>
    <w:rsid w:val="004158EB"/>
    <w:rsid w:val="004169A6"/>
    <w:rsid w:val="004218A7"/>
    <w:rsid w:val="00424383"/>
    <w:rsid w:val="004276AC"/>
    <w:rsid w:val="00427910"/>
    <w:rsid w:val="00427CDA"/>
    <w:rsid w:val="00431C94"/>
    <w:rsid w:val="0043209E"/>
    <w:rsid w:val="0043623C"/>
    <w:rsid w:val="00437D10"/>
    <w:rsid w:val="00442A5F"/>
    <w:rsid w:val="00460BD6"/>
    <w:rsid w:val="00463224"/>
    <w:rsid w:val="00465E35"/>
    <w:rsid w:val="00466322"/>
    <w:rsid w:val="00466F34"/>
    <w:rsid w:val="004728EF"/>
    <w:rsid w:val="00473379"/>
    <w:rsid w:val="00474F45"/>
    <w:rsid w:val="00476067"/>
    <w:rsid w:val="00484583"/>
    <w:rsid w:val="00484EE8"/>
    <w:rsid w:val="004959DA"/>
    <w:rsid w:val="0049673A"/>
    <w:rsid w:val="004A1A9B"/>
    <w:rsid w:val="004A2135"/>
    <w:rsid w:val="004A2CB1"/>
    <w:rsid w:val="004A341E"/>
    <w:rsid w:val="004A5F23"/>
    <w:rsid w:val="004B3F40"/>
    <w:rsid w:val="004B636F"/>
    <w:rsid w:val="004B72D7"/>
    <w:rsid w:val="004E240F"/>
    <w:rsid w:val="004E6C04"/>
    <w:rsid w:val="004F0FEB"/>
    <w:rsid w:val="004F12CD"/>
    <w:rsid w:val="004F149A"/>
    <w:rsid w:val="004F446F"/>
    <w:rsid w:val="005033F2"/>
    <w:rsid w:val="00503557"/>
    <w:rsid w:val="00504A21"/>
    <w:rsid w:val="005053F1"/>
    <w:rsid w:val="00507D3D"/>
    <w:rsid w:val="00511FF7"/>
    <w:rsid w:val="00513432"/>
    <w:rsid w:val="0051745D"/>
    <w:rsid w:val="005250F3"/>
    <w:rsid w:val="0052643C"/>
    <w:rsid w:val="00530361"/>
    <w:rsid w:val="00532AB3"/>
    <w:rsid w:val="00532C2F"/>
    <w:rsid w:val="0053479B"/>
    <w:rsid w:val="00534CDB"/>
    <w:rsid w:val="00534E98"/>
    <w:rsid w:val="00537978"/>
    <w:rsid w:val="005423EE"/>
    <w:rsid w:val="00545B10"/>
    <w:rsid w:val="005475DC"/>
    <w:rsid w:val="00547E73"/>
    <w:rsid w:val="0055022C"/>
    <w:rsid w:val="005505D2"/>
    <w:rsid w:val="00550C49"/>
    <w:rsid w:val="005513D7"/>
    <w:rsid w:val="00551A94"/>
    <w:rsid w:val="00552242"/>
    <w:rsid w:val="00553D2D"/>
    <w:rsid w:val="00555361"/>
    <w:rsid w:val="0055584D"/>
    <w:rsid w:val="005559BD"/>
    <w:rsid w:val="00556669"/>
    <w:rsid w:val="005607DE"/>
    <w:rsid w:val="005609DD"/>
    <w:rsid w:val="00561183"/>
    <w:rsid w:val="00562D1F"/>
    <w:rsid w:val="00564C5A"/>
    <w:rsid w:val="00570E2D"/>
    <w:rsid w:val="00571B36"/>
    <w:rsid w:val="00576C5F"/>
    <w:rsid w:val="00577C1B"/>
    <w:rsid w:val="005810C4"/>
    <w:rsid w:val="00583B05"/>
    <w:rsid w:val="005848C8"/>
    <w:rsid w:val="00586B9D"/>
    <w:rsid w:val="0058717D"/>
    <w:rsid w:val="00587BFB"/>
    <w:rsid w:val="00590086"/>
    <w:rsid w:val="005929C0"/>
    <w:rsid w:val="00597C1B"/>
    <w:rsid w:val="005A2438"/>
    <w:rsid w:val="005A39BA"/>
    <w:rsid w:val="005B1F35"/>
    <w:rsid w:val="005B2366"/>
    <w:rsid w:val="005B33E3"/>
    <w:rsid w:val="005B3DE4"/>
    <w:rsid w:val="005B4775"/>
    <w:rsid w:val="005B49C9"/>
    <w:rsid w:val="005B51E1"/>
    <w:rsid w:val="005B7241"/>
    <w:rsid w:val="005C04DC"/>
    <w:rsid w:val="005C1FD3"/>
    <w:rsid w:val="005C5B3B"/>
    <w:rsid w:val="005D3E1C"/>
    <w:rsid w:val="005D54A1"/>
    <w:rsid w:val="005D581D"/>
    <w:rsid w:val="005D6312"/>
    <w:rsid w:val="005D7529"/>
    <w:rsid w:val="005E2259"/>
    <w:rsid w:val="005E45F0"/>
    <w:rsid w:val="005E6E35"/>
    <w:rsid w:val="005F13E4"/>
    <w:rsid w:val="005F2C94"/>
    <w:rsid w:val="005F6B56"/>
    <w:rsid w:val="006036FD"/>
    <w:rsid w:val="00603A53"/>
    <w:rsid w:val="00604165"/>
    <w:rsid w:val="00610D56"/>
    <w:rsid w:val="0061454D"/>
    <w:rsid w:val="006166E0"/>
    <w:rsid w:val="00620BFD"/>
    <w:rsid w:val="006219A1"/>
    <w:rsid w:val="00625492"/>
    <w:rsid w:val="0062688D"/>
    <w:rsid w:val="006300D5"/>
    <w:rsid w:val="0063030F"/>
    <w:rsid w:val="006307DA"/>
    <w:rsid w:val="0063130D"/>
    <w:rsid w:val="00633628"/>
    <w:rsid w:val="006360A4"/>
    <w:rsid w:val="00636735"/>
    <w:rsid w:val="00641D13"/>
    <w:rsid w:val="00643881"/>
    <w:rsid w:val="00646658"/>
    <w:rsid w:val="00651365"/>
    <w:rsid w:val="00651DE1"/>
    <w:rsid w:val="006539BF"/>
    <w:rsid w:val="00653BC9"/>
    <w:rsid w:val="00653E73"/>
    <w:rsid w:val="00656400"/>
    <w:rsid w:val="006609E4"/>
    <w:rsid w:val="00662151"/>
    <w:rsid w:val="0066442B"/>
    <w:rsid w:val="00666819"/>
    <w:rsid w:val="0066717B"/>
    <w:rsid w:val="0067276B"/>
    <w:rsid w:val="00674AAB"/>
    <w:rsid w:val="006758B3"/>
    <w:rsid w:val="00680893"/>
    <w:rsid w:val="00681C45"/>
    <w:rsid w:val="006826FD"/>
    <w:rsid w:val="00683BD4"/>
    <w:rsid w:val="00683E56"/>
    <w:rsid w:val="006852B5"/>
    <w:rsid w:val="00687031"/>
    <w:rsid w:val="00690C97"/>
    <w:rsid w:val="00691957"/>
    <w:rsid w:val="006A7A64"/>
    <w:rsid w:val="006B171E"/>
    <w:rsid w:val="006B3465"/>
    <w:rsid w:val="006B58C9"/>
    <w:rsid w:val="006C1CA8"/>
    <w:rsid w:val="006C24C8"/>
    <w:rsid w:val="006C2C64"/>
    <w:rsid w:val="006C743E"/>
    <w:rsid w:val="006D01C5"/>
    <w:rsid w:val="006D1140"/>
    <w:rsid w:val="006D2EAD"/>
    <w:rsid w:val="006D6685"/>
    <w:rsid w:val="006D6F32"/>
    <w:rsid w:val="006D7A19"/>
    <w:rsid w:val="006E2469"/>
    <w:rsid w:val="006F058A"/>
    <w:rsid w:val="007058F2"/>
    <w:rsid w:val="00707371"/>
    <w:rsid w:val="00707816"/>
    <w:rsid w:val="00711732"/>
    <w:rsid w:val="00712F86"/>
    <w:rsid w:val="0071716E"/>
    <w:rsid w:val="007173D4"/>
    <w:rsid w:val="00725B36"/>
    <w:rsid w:val="00733267"/>
    <w:rsid w:val="00733D41"/>
    <w:rsid w:val="007368B6"/>
    <w:rsid w:val="007371CF"/>
    <w:rsid w:val="00737B25"/>
    <w:rsid w:val="007426D6"/>
    <w:rsid w:val="0074328C"/>
    <w:rsid w:val="00743598"/>
    <w:rsid w:val="0074456C"/>
    <w:rsid w:val="00745177"/>
    <w:rsid w:val="00751E98"/>
    <w:rsid w:val="0075289D"/>
    <w:rsid w:val="00752ECC"/>
    <w:rsid w:val="00755B63"/>
    <w:rsid w:val="00760C91"/>
    <w:rsid w:val="00764339"/>
    <w:rsid w:val="00770AAD"/>
    <w:rsid w:val="0077160A"/>
    <w:rsid w:val="00771D6A"/>
    <w:rsid w:val="00775888"/>
    <w:rsid w:val="0078328D"/>
    <w:rsid w:val="00786538"/>
    <w:rsid w:val="00787067"/>
    <w:rsid w:val="007876FC"/>
    <w:rsid w:val="0079265D"/>
    <w:rsid w:val="0079308A"/>
    <w:rsid w:val="00797007"/>
    <w:rsid w:val="007A09E7"/>
    <w:rsid w:val="007A5713"/>
    <w:rsid w:val="007B1090"/>
    <w:rsid w:val="007B2FC1"/>
    <w:rsid w:val="007B6091"/>
    <w:rsid w:val="007B6F8E"/>
    <w:rsid w:val="007B7A7C"/>
    <w:rsid w:val="007C2AAB"/>
    <w:rsid w:val="007C3AD2"/>
    <w:rsid w:val="007C4972"/>
    <w:rsid w:val="007C4E1F"/>
    <w:rsid w:val="007D12B4"/>
    <w:rsid w:val="007D6556"/>
    <w:rsid w:val="007D740E"/>
    <w:rsid w:val="007E18BD"/>
    <w:rsid w:val="007E6B81"/>
    <w:rsid w:val="007F224A"/>
    <w:rsid w:val="007F2D63"/>
    <w:rsid w:val="007F3279"/>
    <w:rsid w:val="007F4515"/>
    <w:rsid w:val="007F49EA"/>
    <w:rsid w:val="007F76E4"/>
    <w:rsid w:val="0080073D"/>
    <w:rsid w:val="00801522"/>
    <w:rsid w:val="00802D16"/>
    <w:rsid w:val="00805DC5"/>
    <w:rsid w:val="00812B0D"/>
    <w:rsid w:val="00813C89"/>
    <w:rsid w:val="00817C43"/>
    <w:rsid w:val="00821C0F"/>
    <w:rsid w:val="00821C88"/>
    <w:rsid w:val="008236B7"/>
    <w:rsid w:val="0082729E"/>
    <w:rsid w:val="00830D05"/>
    <w:rsid w:val="008461D3"/>
    <w:rsid w:val="00847BD6"/>
    <w:rsid w:val="00850E2D"/>
    <w:rsid w:val="00853C79"/>
    <w:rsid w:val="008545B9"/>
    <w:rsid w:val="008563DF"/>
    <w:rsid w:val="00857BD8"/>
    <w:rsid w:val="00857C98"/>
    <w:rsid w:val="00860D6A"/>
    <w:rsid w:val="00865242"/>
    <w:rsid w:val="0087470C"/>
    <w:rsid w:val="00882F60"/>
    <w:rsid w:val="0088455A"/>
    <w:rsid w:val="00884662"/>
    <w:rsid w:val="008918FE"/>
    <w:rsid w:val="00894165"/>
    <w:rsid w:val="00896D03"/>
    <w:rsid w:val="00897D26"/>
    <w:rsid w:val="00897DC2"/>
    <w:rsid w:val="008A07A2"/>
    <w:rsid w:val="008A1049"/>
    <w:rsid w:val="008A1148"/>
    <w:rsid w:val="008A128E"/>
    <w:rsid w:val="008A1BF3"/>
    <w:rsid w:val="008A357E"/>
    <w:rsid w:val="008A398C"/>
    <w:rsid w:val="008A638B"/>
    <w:rsid w:val="008A658D"/>
    <w:rsid w:val="008B11E5"/>
    <w:rsid w:val="008B26F5"/>
    <w:rsid w:val="008B70F0"/>
    <w:rsid w:val="008B79CB"/>
    <w:rsid w:val="008B7AB2"/>
    <w:rsid w:val="008C17CF"/>
    <w:rsid w:val="008C46C6"/>
    <w:rsid w:val="008C4BEB"/>
    <w:rsid w:val="008C7010"/>
    <w:rsid w:val="008D637D"/>
    <w:rsid w:val="008D7939"/>
    <w:rsid w:val="008E3D1D"/>
    <w:rsid w:val="008E4F30"/>
    <w:rsid w:val="008E626B"/>
    <w:rsid w:val="008E704D"/>
    <w:rsid w:val="008E7A51"/>
    <w:rsid w:val="008F301A"/>
    <w:rsid w:val="00900DD0"/>
    <w:rsid w:val="009109B4"/>
    <w:rsid w:val="00910B30"/>
    <w:rsid w:val="00913D7E"/>
    <w:rsid w:val="009206AC"/>
    <w:rsid w:val="00922205"/>
    <w:rsid w:val="00922866"/>
    <w:rsid w:val="0092343E"/>
    <w:rsid w:val="00923E0B"/>
    <w:rsid w:val="00934676"/>
    <w:rsid w:val="00934B90"/>
    <w:rsid w:val="009358AA"/>
    <w:rsid w:val="00935B1B"/>
    <w:rsid w:val="00936A2E"/>
    <w:rsid w:val="0093719B"/>
    <w:rsid w:val="00937636"/>
    <w:rsid w:val="00937BFB"/>
    <w:rsid w:val="0094132C"/>
    <w:rsid w:val="0094259A"/>
    <w:rsid w:val="00943CB6"/>
    <w:rsid w:val="009500A8"/>
    <w:rsid w:val="00953EFB"/>
    <w:rsid w:val="009578CA"/>
    <w:rsid w:val="00962CB2"/>
    <w:rsid w:val="00963076"/>
    <w:rsid w:val="0096313A"/>
    <w:rsid w:val="0096348C"/>
    <w:rsid w:val="00966025"/>
    <w:rsid w:val="00967FC9"/>
    <w:rsid w:val="00971F55"/>
    <w:rsid w:val="009728B6"/>
    <w:rsid w:val="009728BB"/>
    <w:rsid w:val="009751C5"/>
    <w:rsid w:val="009800A7"/>
    <w:rsid w:val="00980D1C"/>
    <w:rsid w:val="00984432"/>
    <w:rsid w:val="00987A17"/>
    <w:rsid w:val="009907AA"/>
    <w:rsid w:val="00991CB5"/>
    <w:rsid w:val="009920C0"/>
    <w:rsid w:val="00994F39"/>
    <w:rsid w:val="00997F19"/>
    <w:rsid w:val="009A2D81"/>
    <w:rsid w:val="009B1F2E"/>
    <w:rsid w:val="009B5F64"/>
    <w:rsid w:val="009B7764"/>
    <w:rsid w:val="009C0004"/>
    <w:rsid w:val="009D0CBC"/>
    <w:rsid w:val="009D2F63"/>
    <w:rsid w:val="009D6C67"/>
    <w:rsid w:val="009D73CB"/>
    <w:rsid w:val="009E26FA"/>
    <w:rsid w:val="009E3EA7"/>
    <w:rsid w:val="009E42A5"/>
    <w:rsid w:val="009F03BB"/>
    <w:rsid w:val="009F1941"/>
    <w:rsid w:val="009F57CB"/>
    <w:rsid w:val="009F5A35"/>
    <w:rsid w:val="009F5B11"/>
    <w:rsid w:val="00A00668"/>
    <w:rsid w:val="00A00D8A"/>
    <w:rsid w:val="00A017AE"/>
    <w:rsid w:val="00A01B4C"/>
    <w:rsid w:val="00A021A4"/>
    <w:rsid w:val="00A11BF0"/>
    <w:rsid w:val="00A13E5C"/>
    <w:rsid w:val="00A15DC0"/>
    <w:rsid w:val="00A241C1"/>
    <w:rsid w:val="00A2612B"/>
    <w:rsid w:val="00A33BDB"/>
    <w:rsid w:val="00A352B7"/>
    <w:rsid w:val="00A36549"/>
    <w:rsid w:val="00A37E98"/>
    <w:rsid w:val="00A45587"/>
    <w:rsid w:val="00A4699D"/>
    <w:rsid w:val="00A46CCB"/>
    <w:rsid w:val="00A5048E"/>
    <w:rsid w:val="00A52CF8"/>
    <w:rsid w:val="00A56676"/>
    <w:rsid w:val="00A648ED"/>
    <w:rsid w:val="00A70FC8"/>
    <w:rsid w:val="00A71F6F"/>
    <w:rsid w:val="00A72B6B"/>
    <w:rsid w:val="00A73228"/>
    <w:rsid w:val="00A808E0"/>
    <w:rsid w:val="00A84A72"/>
    <w:rsid w:val="00A94FB7"/>
    <w:rsid w:val="00AA07FE"/>
    <w:rsid w:val="00AA17BF"/>
    <w:rsid w:val="00AA1A58"/>
    <w:rsid w:val="00AA2DF3"/>
    <w:rsid w:val="00AA3AA0"/>
    <w:rsid w:val="00AA4A8A"/>
    <w:rsid w:val="00AA53DF"/>
    <w:rsid w:val="00AB07BE"/>
    <w:rsid w:val="00AB1239"/>
    <w:rsid w:val="00AB2D4E"/>
    <w:rsid w:val="00AB4607"/>
    <w:rsid w:val="00AC2A41"/>
    <w:rsid w:val="00AC4E2A"/>
    <w:rsid w:val="00AC6E23"/>
    <w:rsid w:val="00AD0C89"/>
    <w:rsid w:val="00AD30D7"/>
    <w:rsid w:val="00AD3D65"/>
    <w:rsid w:val="00AD3F5F"/>
    <w:rsid w:val="00AD677D"/>
    <w:rsid w:val="00AE0558"/>
    <w:rsid w:val="00AE232A"/>
    <w:rsid w:val="00AE2377"/>
    <w:rsid w:val="00AE4F80"/>
    <w:rsid w:val="00AE581D"/>
    <w:rsid w:val="00AE5933"/>
    <w:rsid w:val="00AF0DD1"/>
    <w:rsid w:val="00AF32C0"/>
    <w:rsid w:val="00AF4EAD"/>
    <w:rsid w:val="00AF7CCD"/>
    <w:rsid w:val="00B05612"/>
    <w:rsid w:val="00B06C85"/>
    <w:rsid w:val="00B06FE4"/>
    <w:rsid w:val="00B12505"/>
    <w:rsid w:val="00B14858"/>
    <w:rsid w:val="00B1500A"/>
    <w:rsid w:val="00B155C5"/>
    <w:rsid w:val="00B21661"/>
    <w:rsid w:val="00B21D71"/>
    <w:rsid w:val="00B23D9A"/>
    <w:rsid w:val="00B23E2E"/>
    <w:rsid w:val="00B31AD5"/>
    <w:rsid w:val="00B323D9"/>
    <w:rsid w:val="00B3240F"/>
    <w:rsid w:val="00B35010"/>
    <w:rsid w:val="00B42CD7"/>
    <w:rsid w:val="00B4486F"/>
    <w:rsid w:val="00B5027F"/>
    <w:rsid w:val="00B519CB"/>
    <w:rsid w:val="00B51C89"/>
    <w:rsid w:val="00B62D8F"/>
    <w:rsid w:val="00B633A8"/>
    <w:rsid w:val="00B6738A"/>
    <w:rsid w:val="00B67E82"/>
    <w:rsid w:val="00B70A99"/>
    <w:rsid w:val="00B71D3E"/>
    <w:rsid w:val="00B748DB"/>
    <w:rsid w:val="00B82098"/>
    <w:rsid w:val="00B82A61"/>
    <w:rsid w:val="00B84E57"/>
    <w:rsid w:val="00B91084"/>
    <w:rsid w:val="00B913E7"/>
    <w:rsid w:val="00B92C95"/>
    <w:rsid w:val="00B97377"/>
    <w:rsid w:val="00BA1B96"/>
    <w:rsid w:val="00BB1219"/>
    <w:rsid w:val="00BB18BB"/>
    <w:rsid w:val="00BB47D7"/>
    <w:rsid w:val="00BB6FDB"/>
    <w:rsid w:val="00BC2255"/>
    <w:rsid w:val="00BC397C"/>
    <w:rsid w:val="00BC7880"/>
    <w:rsid w:val="00BD1ABC"/>
    <w:rsid w:val="00BD73A6"/>
    <w:rsid w:val="00BE10F8"/>
    <w:rsid w:val="00BF0DB2"/>
    <w:rsid w:val="00BF14B8"/>
    <w:rsid w:val="00BF2640"/>
    <w:rsid w:val="00BF332F"/>
    <w:rsid w:val="00C00519"/>
    <w:rsid w:val="00C02079"/>
    <w:rsid w:val="00C05FCF"/>
    <w:rsid w:val="00C10C52"/>
    <w:rsid w:val="00C11C33"/>
    <w:rsid w:val="00C124D2"/>
    <w:rsid w:val="00C1261C"/>
    <w:rsid w:val="00C13BDA"/>
    <w:rsid w:val="00C140BB"/>
    <w:rsid w:val="00C15C6D"/>
    <w:rsid w:val="00C16297"/>
    <w:rsid w:val="00C170B2"/>
    <w:rsid w:val="00C33C01"/>
    <w:rsid w:val="00C376DD"/>
    <w:rsid w:val="00C40F0A"/>
    <w:rsid w:val="00C437C7"/>
    <w:rsid w:val="00C4669F"/>
    <w:rsid w:val="00C4709C"/>
    <w:rsid w:val="00C50846"/>
    <w:rsid w:val="00C51578"/>
    <w:rsid w:val="00C52F3C"/>
    <w:rsid w:val="00C5507D"/>
    <w:rsid w:val="00C56B9B"/>
    <w:rsid w:val="00C62C7E"/>
    <w:rsid w:val="00C63998"/>
    <w:rsid w:val="00C65DA8"/>
    <w:rsid w:val="00C664E4"/>
    <w:rsid w:val="00C70AAA"/>
    <w:rsid w:val="00C71955"/>
    <w:rsid w:val="00C726F8"/>
    <w:rsid w:val="00C802CF"/>
    <w:rsid w:val="00C80FF7"/>
    <w:rsid w:val="00C829D0"/>
    <w:rsid w:val="00C850FD"/>
    <w:rsid w:val="00C910AC"/>
    <w:rsid w:val="00C95D13"/>
    <w:rsid w:val="00CA68AF"/>
    <w:rsid w:val="00CB0406"/>
    <w:rsid w:val="00CB138D"/>
    <w:rsid w:val="00CB146C"/>
    <w:rsid w:val="00CB1812"/>
    <w:rsid w:val="00CB1F8A"/>
    <w:rsid w:val="00CB21E3"/>
    <w:rsid w:val="00CC0074"/>
    <w:rsid w:val="00CC4895"/>
    <w:rsid w:val="00CC6127"/>
    <w:rsid w:val="00CC6511"/>
    <w:rsid w:val="00CD0CBC"/>
    <w:rsid w:val="00CD294E"/>
    <w:rsid w:val="00CD2BD1"/>
    <w:rsid w:val="00CD74FB"/>
    <w:rsid w:val="00CE1F1F"/>
    <w:rsid w:val="00CF05B5"/>
    <w:rsid w:val="00CF121B"/>
    <w:rsid w:val="00CF261C"/>
    <w:rsid w:val="00CF54B5"/>
    <w:rsid w:val="00D00460"/>
    <w:rsid w:val="00D0402B"/>
    <w:rsid w:val="00D074D7"/>
    <w:rsid w:val="00D07E94"/>
    <w:rsid w:val="00D104D9"/>
    <w:rsid w:val="00D12E1C"/>
    <w:rsid w:val="00D15449"/>
    <w:rsid w:val="00D15C1A"/>
    <w:rsid w:val="00D1603C"/>
    <w:rsid w:val="00D2636A"/>
    <w:rsid w:val="00D269B9"/>
    <w:rsid w:val="00D3081E"/>
    <w:rsid w:val="00D30925"/>
    <w:rsid w:val="00D30BD4"/>
    <w:rsid w:val="00D3242A"/>
    <w:rsid w:val="00D32C59"/>
    <w:rsid w:val="00D34638"/>
    <w:rsid w:val="00D35096"/>
    <w:rsid w:val="00D36E10"/>
    <w:rsid w:val="00D423F5"/>
    <w:rsid w:val="00D4375A"/>
    <w:rsid w:val="00D4538D"/>
    <w:rsid w:val="00D45A93"/>
    <w:rsid w:val="00D475D0"/>
    <w:rsid w:val="00D51AE1"/>
    <w:rsid w:val="00D526D6"/>
    <w:rsid w:val="00D54362"/>
    <w:rsid w:val="00D55308"/>
    <w:rsid w:val="00D55B59"/>
    <w:rsid w:val="00D55D58"/>
    <w:rsid w:val="00D566E3"/>
    <w:rsid w:val="00D60754"/>
    <w:rsid w:val="00D64C16"/>
    <w:rsid w:val="00D656C2"/>
    <w:rsid w:val="00D65F21"/>
    <w:rsid w:val="00D6688B"/>
    <w:rsid w:val="00D73CB4"/>
    <w:rsid w:val="00D7556C"/>
    <w:rsid w:val="00D7632B"/>
    <w:rsid w:val="00D810DA"/>
    <w:rsid w:val="00D83FAD"/>
    <w:rsid w:val="00D91144"/>
    <w:rsid w:val="00D913BB"/>
    <w:rsid w:val="00D933B7"/>
    <w:rsid w:val="00D93978"/>
    <w:rsid w:val="00D93F4C"/>
    <w:rsid w:val="00D9629D"/>
    <w:rsid w:val="00D97E9C"/>
    <w:rsid w:val="00DA5F3F"/>
    <w:rsid w:val="00DB1BDE"/>
    <w:rsid w:val="00DB3C7B"/>
    <w:rsid w:val="00DB68CD"/>
    <w:rsid w:val="00DB7DFF"/>
    <w:rsid w:val="00DC0AC6"/>
    <w:rsid w:val="00DC2E58"/>
    <w:rsid w:val="00DC4317"/>
    <w:rsid w:val="00DC47E0"/>
    <w:rsid w:val="00DC680E"/>
    <w:rsid w:val="00DD197D"/>
    <w:rsid w:val="00DD2E02"/>
    <w:rsid w:val="00DD3211"/>
    <w:rsid w:val="00DD4B00"/>
    <w:rsid w:val="00DD4F79"/>
    <w:rsid w:val="00DE22F7"/>
    <w:rsid w:val="00DE50C7"/>
    <w:rsid w:val="00DF1285"/>
    <w:rsid w:val="00DF374B"/>
    <w:rsid w:val="00DF3F18"/>
    <w:rsid w:val="00DF7B00"/>
    <w:rsid w:val="00E012F9"/>
    <w:rsid w:val="00E02A4A"/>
    <w:rsid w:val="00E02B54"/>
    <w:rsid w:val="00E02FC2"/>
    <w:rsid w:val="00E06A8F"/>
    <w:rsid w:val="00E0702F"/>
    <w:rsid w:val="00E07D18"/>
    <w:rsid w:val="00E100B8"/>
    <w:rsid w:val="00E1202A"/>
    <w:rsid w:val="00E12D34"/>
    <w:rsid w:val="00E13011"/>
    <w:rsid w:val="00E15458"/>
    <w:rsid w:val="00E15C29"/>
    <w:rsid w:val="00E16D66"/>
    <w:rsid w:val="00E33916"/>
    <w:rsid w:val="00E346FE"/>
    <w:rsid w:val="00E36FD3"/>
    <w:rsid w:val="00E436F9"/>
    <w:rsid w:val="00E446ED"/>
    <w:rsid w:val="00E454D7"/>
    <w:rsid w:val="00E4703A"/>
    <w:rsid w:val="00E53F63"/>
    <w:rsid w:val="00E600D6"/>
    <w:rsid w:val="00E617AF"/>
    <w:rsid w:val="00E62A40"/>
    <w:rsid w:val="00E70B1D"/>
    <w:rsid w:val="00E74374"/>
    <w:rsid w:val="00E75746"/>
    <w:rsid w:val="00E758E0"/>
    <w:rsid w:val="00E75C4A"/>
    <w:rsid w:val="00E81F03"/>
    <w:rsid w:val="00E83344"/>
    <w:rsid w:val="00E837E8"/>
    <w:rsid w:val="00E844F3"/>
    <w:rsid w:val="00E86FBE"/>
    <w:rsid w:val="00E87C13"/>
    <w:rsid w:val="00E91217"/>
    <w:rsid w:val="00E924C9"/>
    <w:rsid w:val="00E93521"/>
    <w:rsid w:val="00E93BC4"/>
    <w:rsid w:val="00E940F2"/>
    <w:rsid w:val="00E94E6D"/>
    <w:rsid w:val="00E969FA"/>
    <w:rsid w:val="00E96F7C"/>
    <w:rsid w:val="00E97177"/>
    <w:rsid w:val="00E97AD6"/>
    <w:rsid w:val="00EA2E1F"/>
    <w:rsid w:val="00EA3333"/>
    <w:rsid w:val="00EA4EEC"/>
    <w:rsid w:val="00EB008E"/>
    <w:rsid w:val="00EB23F7"/>
    <w:rsid w:val="00EB5025"/>
    <w:rsid w:val="00EB7A8C"/>
    <w:rsid w:val="00ED52E7"/>
    <w:rsid w:val="00ED552E"/>
    <w:rsid w:val="00ED6D7D"/>
    <w:rsid w:val="00EE02AA"/>
    <w:rsid w:val="00EE2922"/>
    <w:rsid w:val="00EE5498"/>
    <w:rsid w:val="00EE5B47"/>
    <w:rsid w:val="00EE6FFF"/>
    <w:rsid w:val="00EF12EC"/>
    <w:rsid w:val="00EF1811"/>
    <w:rsid w:val="00EF3204"/>
    <w:rsid w:val="00EF331F"/>
    <w:rsid w:val="00EF43CB"/>
    <w:rsid w:val="00EF492F"/>
    <w:rsid w:val="00EF7703"/>
    <w:rsid w:val="00F0212F"/>
    <w:rsid w:val="00F024CB"/>
    <w:rsid w:val="00F16485"/>
    <w:rsid w:val="00F2275C"/>
    <w:rsid w:val="00F24B64"/>
    <w:rsid w:val="00F302EA"/>
    <w:rsid w:val="00F321D0"/>
    <w:rsid w:val="00F32F40"/>
    <w:rsid w:val="00F350F6"/>
    <w:rsid w:val="00F37455"/>
    <w:rsid w:val="00F37D6C"/>
    <w:rsid w:val="00F40BD5"/>
    <w:rsid w:val="00F43365"/>
    <w:rsid w:val="00F45503"/>
    <w:rsid w:val="00F45ABF"/>
    <w:rsid w:val="00F47D8F"/>
    <w:rsid w:val="00F51CAD"/>
    <w:rsid w:val="00F5329E"/>
    <w:rsid w:val="00F542BA"/>
    <w:rsid w:val="00F54F05"/>
    <w:rsid w:val="00F55279"/>
    <w:rsid w:val="00F55BB2"/>
    <w:rsid w:val="00F569C7"/>
    <w:rsid w:val="00F61EEB"/>
    <w:rsid w:val="00F63FD4"/>
    <w:rsid w:val="00F646A5"/>
    <w:rsid w:val="00F73D2E"/>
    <w:rsid w:val="00F74BBF"/>
    <w:rsid w:val="00F807B6"/>
    <w:rsid w:val="00F81BA0"/>
    <w:rsid w:val="00F82DEC"/>
    <w:rsid w:val="00F84071"/>
    <w:rsid w:val="00F8746F"/>
    <w:rsid w:val="00F9159B"/>
    <w:rsid w:val="00F91A7B"/>
    <w:rsid w:val="00F9399B"/>
    <w:rsid w:val="00F958EA"/>
    <w:rsid w:val="00FA2160"/>
    <w:rsid w:val="00FA2ED2"/>
    <w:rsid w:val="00FA7E52"/>
    <w:rsid w:val="00FB387F"/>
    <w:rsid w:val="00FB4E54"/>
    <w:rsid w:val="00FB637C"/>
    <w:rsid w:val="00FD26D6"/>
    <w:rsid w:val="00FD2DEA"/>
    <w:rsid w:val="00FD459D"/>
    <w:rsid w:val="00FD721E"/>
    <w:rsid w:val="00FD73D7"/>
    <w:rsid w:val="00FE1D33"/>
    <w:rsid w:val="00FE5362"/>
    <w:rsid w:val="00FE6F15"/>
    <w:rsid w:val="00FF0A89"/>
    <w:rsid w:val="00FF6A9B"/>
    <w:rsid w:val="00FF7318"/>
    <w:rsid w:val="00FF7E0D"/>
    <w:rsid w:val="00FF7E38"/>
    <w:rsid w:val="42B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03B5B"/>
  <w15:docId w15:val="{71ABB42A-14BF-409E-8929-DAEB2DA7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4C"/>
  </w:style>
  <w:style w:type="paragraph" w:styleId="Heading3">
    <w:name w:val="heading 3"/>
    <w:basedOn w:val="Normal"/>
    <w:link w:val="Heading3Char"/>
    <w:uiPriority w:val="9"/>
    <w:qFormat/>
    <w:rsid w:val="00A50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B5"/>
  </w:style>
  <w:style w:type="paragraph" w:styleId="Footer">
    <w:name w:val="footer"/>
    <w:basedOn w:val="Normal"/>
    <w:link w:val="FooterChar"/>
    <w:uiPriority w:val="99"/>
    <w:unhideWhenUsed/>
    <w:rsid w:val="0099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B5"/>
  </w:style>
  <w:style w:type="paragraph" w:styleId="BalloonText">
    <w:name w:val="Balloon Text"/>
    <w:basedOn w:val="Normal"/>
    <w:link w:val="BalloonTextChar"/>
    <w:uiPriority w:val="99"/>
    <w:semiHidden/>
    <w:unhideWhenUsed/>
    <w:rsid w:val="0099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B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504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5048E"/>
  </w:style>
  <w:style w:type="character" w:styleId="Hyperlink">
    <w:name w:val="Hyperlink"/>
    <w:basedOn w:val="DefaultParagraphFont"/>
    <w:uiPriority w:val="99"/>
    <w:unhideWhenUsed/>
    <w:rsid w:val="00D97E9C"/>
    <w:rPr>
      <w:b/>
      <w:color w:val="AA890A"/>
      <w:u w:val="single"/>
    </w:rPr>
  </w:style>
  <w:style w:type="table" w:styleId="TableGrid">
    <w:name w:val="Table Grid"/>
    <w:basedOn w:val="TableNormal"/>
    <w:uiPriority w:val="59"/>
    <w:rsid w:val="005E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8AA"/>
    <w:pPr>
      <w:ind w:left="720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C00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E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E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7E8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5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B11"/>
    <w:pPr>
      <w:spacing w:after="120"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B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C7"/>
    <w:pPr>
      <w:spacing w:after="20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C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13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67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pe.org.uk/dsptk" TargetMode="External"/><Relationship Id="rId18" Type="http://schemas.openxmlformats.org/officeDocument/2006/relationships/hyperlink" Target="http://www.nhs.uk/yournhsdatamatter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cpe.org.uk/d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cpe.org.uk/ds" TargetMode="External"/><Relationship Id="rId17" Type="http://schemas.openxmlformats.org/officeDocument/2006/relationships/hyperlink" Target="https://cpe.org.uk/optou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pe.org.uk/dstemplates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t@cpe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pe.org.uk/dstemplates" TargetMode="External"/><Relationship Id="rId23" Type="http://schemas.openxmlformats.org/officeDocument/2006/relationships/hyperlink" Target="https://cpe.org.uk/dstemplate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pe.org.uk/shc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pe.org.uk/dstemplates" TargetMode="External"/><Relationship Id="rId22" Type="http://schemas.openxmlformats.org/officeDocument/2006/relationships/hyperlink" Target="http://cpe.org.uk/dsptk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-Thion\Downloads\Contract%20and%20IT%20briefing.dotx" TargetMode="External"/></Relationships>
</file>

<file path=word/theme/theme1.xml><?xml version="1.0" encoding="utf-8"?>
<a:theme xmlns:a="http://schemas.openxmlformats.org/drawingml/2006/main" name="Office Theme">
  <a:themeElements>
    <a:clrScheme name="PSNC website colour swatch">
      <a:dk1>
        <a:sysClr val="windowText" lastClr="000000"/>
      </a:dk1>
      <a:lt1>
        <a:sysClr val="window" lastClr="FFFFFF"/>
      </a:lt1>
      <a:dk2>
        <a:srgbClr val="D58721"/>
      </a:dk2>
      <a:lt2>
        <a:srgbClr val="5185C0"/>
      </a:lt2>
      <a:accent1>
        <a:srgbClr val="4E3487"/>
      </a:accent1>
      <a:accent2>
        <a:srgbClr val="93378A"/>
      </a:accent2>
      <a:accent3>
        <a:srgbClr val="C3137B"/>
      </a:accent3>
      <a:accent4>
        <a:srgbClr val="F2E634"/>
      </a:accent4>
      <a:accent5>
        <a:srgbClr val="65922E"/>
      </a:accent5>
      <a:accent6>
        <a:srgbClr val="51968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0B46F331547BD9C710B92DB17D6" ma:contentTypeVersion="" ma:contentTypeDescription="Create a new document." ma:contentTypeScope="" ma:versionID="4c6450da0143c75ff703c31e17623899">
  <xsd:schema xmlns:xsd="http://www.w3.org/2001/XMLSchema" xmlns:xs="http://www.w3.org/2001/XMLSchema" xmlns:p="http://schemas.microsoft.com/office/2006/metadata/properties" xmlns:ns2="1c7d3551-5694-4f12-b35a-d9a7a462ea4b" xmlns:ns3="80bf1ca3-5488-4033-8636-208e15562238" xmlns:ns4="5bcc5b67-876a-46c4-84cc-1ae1b89d6c77" targetNamespace="http://schemas.microsoft.com/office/2006/metadata/properties" ma:root="true" ma:fieldsID="8c004835204e64400cdb1b8b5e46bfbd" ns2:_="" ns3:_="" ns4:_="">
    <xsd:import namespace="1c7d3551-5694-4f12-b35a-d9a7a462ea4b"/>
    <xsd:import namespace="80bf1ca3-5488-4033-8636-208e15562238"/>
    <xsd:import namespace="5bcc5b67-876a-46c4-84cc-1ae1b89d6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1ca3-5488-4033-8636-208e1556223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5b67-876a-46c4-84cc-1ae1b89d6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9051F-99C7-4B79-B7CA-7B3F85814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36D32-B26D-47B9-B80D-94770F8ED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DF672D-8E9B-4E54-BB5F-A63EEFA7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80bf1ca3-5488-4033-8636-208e15562238"/>
    <ds:schemaRef ds:uri="5bcc5b67-876a-46c4-84cc-1ae1b89d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7D824-9007-4C6E-9A7C-2D6F2892760B}">
  <ds:schemaRefs>
    <ds:schemaRef ds:uri="http://schemas.microsoft.com/office/2006/documentManagement/types"/>
    <ds:schemaRef ds:uri="http://purl.org/dc/dcmitype/"/>
    <ds:schemaRef ds:uri="http://purl.org/dc/terms/"/>
    <ds:schemaRef ds:uri="5bcc5b67-876a-46c4-84cc-1ae1b89d6c77"/>
    <ds:schemaRef ds:uri="1c7d3551-5694-4f12-b35a-d9a7a462ea4b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0bf1ca3-5488-4033-8636-208e1556223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 and IT briefing</Template>
  <TotalTime>0</TotalTime>
  <Pages>3</Pages>
  <Words>1004</Words>
  <Characters>5888</Characters>
  <Application>Microsoft Office Word</Application>
  <DocSecurity>0</DocSecurity>
  <Lines>150</Lines>
  <Paragraphs>66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Ah-Thion</dc:creator>
  <cp:keywords/>
  <cp:lastModifiedBy>Caline Umutesi</cp:lastModifiedBy>
  <cp:revision>2</cp:revision>
  <cp:lastPrinted>2020-06-10T04:54:00Z</cp:lastPrinted>
  <dcterms:created xsi:type="dcterms:W3CDTF">2026-01-21T14:45:00Z</dcterms:created>
  <dcterms:modified xsi:type="dcterms:W3CDTF">2026-01-21T14:45:00Z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0x010100F0A750B46F331547BD9C710B92DB17D6</vt:lpwstr>
  </property>
  <property fmtid="{D5CDD505-2E9C-101B-9397-08002B2CF9AE}" pid="3" name="GrammarlyDocumentId">
    <vt:lpwstr>f6e5b657-89da-4d72-8142-a28408f340a2</vt:lpwstr>
  </property>
</Properties>
</file>