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C544" w14:textId="4D1C79EE" w:rsidR="008B7C20" w:rsidRPr="00360154" w:rsidRDefault="00C0500F" w:rsidP="008B7C20">
      <w:pPr>
        <w:pStyle w:val="BodyText"/>
        <w:rPr>
          <w:color w:val="auto"/>
        </w:rPr>
      </w:pPr>
      <w:r>
        <w:rPr>
          <w:color w:val="auto"/>
        </w:rPr>
        <w:tab/>
      </w:r>
      <w:r>
        <w:rPr>
          <w:color w:val="auto"/>
        </w:rPr>
        <w:tab/>
      </w:r>
      <w:r w:rsidR="008B7C20" w:rsidRPr="00360154">
        <w:rPr>
          <w:color w:val="auto"/>
        </w:rPr>
        <w:tab/>
      </w:r>
      <w:r w:rsidR="008B7C20" w:rsidRPr="00360154">
        <w:rPr>
          <w:color w:val="auto"/>
        </w:rPr>
        <w:tab/>
      </w:r>
      <w:r w:rsidR="008B7C20" w:rsidRPr="00360154">
        <w:rPr>
          <w:color w:val="auto"/>
        </w:rPr>
        <w:tab/>
      </w:r>
      <w:r w:rsidR="008B7C20" w:rsidRPr="00360154">
        <w:rPr>
          <w:color w:val="auto"/>
        </w:rPr>
        <w:tab/>
      </w:r>
      <w:r w:rsidR="003218F3">
        <w:rPr>
          <w:color w:val="auto"/>
        </w:rPr>
        <w:tab/>
      </w:r>
      <w:r w:rsidR="008B7C20" w:rsidRPr="00360154">
        <w:rPr>
          <w:color w:val="auto"/>
        </w:rPr>
        <w:tab/>
      </w:r>
      <w:r w:rsidR="008B7C20" w:rsidRPr="00360154">
        <w:rPr>
          <w:color w:val="auto"/>
        </w:rPr>
        <w:tab/>
      </w:r>
      <w:r w:rsidR="008B7C20" w:rsidRPr="00360154">
        <w:rPr>
          <w:color w:val="auto"/>
        </w:rPr>
        <w:tab/>
      </w:r>
      <w:r w:rsidR="00815C17">
        <w:rPr>
          <w:color w:val="auto"/>
        </w:rPr>
        <w:tab/>
      </w:r>
      <w:r w:rsidR="00AA65F6">
        <w:rPr>
          <w:color w:val="auto"/>
        </w:rPr>
        <w:t xml:space="preserve">November </w:t>
      </w:r>
      <w:r w:rsidR="008B7C20" w:rsidRPr="00360154">
        <w:rPr>
          <w:color w:val="auto"/>
        </w:rPr>
        <w:t xml:space="preserve"> 2025</w:t>
      </w:r>
    </w:p>
    <w:p w14:paraId="5E0E4A74" w14:textId="77777777" w:rsidR="00AA65F6" w:rsidRDefault="00AA65F6" w:rsidP="00AA65F6">
      <w:pPr>
        <w:pStyle w:val="BodyText"/>
        <w:spacing w:line="240" w:lineRule="auto"/>
        <w:rPr>
          <w:rFonts w:ascii="Mokoko Medium" w:eastAsia="Calibri" w:hAnsi="Mokoko Medium" w:cs="Mokoko Medium"/>
          <w:sz w:val="46"/>
          <w:szCs w:val="46"/>
        </w:rPr>
      </w:pPr>
      <w:r w:rsidRPr="00AA65F6">
        <w:rPr>
          <w:rFonts w:ascii="Mokoko Medium" w:eastAsia="Calibri" w:hAnsi="Mokoko Medium" w:cs="Mokoko Medium"/>
          <w:sz w:val="46"/>
          <w:szCs w:val="46"/>
        </w:rPr>
        <w:t>Community Pharmacy: A vital partner in Neighbourhood Health - Supporting Integrated Neighbourhood Teams to deliver local health priorities</w:t>
      </w:r>
    </w:p>
    <w:p w14:paraId="317F06A2" w14:textId="77777777" w:rsidR="00A0399C" w:rsidRDefault="00A0399C" w:rsidP="00A0399C">
      <w:pPr>
        <w:pStyle w:val="CPE-Heading2"/>
        <w:spacing w:before="0"/>
      </w:pPr>
    </w:p>
    <w:p w14:paraId="39CBA8F6" w14:textId="64371DCC" w:rsidR="00A0399C" w:rsidRPr="00A0399C" w:rsidRDefault="00A0399C" w:rsidP="00286B9E">
      <w:pPr>
        <w:pStyle w:val="CPE-Heading2"/>
        <w:spacing w:before="0"/>
      </w:pPr>
      <w:r w:rsidRPr="00A0399C">
        <w:t>Introduction: A readily available health resource in every community</w:t>
      </w:r>
    </w:p>
    <w:p w14:paraId="551DB731" w14:textId="77777777" w:rsidR="00A0399C" w:rsidRDefault="00A0399C" w:rsidP="00286B9E">
      <w:pPr>
        <w:pStyle w:val="BodyText"/>
        <w:spacing w:after="0"/>
        <w:rPr>
          <w:color w:val="auto"/>
        </w:rPr>
      </w:pPr>
      <w:r w:rsidRPr="00A0399C">
        <w:rPr>
          <w:color w:val="auto"/>
        </w:rPr>
        <w:t xml:space="preserve">Community pharmacies are an underutilised but essential partner in tackling local health challenges. Embedded in every neighbourhood, they offer walk-in access to clinical and preventative care services and are staffed by pharmacists, and pharmacy technicians (both regulated healthcare professionals) and other trained support team members. </w:t>
      </w:r>
    </w:p>
    <w:p w14:paraId="1690E4DE" w14:textId="77777777" w:rsidR="00A0399C" w:rsidRPr="00A0399C" w:rsidRDefault="00A0399C" w:rsidP="00286B9E">
      <w:pPr>
        <w:pStyle w:val="BodyText"/>
        <w:spacing w:after="0"/>
        <w:rPr>
          <w:color w:val="auto"/>
        </w:rPr>
      </w:pPr>
    </w:p>
    <w:p w14:paraId="650AC347" w14:textId="7009AAC4" w:rsidR="00A4421C" w:rsidRDefault="00A0399C" w:rsidP="00286B9E">
      <w:pPr>
        <w:pStyle w:val="BodyText"/>
        <w:spacing w:after="0"/>
        <w:rPr>
          <w:color w:val="auto"/>
        </w:rPr>
      </w:pPr>
      <w:r w:rsidRPr="00A0399C">
        <w:rPr>
          <w:color w:val="auto"/>
        </w:rPr>
        <w:t xml:space="preserve">This document will help </w:t>
      </w:r>
      <w:r w:rsidRPr="000E5951">
        <w:rPr>
          <w:b/>
          <w:bCs/>
          <w:color w:val="auto"/>
        </w:rPr>
        <w:t>local NHS systems</w:t>
      </w:r>
      <w:r w:rsidRPr="00A0399C">
        <w:rPr>
          <w:color w:val="auto"/>
        </w:rPr>
        <w:t xml:space="preserve"> including </w:t>
      </w:r>
      <w:r w:rsidRPr="000E5951">
        <w:rPr>
          <w:b/>
          <w:bCs/>
          <w:color w:val="auto"/>
        </w:rPr>
        <w:t>ICBs</w:t>
      </w:r>
      <w:r w:rsidRPr="00A0399C">
        <w:rPr>
          <w:color w:val="auto"/>
        </w:rPr>
        <w:t xml:space="preserve">, </w:t>
      </w:r>
      <w:r w:rsidRPr="000E5951">
        <w:rPr>
          <w:b/>
          <w:bCs/>
          <w:color w:val="auto"/>
        </w:rPr>
        <w:t>Place partnerships</w:t>
      </w:r>
      <w:r w:rsidRPr="00A0399C">
        <w:rPr>
          <w:color w:val="auto"/>
        </w:rPr>
        <w:t xml:space="preserve">, and </w:t>
      </w:r>
      <w:r w:rsidRPr="000E5951">
        <w:rPr>
          <w:b/>
          <w:bCs/>
          <w:color w:val="auto"/>
        </w:rPr>
        <w:t>Neighbourhood Teams</w:t>
      </w:r>
      <w:r w:rsidRPr="00A0399C">
        <w:rPr>
          <w:color w:val="auto"/>
        </w:rPr>
        <w:t xml:space="preserve"> understand the full potential of community pharmacy as a </w:t>
      </w:r>
      <w:r w:rsidRPr="000E5951">
        <w:rPr>
          <w:b/>
          <w:bCs/>
          <w:color w:val="auto"/>
        </w:rPr>
        <w:t>proactive partner in integrated care</w:t>
      </w:r>
      <w:r w:rsidRPr="00A0399C">
        <w:rPr>
          <w:color w:val="auto"/>
        </w:rPr>
        <w:t xml:space="preserve">, especially in relation to </w:t>
      </w:r>
      <w:r w:rsidRPr="000E5951">
        <w:rPr>
          <w:b/>
          <w:bCs/>
          <w:color w:val="auto"/>
        </w:rPr>
        <w:t>prevention, early intervention, medicines optimisation,</w:t>
      </w:r>
      <w:r w:rsidRPr="00A0399C">
        <w:rPr>
          <w:color w:val="auto"/>
        </w:rPr>
        <w:t xml:space="preserve"> and reducing </w:t>
      </w:r>
      <w:r w:rsidRPr="000E5951">
        <w:rPr>
          <w:b/>
          <w:bCs/>
          <w:color w:val="auto"/>
        </w:rPr>
        <w:t>health inequalities</w:t>
      </w:r>
      <w:r w:rsidRPr="00A0399C">
        <w:rPr>
          <w:color w:val="auto"/>
        </w:rPr>
        <w:t>.  It provides an overview of the services that community pharmacies currently provide within the NHS Community Pharmacy Contractual Framework (CPCF) and those services that are commissioned locally to support local population health needs.</w:t>
      </w:r>
    </w:p>
    <w:p w14:paraId="7C6392D6" w14:textId="77777777" w:rsidR="00F36075" w:rsidRDefault="00F36075" w:rsidP="00286B9E">
      <w:pPr>
        <w:pStyle w:val="BodyText"/>
        <w:spacing w:after="0"/>
        <w:rPr>
          <w:color w:val="auto"/>
        </w:rPr>
      </w:pPr>
    </w:p>
    <w:p w14:paraId="1B62006E" w14:textId="77777777" w:rsidR="00EF00C8" w:rsidRPr="00EF00C8" w:rsidRDefault="00EF00C8" w:rsidP="00286B9E">
      <w:pPr>
        <w:pStyle w:val="CPE-Heading2"/>
        <w:spacing w:before="0"/>
      </w:pPr>
      <w:r w:rsidRPr="00EF00C8">
        <w:t>Community pharmacy – supporting the ambitions of the 10 Year Health Plan</w:t>
      </w:r>
    </w:p>
    <w:p w14:paraId="19B73D87" w14:textId="77777777" w:rsidR="00EF00C8" w:rsidRDefault="00EF00C8" w:rsidP="00286B9E">
      <w:pPr>
        <w:pStyle w:val="BodyText"/>
        <w:spacing w:after="0"/>
        <w:rPr>
          <w:color w:val="auto"/>
        </w:rPr>
      </w:pPr>
      <w:r w:rsidRPr="00EF00C8">
        <w:rPr>
          <w:color w:val="auto"/>
        </w:rPr>
        <w:t>Community pharmacies already bring care closer to home and are critical to delivering the 'left shift' ambitions outlined in the 10 Year Health Plan by supporting treatment to prevention and hospital to community; reducing reliance on hospital and GP services and improving care in the community.</w:t>
      </w:r>
    </w:p>
    <w:p w14:paraId="63F527BD" w14:textId="77777777" w:rsidR="00EF00C8" w:rsidRPr="00EF00C8" w:rsidRDefault="00EF00C8" w:rsidP="00286B9E">
      <w:pPr>
        <w:pStyle w:val="BodyText"/>
        <w:spacing w:after="0"/>
        <w:rPr>
          <w:color w:val="auto"/>
        </w:rPr>
      </w:pPr>
    </w:p>
    <w:p w14:paraId="450B304D" w14:textId="69CF7C11" w:rsidR="00F36075" w:rsidRDefault="00EF00C8" w:rsidP="00286B9E">
      <w:pPr>
        <w:pStyle w:val="BodyText"/>
        <w:spacing w:after="0"/>
        <w:rPr>
          <w:color w:val="auto"/>
        </w:rPr>
      </w:pPr>
      <w:r w:rsidRPr="00EF00C8">
        <w:rPr>
          <w:color w:val="auto"/>
        </w:rPr>
        <w:t xml:space="preserve">The plan acknowledges the services already provided by community pharmacies such as vaccination, prevention and screening services and seeks to build on these, identifying key roles in long-term condition management, prevention and public health and clinical service expansion.  </w:t>
      </w:r>
      <w:r w:rsidRPr="00EF00C8">
        <w:rPr>
          <w:color w:val="auto"/>
        </w:rPr>
        <w:lastRenderedPageBreak/>
        <w:t>The plan highlights key enablers including workforce empowerment and digital integration to support these ambitions</w:t>
      </w:r>
      <w:r w:rsidR="00BE26EF">
        <w:rPr>
          <w:color w:val="auto"/>
        </w:rPr>
        <w:t>.</w:t>
      </w:r>
    </w:p>
    <w:p w14:paraId="5CD3D4E7" w14:textId="77777777" w:rsidR="00EF00C8" w:rsidRDefault="00EF00C8" w:rsidP="00EF00C8">
      <w:pPr>
        <w:pStyle w:val="BodyText"/>
        <w:spacing w:after="0" w:line="288" w:lineRule="auto"/>
        <w:rPr>
          <w:color w:val="auto"/>
        </w:rPr>
      </w:pPr>
    </w:p>
    <w:p w14:paraId="30ACC410" w14:textId="764DAA96" w:rsidR="006F3723" w:rsidRDefault="00E32B65" w:rsidP="00E32B65">
      <w:pPr>
        <w:pStyle w:val="CPE-Heading2"/>
        <w:spacing w:before="0"/>
      </w:pPr>
      <w:r w:rsidRPr="00E32B65">
        <w:t>The value of community pharmacy in meeting local health needs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4"/>
        <w:gridCol w:w="5030"/>
      </w:tblGrid>
      <w:tr w:rsidR="00F32309" w:rsidRPr="00F32309" w14:paraId="32B1C2EA" w14:textId="77777777" w:rsidTr="000A3BBC">
        <w:trPr>
          <w:tblHeader/>
          <w:tblCellSpacing w:w="15" w:type="dxa"/>
          <w:jc w:val="center"/>
        </w:trPr>
        <w:tc>
          <w:tcPr>
            <w:tcW w:w="0" w:type="auto"/>
            <w:vAlign w:val="center"/>
            <w:hideMark/>
          </w:tcPr>
          <w:p w14:paraId="34002794" w14:textId="77777777" w:rsidR="00F32309" w:rsidRPr="00F32309" w:rsidRDefault="00F32309" w:rsidP="000A3BBC">
            <w:pPr>
              <w:ind w:left="82"/>
              <w:rPr>
                <w:rFonts w:cs="Arial"/>
                <w:b/>
                <w:bCs/>
                <w:color w:val="auto"/>
              </w:rPr>
            </w:pPr>
            <w:r w:rsidRPr="00F32309">
              <w:rPr>
                <w:rFonts w:cs="Arial"/>
                <w:b/>
                <w:bCs/>
                <w:color w:val="auto"/>
              </w:rPr>
              <w:t>Pharmacy strength</w:t>
            </w:r>
          </w:p>
        </w:tc>
        <w:tc>
          <w:tcPr>
            <w:tcW w:w="0" w:type="auto"/>
            <w:vAlign w:val="center"/>
            <w:hideMark/>
          </w:tcPr>
          <w:p w14:paraId="04FB2B1E" w14:textId="77777777" w:rsidR="00F32309" w:rsidRPr="00F32309" w:rsidRDefault="00F32309" w:rsidP="000A3BBC">
            <w:pPr>
              <w:ind w:left="82"/>
              <w:rPr>
                <w:rFonts w:cs="Arial"/>
                <w:b/>
                <w:bCs/>
                <w:color w:val="auto"/>
              </w:rPr>
            </w:pPr>
            <w:r w:rsidRPr="00F32309">
              <w:rPr>
                <w:rFonts w:cs="Arial"/>
                <w:b/>
                <w:bCs/>
                <w:color w:val="auto"/>
              </w:rPr>
              <w:t>How it supports local NHS priorities</w:t>
            </w:r>
          </w:p>
        </w:tc>
      </w:tr>
      <w:tr w:rsidR="00F32309" w:rsidRPr="00F32309" w14:paraId="54D0DB57" w14:textId="77777777" w:rsidTr="000A3BBC">
        <w:trPr>
          <w:tblCellSpacing w:w="15" w:type="dxa"/>
          <w:jc w:val="center"/>
        </w:trPr>
        <w:tc>
          <w:tcPr>
            <w:tcW w:w="0" w:type="auto"/>
            <w:vAlign w:val="center"/>
            <w:hideMark/>
          </w:tcPr>
          <w:p w14:paraId="688F5A81" w14:textId="77777777" w:rsidR="00F32309" w:rsidRPr="00F32309" w:rsidRDefault="00F32309" w:rsidP="000A3BBC">
            <w:pPr>
              <w:ind w:left="82"/>
              <w:rPr>
                <w:rFonts w:cs="Arial"/>
                <w:color w:val="auto"/>
              </w:rPr>
            </w:pPr>
            <w:r w:rsidRPr="00F32309">
              <w:rPr>
                <w:rFonts w:cs="Arial"/>
                <w:color w:val="auto"/>
              </w:rPr>
              <w:t>Walk-in access, no appointment needed, often evening and weekend opening.</w:t>
            </w:r>
          </w:p>
        </w:tc>
        <w:tc>
          <w:tcPr>
            <w:tcW w:w="0" w:type="auto"/>
            <w:vAlign w:val="center"/>
            <w:hideMark/>
          </w:tcPr>
          <w:p w14:paraId="5E8FFC59" w14:textId="77777777" w:rsidR="00F32309" w:rsidRPr="00F32309" w:rsidRDefault="00F32309" w:rsidP="000A3BBC">
            <w:pPr>
              <w:ind w:left="82"/>
              <w:rPr>
                <w:rFonts w:cs="Arial"/>
                <w:color w:val="auto"/>
              </w:rPr>
            </w:pPr>
            <w:r w:rsidRPr="00F32309">
              <w:rPr>
                <w:rFonts w:cs="Arial"/>
                <w:color w:val="auto"/>
              </w:rPr>
              <w:t>Reduces pressure on GPs and A&amp;E; enables same-day care and early intervention.</w:t>
            </w:r>
          </w:p>
        </w:tc>
      </w:tr>
      <w:tr w:rsidR="00F32309" w:rsidRPr="00F32309" w14:paraId="15899CE3" w14:textId="77777777" w:rsidTr="000A3BBC">
        <w:trPr>
          <w:tblCellSpacing w:w="15" w:type="dxa"/>
          <w:jc w:val="center"/>
        </w:trPr>
        <w:tc>
          <w:tcPr>
            <w:tcW w:w="0" w:type="auto"/>
            <w:vAlign w:val="center"/>
            <w:hideMark/>
          </w:tcPr>
          <w:p w14:paraId="6B7B7FDB" w14:textId="77777777" w:rsidR="00F32309" w:rsidRPr="00F32309" w:rsidRDefault="00F32309" w:rsidP="000A3BBC">
            <w:pPr>
              <w:ind w:left="82"/>
              <w:rPr>
                <w:rFonts w:cs="Arial"/>
                <w:color w:val="auto"/>
              </w:rPr>
            </w:pPr>
            <w:r w:rsidRPr="00F32309">
              <w:rPr>
                <w:rFonts w:cs="Arial"/>
                <w:color w:val="auto"/>
              </w:rPr>
              <w:t>Located in the heart of communities supported by staff from within the community.</w:t>
            </w:r>
          </w:p>
        </w:tc>
        <w:tc>
          <w:tcPr>
            <w:tcW w:w="0" w:type="auto"/>
            <w:vAlign w:val="center"/>
            <w:hideMark/>
          </w:tcPr>
          <w:p w14:paraId="7BE4D9EF" w14:textId="77777777" w:rsidR="00F32309" w:rsidRPr="00F32309" w:rsidRDefault="00F32309" w:rsidP="000A3BBC">
            <w:pPr>
              <w:ind w:left="82"/>
              <w:rPr>
                <w:rFonts w:cs="Arial"/>
                <w:color w:val="auto"/>
              </w:rPr>
            </w:pPr>
            <w:r w:rsidRPr="00F32309">
              <w:rPr>
                <w:rFonts w:cs="Arial"/>
                <w:color w:val="auto"/>
              </w:rPr>
              <w:t>Ideal for tackling health inequalities and engaging underserved populations.</w:t>
            </w:r>
          </w:p>
        </w:tc>
      </w:tr>
      <w:tr w:rsidR="00F32309" w:rsidRPr="00F32309" w14:paraId="534022E4" w14:textId="77777777" w:rsidTr="000A3BBC">
        <w:trPr>
          <w:tblCellSpacing w:w="15" w:type="dxa"/>
          <w:jc w:val="center"/>
        </w:trPr>
        <w:tc>
          <w:tcPr>
            <w:tcW w:w="0" w:type="auto"/>
            <w:vAlign w:val="center"/>
            <w:hideMark/>
          </w:tcPr>
          <w:p w14:paraId="5B547C11" w14:textId="77777777" w:rsidR="00F32309" w:rsidRPr="00F32309" w:rsidRDefault="00F32309" w:rsidP="000A3BBC">
            <w:pPr>
              <w:ind w:left="82"/>
              <w:rPr>
                <w:rFonts w:cs="Arial"/>
                <w:color w:val="auto"/>
              </w:rPr>
            </w:pPr>
            <w:r w:rsidRPr="00F32309">
              <w:rPr>
                <w:rFonts w:cs="Arial"/>
                <w:color w:val="auto"/>
              </w:rPr>
              <w:t>Skilled, regulated healthcare teams comprising pharmacists and pharmacy technicians.</w:t>
            </w:r>
          </w:p>
        </w:tc>
        <w:tc>
          <w:tcPr>
            <w:tcW w:w="0" w:type="auto"/>
            <w:vAlign w:val="center"/>
            <w:hideMark/>
          </w:tcPr>
          <w:p w14:paraId="53287C94" w14:textId="77777777" w:rsidR="00F32309" w:rsidRPr="00F32309" w:rsidRDefault="00F32309" w:rsidP="000A3BBC">
            <w:pPr>
              <w:ind w:left="82"/>
              <w:rPr>
                <w:rFonts w:cs="Arial"/>
                <w:color w:val="auto"/>
              </w:rPr>
            </w:pPr>
            <w:r w:rsidRPr="00F32309">
              <w:rPr>
                <w:rFonts w:cs="Arial"/>
                <w:color w:val="auto"/>
              </w:rPr>
              <w:t>Enhance clinical capacity and support multi-disciplinary team working.</w:t>
            </w:r>
          </w:p>
        </w:tc>
      </w:tr>
      <w:tr w:rsidR="00F32309" w:rsidRPr="00F32309" w14:paraId="134F9EFF" w14:textId="77777777" w:rsidTr="000A3BBC">
        <w:trPr>
          <w:tblCellSpacing w:w="15" w:type="dxa"/>
          <w:jc w:val="center"/>
        </w:trPr>
        <w:tc>
          <w:tcPr>
            <w:tcW w:w="0" w:type="auto"/>
            <w:vAlign w:val="center"/>
            <w:hideMark/>
          </w:tcPr>
          <w:p w14:paraId="5E875899" w14:textId="77777777" w:rsidR="00F32309" w:rsidRPr="00F32309" w:rsidRDefault="00F32309" w:rsidP="000A3BBC">
            <w:pPr>
              <w:ind w:left="82"/>
              <w:rPr>
                <w:rFonts w:cs="Arial"/>
                <w:color w:val="auto"/>
              </w:rPr>
            </w:pPr>
            <w:r w:rsidRPr="00F32309">
              <w:rPr>
                <w:rFonts w:cs="Arial"/>
                <w:color w:val="auto"/>
              </w:rPr>
              <w:t>Trusted by the public.</w:t>
            </w:r>
          </w:p>
        </w:tc>
        <w:tc>
          <w:tcPr>
            <w:tcW w:w="0" w:type="auto"/>
            <w:vAlign w:val="center"/>
            <w:hideMark/>
          </w:tcPr>
          <w:p w14:paraId="095EC246" w14:textId="77777777" w:rsidR="00F32309" w:rsidRPr="00F32309" w:rsidRDefault="00F32309" w:rsidP="000A3BBC">
            <w:pPr>
              <w:ind w:left="82"/>
              <w:rPr>
                <w:rFonts w:cs="Arial"/>
                <w:color w:val="auto"/>
              </w:rPr>
            </w:pPr>
            <w:r w:rsidRPr="00F32309">
              <w:rPr>
                <w:rFonts w:cs="Arial"/>
                <w:color w:val="auto"/>
              </w:rPr>
              <w:t>Support behaviour change, adherence, and self-care through long-standing relationships.</w:t>
            </w:r>
          </w:p>
        </w:tc>
      </w:tr>
      <w:tr w:rsidR="00F32309" w:rsidRPr="00F32309" w14:paraId="2513020B" w14:textId="77777777" w:rsidTr="000A3BBC">
        <w:trPr>
          <w:tblCellSpacing w:w="15" w:type="dxa"/>
          <w:jc w:val="center"/>
        </w:trPr>
        <w:tc>
          <w:tcPr>
            <w:tcW w:w="0" w:type="auto"/>
            <w:vAlign w:val="center"/>
            <w:hideMark/>
          </w:tcPr>
          <w:p w14:paraId="70934C83" w14:textId="77777777" w:rsidR="00F32309" w:rsidRPr="00F32309" w:rsidRDefault="00F32309" w:rsidP="000A3BBC">
            <w:pPr>
              <w:ind w:left="82"/>
              <w:rPr>
                <w:rFonts w:cs="Arial"/>
                <w:color w:val="auto"/>
              </w:rPr>
            </w:pPr>
            <w:r w:rsidRPr="00F32309">
              <w:rPr>
                <w:rFonts w:cs="Arial"/>
                <w:color w:val="auto"/>
              </w:rPr>
              <w:t>Strong in prevention and early detection.</w:t>
            </w:r>
          </w:p>
        </w:tc>
        <w:tc>
          <w:tcPr>
            <w:tcW w:w="0" w:type="auto"/>
            <w:vAlign w:val="center"/>
            <w:hideMark/>
          </w:tcPr>
          <w:p w14:paraId="5DEB406A" w14:textId="77777777" w:rsidR="00F32309" w:rsidRPr="00F32309" w:rsidRDefault="00F32309" w:rsidP="000A3BBC">
            <w:pPr>
              <w:ind w:left="82"/>
              <w:rPr>
                <w:rFonts w:cs="Arial"/>
                <w:color w:val="auto"/>
              </w:rPr>
            </w:pPr>
            <w:r w:rsidRPr="00F32309">
              <w:rPr>
                <w:rFonts w:cs="Arial"/>
                <w:color w:val="auto"/>
              </w:rPr>
              <w:t>Vital partner for cardiovascular, respiratory and sexual health priorities.</w:t>
            </w:r>
          </w:p>
        </w:tc>
      </w:tr>
      <w:tr w:rsidR="00F32309" w:rsidRPr="00F32309" w14:paraId="08B480C1" w14:textId="77777777" w:rsidTr="000A3BBC">
        <w:trPr>
          <w:tblCellSpacing w:w="15" w:type="dxa"/>
          <w:jc w:val="center"/>
        </w:trPr>
        <w:tc>
          <w:tcPr>
            <w:tcW w:w="0" w:type="auto"/>
            <w:vAlign w:val="center"/>
            <w:hideMark/>
          </w:tcPr>
          <w:p w14:paraId="65422A2C" w14:textId="77777777" w:rsidR="00F32309" w:rsidRPr="00F32309" w:rsidRDefault="00F32309" w:rsidP="000A3BBC">
            <w:pPr>
              <w:ind w:left="82"/>
              <w:rPr>
                <w:rFonts w:cs="Arial"/>
                <w:color w:val="auto"/>
              </w:rPr>
            </w:pPr>
            <w:r w:rsidRPr="00F32309">
              <w:rPr>
                <w:rFonts w:cs="Arial"/>
                <w:color w:val="auto"/>
              </w:rPr>
              <w:t>Expert in medicines safety and optimisation.</w:t>
            </w:r>
          </w:p>
        </w:tc>
        <w:tc>
          <w:tcPr>
            <w:tcW w:w="0" w:type="auto"/>
            <w:vAlign w:val="center"/>
            <w:hideMark/>
          </w:tcPr>
          <w:p w14:paraId="3658D372" w14:textId="77777777" w:rsidR="00F32309" w:rsidRPr="00F32309" w:rsidRDefault="00F32309" w:rsidP="000A3BBC">
            <w:pPr>
              <w:ind w:left="82"/>
              <w:rPr>
                <w:rFonts w:cs="Arial"/>
                <w:color w:val="auto"/>
              </w:rPr>
            </w:pPr>
            <w:r w:rsidRPr="00F32309">
              <w:rPr>
                <w:rFonts w:cs="Arial"/>
                <w:color w:val="auto"/>
              </w:rPr>
              <w:t>Reduces admissions and supports safer prescribing and use of medicines.</w:t>
            </w:r>
          </w:p>
        </w:tc>
      </w:tr>
    </w:tbl>
    <w:p w14:paraId="6EAE297F" w14:textId="3AA33EC4" w:rsidR="008B7C20" w:rsidRDefault="008B7C20" w:rsidP="003218F3">
      <w:pPr>
        <w:pStyle w:val="CPE-Heading2"/>
        <w:spacing w:before="0"/>
        <w:rPr>
          <w:b w:val="0"/>
          <w:bCs w:val="0"/>
          <w:sz w:val="6"/>
          <w:szCs w:val="8"/>
        </w:rPr>
      </w:pPr>
    </w:p>
    <w:p w14:paraId="7A7D4F5A" w14:textId="77777777" w:rsidR="006C0571" w:rsidRDefault="006C0571" w:rsidP="006C0571">
      <w:pPr>
        <w:rPr>
          <w:rFonts w:ascii="Arial" w:hAnsi="Arial" w:cs="Arial"/>
          <w:highlight w:val="yellow"/>
        </w:rPr>
      </w:pPr>
    </w:p>
    <w:p w14:paraId="7D62A824" w14:textId="4D34B7D5" w:rsidR="006C0571" w:rsidRPr="00FF33EF" w:rsidRDefault="006C0571" w:rsidP="006C0571">
      <w:pPr>
        <w:rPr>
          <w:rFonts w:cs="Arial"/>
          <w:b/>
          <w:bCs/>
          <w:color w:val="auto"/>
        </w:rPr>
      </w:pPr>
      <w:r w:rsidRPr="00FF33EF">
        <w:rPr>
          <w:rFonts w:cs="Arial"/>
          <w:b/>
          <w:bCs/>
          <w:color w:val="auto"/>
          <w:highlight w:val="yellow"/>
        </w:rPr>
        <w:t>[LPC to insert local information about number of pharmacies, services provided, any IP pathfinder models in operation]</w:t>
      </w:r>
    </w:p>
    <w:p w14:paraId="51C43C5D" w14:textId="46E43961" w:rsidR="002B376A" w:rsidRDefault="002B376A">
      <w:pPr>
        <w:spacing w:before="0" w:after="0" w:line="240" w:lineRule="auto"/>
        <w:rPr>
          <w:rFonts w:eastAsiaTheme="minorHAnsi" w:cs="Azo Sans"/>
        </w:rPr>
      </w:pPr>
      <w:r>
        <w:rPr>
          <w:b/>
          <w:bCs/>
        </w:rPr>
        <w:br w:type="page"/>
      </w:r>
    </w:p>
    <w:p w14:paraId="7077FF6A" w14:textId="77777777" w:rsidR="002B376A" w:rsidRPr="00767D48" w:rsidRDefault="002B376A" w:rsidP="00767D48">
      <w:pPr>
        <w:pStyle w:val="CPE-Heading2"/>
        <w:spacing w:before="0"/>
      </w:pPr>
      <w:r w:rsidRPr="00767D48">
        <w:lastRenderedPageBreak/>
        <w:t>Supporting local health priorities</w:t>
      </w:r>
    </w:p>
    <w:p w14:paraId="644942E6" w14:textId="77777777" w:rsidR="000329D1" w:rsidRPr="00FF33EF" w:rsidRDefault="000329D1" w:rsidP="00286B9E">
      <w:pPr>
        <w:rPr>
          <w:rFonts w:cs="Arial"/>
          <w:color w:val="auto"/>
        </w:rPr>
      </w:pPr>
      <w:r w:rsidRPr="00FF33EF">
        <w:rPr>
          <w:rFonts w:cs="Arial"/>
          <w:color w:val="auto"/>
          <w:highlight w:val="yellow"/>
        </w:rPr>
        <w:t>[This section has been included to enable LPCs to insert details about local priorities and how community pharmacy supports these. Two examples (which can be amended to include local data / insights) have been provided below.  Examples should be supported with any available local data.</w:t>
      </w:r>
      <w:r w:rsidRPr="00FF33EF">
        <w:rPr>
          <w:rFonts w:cs="Arial"/>
          <w:color w:val="auto"/>
        </w:rPr>
        <w:t>]</w:t>
      </w:r>
    </w:p>
    <w:p w14:paraId="69986BFC" w14:textId="77777777" w:rsidR="000329D1" w:rsidRPr="00FF33EF" w:rsidRDefault="000329D1" w:rsidP="00286B9E">
      <w:pPr>
        <w:rPr>
          <w:rFonts w:cs="Arial"/>
          <w:color w:val="auto"/>
        </w:rPr>
      </w:pPr>
      <w:r w:rsidRPr="00FF33EF">
        <w:rPr>
          <w:rFonts w:cs="Arial"/>
          <w:color w:val="auto"/>
        </w:rPr>
        <w:t xml:space="preserve">Within </w:t>
      </w:r>
      <w:r w:rsidRPr="00FF33EF">
        <w:rPr>
          <w:rFonts w:cs="Arial"/>
          <w:color w:val="auto"/>
          <w:highlight w:val="yellow"/>
        </w:rPr>
        <w:t>[XXX] [Place / neighbourhood]</w:t>
      </w:r>
      <w:r w:rsidRPr="00FF33EF">
        <w:rPr>
          <w:rFonts w:cs="Arial"/>
          <w:color w:val="auto"/>
        </w:rPr>
        <w:t xml:space="preserve"> we understand that the key priorities are:</w:t>
      </w:r>
    </w:p>
    <w:p w14:paraId="309AAE3D" w14:textId="77777777" w:rsidR="002B7B4A" w:rsidRPr="00DB1621" w:rsidRDefault="002B7B4A" w:rsidP="00286B9E">
      <w:pPr>
        <w:pStyle w:val="ListParagraph"/>
        <w:numPr>
          <w:ilvl w:val="0"/>
          <w:numId w:val="22"/>
        </w:numPr>
        <w:spacing w:line="336" w:lineRule="auto"/>
        <w:ind w:left="426" w:hanging="284"/>
        <w:rPr>
          <w:rFonts w:ascii="DM Sans" w:hAnsi="DM Sans" w:cs="Arial"/>
          <w:b/>
          <w:bCs/>
          <w:color w:val="0072CE" w:themeColor="text1"/>
          <w:sz w:val="22"/>
          <w:szCs w:val="22"/>
        </w:rPr>
      </w:pPr>
      <w:r w:rsidRPr="00DB1621">
        <w:rPr>
          <w:rFonts w:ascii="DM Sans" w:hAnsi="DM Sans" w:cs="Arial"/>
          <w:b/>
          <w:bCs/>
          <w:color w:val="0072CE" w:themeColor="text1"/>
          <w:sz w:val="22"/>
          <w:szCs w:val="22"/>
        </w:rPr>
        <w:t>Hospital admission avoidance</w:t>
      </w:r>
    </w:p>
    <w:p w14:paraId="391B149B" w14:textId="42B4BFE3" w:rsidR="002B7B4A" w:rsidRPr="002B7B4A" w:rsidRDefault="002B7B4A" w:rsidP="00286B9E">
      <w:pPr>
        <w:spacing w:before="0"/>
        <w:rPr>
          <w:rFonts w:eastAsia="Aptos" w:cs="Arial"/>
          <w:color w:val="auto"/>
          <w:kern w:val="2"/>
          <w14:ligatures w14:val="standardContextual"/>
        </w:rPr>
      </w:pPr>
      <w:r w:rsidRPr="002B7B4A">
        <w:rPr>
          <w:rFonts w:eastAsia="Aptos" w:cs="Arial"/>
          <w:color w:val="auto"/>
          <w:kern w:val="2"/>
          <w14:ligatures w14:val="standardContextual"/>
        </w:rPr>
        <w:t>Avoiding unnecessary hospital admissions is essential for better patient outcomes, reduced healthcare costs, and a more sustainable health system. Proactive and preventive care through primary care services helps manage long-term conditions like cardiovascular disease, diabetes and asthma, reducing the risk of complications that could lead to hospitalisation. Early intervention, ongoing follow-ups, and personalised care plans improve long-term health and minimise the need for acute care.</w:t>
      </w:r>
    </w:p>
    <w:p w14:paraId="5EF24BDC" w14:textId="77777777" w:rsidR="002B7B4A" w:rsidRPr="002B7B4A" w:rsidRDefault="002B7B4A" w:rsidP="00286B9E">
      <w:pPr>
        <w:spacing w:before="0"/>
        <w:rPr>
          <w:rFonts w:eastAsia="Aptos" w:cs="Arial"/>
          <w:color w:val="auto"/>
          <w:kern w:val="2"/>
          <w14:ligatures w14:val="standardContextual"/>
        </w:rPr>
      </w:pPr>
      <w:r w:rsidRPr="002B7B4A">
        <w:rPr>
          <w:rFonts w:eastAsia="Aptos" w:cs="Arial"/>
          <w:color w:val="auto"/>
          <w:kern w:val="2"/>
          <w14:ligatures w14:val="standardContextual"/>
        </w:rPr>
        <w:t>Community pharmacies are uniquely positioned to support this goal. As accessible, trusted healthcare providers, pharmacists can offer medication and lifestyle advice, support for monitoring long-term conditions, and ensure adherence to treatment plans. Some of the services community pharmacies provide, such as the New Medicine Service, Discharge Medicines Service and vaccination services support hospital admission avoidance. Their role in identifying early signs of deterioration, offering timely interventions, and supporting self-management can significantly reduce avoidable hospital admissions, especially for high-risk patients.</w:t>
      </w:r>
    </w:p>
    <w:p w14:paraId="105510B0" w14:textId="77777777" w:rsidR="002B7B4A" w:rsidRPr="002B7B4A" w:rsidRDefault="002B7B4A" w:rsidP="00286B9E">
      <w:pPr>
        <w:spacing w:before="0"/>
        <w:rPr>
          <w:rFonts w:eastAsia="Aptos" w:cs="Arial"/>
          <w:color w:val="auto"/>
          <w:kern w:val="2"/>
          <w14:ligatures w14:val="standardContextual"/>
        </w:rPr>
      </w:pPr>
      <w:r w:rsidRPr="002B7B4A">
        <w:rPr>
          <w:rFonts w:eastAsia="Aptos" w:cs="Arial"/>
          <w:color w:val="auto"/>
          <w:kern w:val="2"/>
          <w14:ligatures w14:val="standardContextual"/>
        </w:rPr>
        <w:t>By easing pressure on hospitals, community pharmacies contribute to a safer, more efficient system. They support patients in staying well at home; aligning with patient preferences and improving quality of life. Integrating pharmacy services into local care pathways enhances equity, expands access and supports the broader aim of delivering care in the right place, at the right time.</w:t>
      </w:r>
    </w:p>
    <w:p w14:paraId="2A6DFAA5" w14:textId="77777777" w:rsidR="002B7B4A" w:rsidRPr="00DB1621" w:rsidRDefault="002B7B4A" w:rsidP="00286B9E">
      <w:pPr>
        <w:pStyle w:val="ListParagraph"/>
        <w:numPr>
          <w:ilvl w:val="0"/>
          <w:numId w:val="22"/>
        </w:numPr>
        <w:spacing w:line="336" w:lineRule="auto"/>
        <w:ind w:left="426" w:hanging="284"/>
        <w:rPr>
          <w:rFonts w:ascii="DM Sans" w:hAnsi="DM Sans" w:cs="Arial"/>
          <w:b/>
          <w:bCs/>
          <w:color w:val="0072CE" w:themeColor="text1"/>
          <w:sz w:val="22"/>
          <w:szCs w:val="22"/>
        </w:rPr>
      </w:pPr>
      <w:r w:rsidRPr="00DB1621">
        <w:rPr>
          <w:rFonts w:ascii="DM Sans" w:hAnsi="DM Sans" w:cs="Arial"/>
          <w:b/>
          <w:bCs/>
          <w:color w:val="0072CE" w:themeColor="text1"/>
          <w:sz w:val="22"/>
          <w:szCs w:val="22"/>
        </w:rPr>
        <w:t>Frailty</w:t>
      </w:r>
    </w:p>
    <w:p w14:paraId="58354316" w14:textId="77777777" w:rsidR="002B7B4A" w:rsidRPr="002B7B4A" w:rsidRDefault="002B7B4A" w:rsidP="00286B9E">
      <w:pPr>
        <w:spacing w:before="0"/>
        <w:rPr>
          <w:rFonts w:eastAsia="Aptos" w:cs="Arial"/>
          <w:color w:val="auto"/>
          <w:kern w:val="2"/>
          <w14:ligatures w14:val="standardContextual"/>
        </w:rPr>
      </w:pPr>
      <w:r w:rsidRPr="002B7B4A">
        <w:rPr>
          <w:rFonts w:eastAsia="Aptos" w:cs="Arial"/>
          <w:color w:val="auto"/>
          <w:kern w:val="2"/>
          <w14:ligatures w14:val="standardContextual"/>
        </w:rPr>
        <w:t xml:space="preserve">Community pharmacies play a crucial role in supporting individuals at risk of or living with frailty by offering accessible, front-line healthcare services. Pharmacists can identify early signs of frailty through regular interactions with older patients, especially those using multiple medications. By working closely with GP practice / PCN clinical pharmacists and as part of a </w:t>
      </w:r>
      <w:r w:rsidRPr="002B7B4A">
        <w:rPr>
          <w:rFonts w:eastAsia="Aptos" w:cs="Arial"/>
          <w:color w:val="auto"/>
          <w:kern w:val="2"/>
          <w14:ligatures w14:val="standardContextual"/>
        </w:rPr>
        <w:lastRenderedPageBreak/>
        <w:t>wider MDT, they can help optimise treatment regimens, reduce the risk of adverse drug reactions, and support adherence, all of which are essential in preventing functional decline and hospital admissions.</w:t>
      </w:r>
    </w:p>
    <w:p w14:paraId="0E5B9736" w14:textId="77777777" w:rsidR="002B7B4A" w:rsidRPr="002B7B4A" w:rsidRDefault="002B7B4A" w:rsidP="00286B9E">
      <w:pPr>
        <w:spacing w:before="0"/>
        <w:rPr>
          <w:rFonts w:eastAsia="Aptos" w:cs="Arial"/>
          <w:color w:val="auto"/>
          <w:kern w:val="2"/>
          <w14:ligatures w14:val="standardContextual"/>
        </w:rPr>
      </w:pPr>
      <w:r w:rsidRPr="002B7B4A">
        <w:rPr>
          <w:rFonts w:eastAsia="Aptos" w:cs="Arial"/>
          <w:color w:val="auto"/>
          <w:kern w:val="2"/>
          <w14:ligatures w14:val="standardContextual"/>
        </w:rPr>
        <w:t>Additionally, community pharmacists can contribute to frailty prevention through health promotion and lifestyle interventions. They can offer guidance on nutrition, hydration, falls prevention and physical activity; all key factors in maintaining strength and independence in older adults. Community pharmacies also provide screening/case-finding services (e.g. the hypertension case-finding service for patients aged 40 and over who have not previously been diagnosed with hypertension) and vaccination services, which help prevent illnesses that can exacerbate frailty.</w:t>
      </w:r>
    </w:p>
    <w:p w14:paraId="6AC49B87" w14:textId="77777777" w:rsidR="002B7B4A" w:rsidRPr="00FF33EF" w:rsidRDefault="002B7B4A" w:rsidP="00286B9E">
      <w:pPr>
        <w:spacing w:before="0"/>
        <w:rPr>
          <w:rFonts w:eastAsia="Aptos" w:cs="Arial"/>
          <w:color w:val="auto"/>
          <w:kern w:val="2"/>
          <w14:ligatures w14:val="standardContextual"/>
        </w:rPr>
      </w:pPr>
      <w:r w:rsidRPr="002B7B4A">
        <w:rPr>
          <w:rFonts w:eastAsia="Aptos" w:cs="Arial"/>
          <w:color w:val="auto"/>
          <w:kern w:val="2"/>
          <w14:ligatures w14:val="standardContextual"/>
        </w:rPr>
        <w:t>Community pharmacies also serve as an important point of referral to other health and social care services. By working closely with general practitioners, and other health and care professionals within a neighbourhood, community pharmacists and their teams help ensure a coordinated approach to care. Their trusted position within the community allows them to spot social or environmental issues, such as isolation or unsafe living conditions, enabling early intervention that supports overall wellbeing and minimises the progression of frailty.</w:t>
      </w:r>
    </w:p>
    <w:p w14:paraId="0F77E1CE" w14:textId="051E4EB7" w:rsidR="003D2CB9" w:rsidRPr="00FF33EF" w:rsidRDefault="003D2CB9">
      <w:pPr>
        <w:spacing w:before="0" w:after="0" w:line="240" w:lineRule="auto"/>
        <w:rPr>
          <w:rFonts w:eastAsia="Aptos" w:cs="Arial"/>
          <w:color w:val="auto"/>
          <w:kern w:val="2"/>
          <w14:ligatures w14:val="standardContextual"/>
        </w:rPr>
      </w:pPr>
      <w:r w:rsidRPr="00FF33EF">
        <w:rPr>
          <w:rFonts w:eastAsia="Aptos" w:cs="Arial"/>
          <w:color w:val="auto"/>
          <w:kern w:val="2"/>
          <w14:ligatures w14:val="standardContextual"/>
        </w:rPr>
        <w:br w:type="page"/>
      </w:r>
    </w:p>
    <w:p w14:paraId="756B2F65" w14:textId="77777777" w:rsidR="000C36F2" w:rsidRPr="00F86640" w:rsidRDefault="000C36F2" w:rsidP="00F86640">
      <w:pPr>
        <w:pStyle w:val="CPE-Heading2"/>
        <w:spacing w:before="0"/>
      </w:pPr>
      <w:r w:rsidRPr="00F86640">
        <w:lastRenderedPageBreak/>
        <w:t>Pharmacies in action: core services that support your priorities</w:t>
      </w:r>
    </w:p>
    <w:p w14:paraId="2C062C62" w14:textId="77777777" w:rsidR="000C36F2" w:rsidRPr="00FF33EF" w:rsidRDefault="000C36F2" w:rsidP="000C36F2">
      <w:pPr>
        <w:rPr>
          <w:rFonts w:cs="Arial"/>
          <w:color w:val="auto"/>
        </w:rPr>
      </w:pPr>
      <w:r w:rsidRPr="00FF33EF">
        <w:rPr>
          <w:rFonts w:cs="Arial"/>
          <w:color w:val="auto"/>
          <w:highlight w:val="yellow"/>
        </w:rPr>
        <w:t>[Where available include local data if appropriate]</w:t>
      </w:r>
    </w:p>
    <w:p w14:paraId="03E16B5F" w14:textId="6B554B79" w:rsidR="000C36F2" w:rsidRPr="000958B8" w:rsidRDefault="000C36F2" w:rsidP="00EF3ECE">
      <w:pPr>
        <w:pStyle w:val="ListParagraph"/>
        <w:numPr>
          <w:ilvl w:val="0"/>
          <w:numId w:val="23"/>
        </w:numPr>
        <w:ind w:left="284" w:hanging="284"/>
        <w:rPr>
          <w:rFonts w:ascii="DM Sans" w:hAnsi="DM Sans" w:cs="Arial"/>
          <w:b/>
          <w:bCs/>
          <w:color w:val="0072CE" w:themeColor="text1"/>
        </w:rPr>
      </w:pPr>
      <w:r w:rsidRPr="000958B8">
        <w:rPr>
          <w:rFonts w:ascii="DM Sans" w:hAnsi="DM Sans" w:cs="Arial"/>
          <w:b/>
          <w:bCs/>
          <w:color w:val="0072CE" w:themeColor="text1"/>
        </w:rPr>
        <w:t>Prevention and Early Detection</w:t>
      </w:r>
    </w:p>
    <w:p w14:paraId="79E0BEBA" w14:textId="77777777" w:rsidR="000C36F2" w:rsidRPr="00F86640" w:rsidRDefault="000C36F2" w:rsidP="00A760B4">
      <w:pPr>
        <w:tabs>
          <w:tab w:val="left" w:pos="426"/>
        </w:tabs>
        <w:spacing w:after="0"/>
        <w:rPr>
          <w:rFonts w:cs="Arial"/>
          <w:color w:val="auto"/>
        </w:rPr>
      </w:pPr>
      <w:r w:rsidRPr="00F86640">
        <w:rPr>
          <w:rFonts w:cs="Arial"/>
          <w:color w:val="auto"/>
        </w:rPr>
        <w:t xml:space="preserve">Community pharmacies undertake considerable public health and prevention work, including the NHS Hypertension Case-finding Service, the NHS Smoking Cessation Service, NHS vaccination services and the NHS Pharmacy Contraception Service, alongside a wide range of locally commissioned prevention-focused services commissioned by local government and ICBs. </w:t>
      </w:r>
    </w:p>
    <w:p w14:paraId="663B1851" w14:textId="77777777" w:rsidR="000C36F2" w:rsidRPr="008D58F9" w:rsidRDefault="000C36F2" w:rsidP="00A760B4">
      <w:pPr>
        <w:rPr>
          <w:rFonts w:cs="Arial"/>
          <w:b/>
          <w:bCs/>
          <w:color w:val="0072CE" w:themeColor="text1"/>
        </w:rPr>
      </w:pPr>
      <w:r w:rsidRPr="008D58F9">
        <w:rPr>
          <w:b/>
          <w:bCs/>
          <w:color w:val="0072CE" w:themeColor="text1"/>
        </w:rPr>
        <w:t>NHS Hypertension Case-Finding Service</w:t>
      </w:r>
      <w:r w:rsidRPr="008D58F9">
        <w:rPr>
          <w:rFonts w:cs="Arial"/>
          <w:b/>
          <w:bCs/>
          <w:color w:val="0072CE" w:themeColor="text1"/>
        </w:rPr>
        <w:t xml:space="preserve"> </w:t>
      </w:r>
    </w:p>
    <w:p w14:paraId="0420D26A" w14:textId="77777777" w:rsidR="000C36F2" w:rsidRPr="00F86640" w:rsidRDefault="000C36F2" w:rsidP="00A760B4">
      <w:pPr>
        <w:tabs>
          <w:tab w:val="left" w:pos="426"/>
        </w:tabs>
        <w:spacing w:after="0"/>
        <w:rPr>
          <w:rFonts w:cs="Arial"/>
          <w:color w:val="auto"/>
        </w:rPr>
      </w:pPr>
      <w:r w:rsidRPr="00F86640">
        <w:rPr>
          <w:rFonts w:cs="Arial"/>
          <w:color w:val="auto"/>
        </w:rPr>
        <w:t>An estimated 5.5 million people have undiagnosed hypertension across the country. Early detection of hypertension is vital and there is evidence that community pharmacy has a key role in detection and subsequent treatment of hypertension and CVD, improving outcomes and reducing the burden on GPs.</w:t>
      </w:r>
    </w:p>
    <w:p w14:paraId="5C10FABB" w14:textId="450240FC" w:rsidR="000C36F2" w:rsidRPr="00F86640" w:rsidRDefault="000C36F2" w:rsidP="003A40B3">
      <w:pPr>
        <w:tabs>
          <w:tab w:val="left" w:pos="0"/>
        </w:tabs>
        <w:spacing w:after="0"/>
        <w:rPr>
          <w:rFonts w:cs="Arial"/>
          <w:color w:val="auto"/>
        </w:rPr>
      </w:pPr>
      <w:r w:rsidRPr="00F86640">
        <w:rPr>
          <w:rFonts w:cs="Arial"/>
          <w:color w:val="auto"/>
        </w:rPr>
        <w:t xml:space="preserve">The </w:t>
      </w:r>
      <w:hyperlink r:id="rId8" w:history="1">
        <w:r w:rsidRPr="00AC2ABE">
          <w:rPr>
            <w:rStyle w:val="Hyperlink"/>
            <w:rFonts w:cs="Arial"/>
            <w:b/>
            <w:bCs/>
            <w:color w:val="FF6D3A" w:themeColor="accent1"/>
          </w:rPr>
          <w:t>Hypertension Care-Finding Service</w:t>
        </w:r>
      </w:hyperlink>
      <w:r w:rsidRPr="00F86640">
        <w:rPr>
          <w:rFonts w:cs="Arial"/>
          <w:color w:val="auto"/>
        </w:rPr>
        <w:t xml:space="preserve"> aims to:</w:t>
      </w:r>
    </w:p>
    <w:p w14:paraId="126FC4F5" w14:textId="77777777" w:rsidR="000C36F2" w:rsidRPr="008D58F9" w:rsidRDefault="000C36F2" w:rsidP="00AD73DB">
      <w:pPr>
        <w:pStyle w:val="ListParagraph"/>
        <w:numPr>
          <w:ilvl w:val="0"/>
          <w:numId w:val="16"/>
        </w:numPr>
        <w:tabs>
          <w:tab w:val="left" w:pos="426"/>
        </w:tabs>
        <w:spacing w:after="0" w:line="336" w:lineRule="auto"/>
        <w:ind w:left="850" w:hanging="425"/>
        <w:rPr>
          <w:rFonts w:ascii="DM Sans" w:hAnsi="DM Sans" w:cs="Arial"/>
          <w:sz w:val="22"/>
          <w:szCs w:val="22"/>
        </w:rPr>
      </w:pPr>
      <w:r w:rsidRPr="008D58F9">
        <w:rPr>
          <w:rFonts w:ascii="DM Sans" w:hAnsi="DM Sans" w:cs="Arial"/>
          <w:sz w:val="22"/>
          <w:szCs w:val="22"/>
        </w:rPr>
        <w:t>Identify people aged 40 years or older with high blood pressure (who have previously not had a confirmed diagnosis of hypertension), and to refer them to general practice to confirm diagnosis and for appropriate management;</w:t>
      </w:r>
    </w:p>
    <w:p w14:paraId="64E3A97E" w14:textId="77777777" w:rsidR="000C36F2" w:rsidRPr="008D58F9" w:rsidRDefault="000C36F2" w:rsidP="00AD73DB">
      <w:pPr>
        <w:pStyle w:val="ListParagraph"/>
        <w:numPr>
          <w:ilvl w:val="0"/>
          <w:numId w:val="16"/>
        </w:numPr>
        <w:tabs>
          <w:tab w:val="left" w:pos="426"/>
        </w:tabs>
        <w:spacing w:after="0" w:line="336" w:lineRule="auto"/>
        <w:ind w:left="850" w:hanging="425"/>
        <w:rPr>
          <w:rFonts w:ascii="DM Sans" w:hAnsi="DM Sans" w:cs="Arial"/>
          <w:sz w:val="22"/>
          <w:szCs w:val="22"/>
        </w:rPr>
      </w:pPr>
      <w:r w:rsidRPr="008D58F9">
        <w:rPr>
          <w:rFonts w:ascii="DM Sans" w:hAnsi="DM Sans" w:cs="Arial"/>
          <w:sz w:val="22"/>
          <w:szCs w:val="22"/>
        </w:rPr>
        <w:t>At the request of a general practice, undertake ad hoc clinic and ambulatory blood pressure measurements for people who have not previously had a confirmed diagnosis of hypertension; and</w:t>
      </w:r>
    </w:p>
    <w:p w14:paraId="0CEA3359" w14:textId="77777777" w:rsidR="000C36F2" w:rsidRPr="008D58F9" w:rsidRDefault="000C36F2" w:rsidP="00AD73DB">
      <w:pPr>
        <w:pStyle w:val="ListParagraph"/>
        <w:numPr>
          <w:ilvl w:val="0"/>
          <w:numId w:val="16"/>
        </w:numPr>
        <w:tabs>
          <w:tab w:val="left" w:pos="426"/>
        </w:tabs>
        <w:spacing w:after="0" w:line="336" w:lineRule="auto"/>
        <w:ind w:left="850" w:hanging="425"/>
        <w:rPr>
          <w:rFonts w:ascii="DM Sans" w:hAnsi="DM Sans" w:cs="Arial"/>
          <w:sz w:val="22"/>
          <w:szCs w:val="22"/>
        </w:rPr>
      </w:pPr>
      <w:r w:rsidRPr="008D58F9">
        <w:rPr>
          <w:rFonts w:ascii="DM Sans" w:hAnsi="DM Sans" w:cs="Arial"/>
          <w:sz w:val="22"/>
          <w:szCs w:val="22"/>
        </w:rPr>
        <w:t>Provide another opportunity to promote healthy behaviours to patients.</w:t>
      </w:r>
    </w:p>
    <w:p w14:paraId="6AA279CF" w14:textId="6A8CD9AB" w:rsidR="000C36F2" w:rsidRPr="008D58F9" w:rsidRDefault="000C36F2" w:rsidP="002B5772">
      <w:pPr>
        <w:rPr>
          <w:rFonts w:cs="Arial"/>
          <w:b/>
          <w:bCs/>
          <w:color w:val="0072CE" w:themeColor="text1"/>
        </w:rPr>
      </w:pPr>
      <w:r w:rsidRPr="008D58F9">
        <w:rPr>
          <w:b/>
          <w:bCs/>
          <w:color w:val="0072CE" w:themeColor="text1"/>
        </w:rPr>
        <w:t>Smoking Cessation Service</w:t>
      </w:r>
    </w:p>
    <w:p w14:paraId="7627D95B" w14:textId="77777777" w:rsidR="000C36F2" w:rsidRPr="00AC2ABE" w:rsidRDefault="000C36F2" w:rsidP="002B5772">
      <w:pPr>
        <w:rPr>
          <w:rFonts w:cs="Arial"/>
          <w:color w:val="FF6D3A" w:themeColor="accent1"/>
        </w:rPr>
      </w:pPr>
      <w:r w:rsidRPr="00F86640">
        <w:rPr>
          <w:rFonts w:cs="Arial"/>
          <w:color w:val="auto"/>
        </w:rPr>
        <w:t xml:space="preserve">The </w:t>
      </w:r>
      <w:hyperlink r:id="rId9" w:history="1">
        <w:r w:rsidRPr="00AC2ABE">
          <w:rPr>
            <w:rStyle w:val="Hyperlink"/>
            <w:rFonts w:cs="Arial"/>
            <w:b/>
            <w:bCs/>
            <w:color w:val="FF6D3A" w:themeColor="accent1"/>
          </w:rPr>
          <w:t>Smoking Cessation Service</w:t>
        </w:r>
      </w:hyperlink>
      <w:r w:rsidRPr="00F86640">
        <w:rPr>
          <w:rFonts w:cs="Arial"/>
          <w:color w:val="auto"/>
        </w:rPr>
        <w:t xml:space="preserve"> is part of the wider mission to support hospital patients to stop smoking while in hospital and then maintain their quit after discharge. When fully implemented by hospitals, this is expected to increase one-year quit rates by 11% and to save the NHS £85 million in healthcare resource use within one year </w:t>
      </w:r>
      <w:r w:rsidRPr="00AC2ABE">
        <w:rPr>
          <w:rFonts w:cs="Arial"/>
          <w:color w:val="FF6D3A" w:themeColor="accent1"/>
        </w:rPr>
        <w:t>(</w:t>
      </w:r>
      <w:hyperlink r:id="rId10" w:history="1">
        <w:r w:rsidRPr="00AC2ABE">
          <w:rPr>
            <w:rStyle w:val="Hyperlink"/>
            <w:rFonts w:cs="Arial"/>
            <w:color w:val="FF6D3A" w:themeColor="accent1"/>
          </w:rPr>
          <w:t>Mullen, 2010</w:t>
        </w:r>
      </w:hyperlink>
      <w:r w:rsidRPr="00AC2ABE">
        <w:rPr>
          <w:rFonts w:cs="Arial"/>
          <w:color w:val="FF6D3A" w:themeColor="accent1"/>
        </w:rPr>
        <w:t>; </w:t>
      </w:r>
      <w:hyperlink r:id="rId11" w:history="1">
        <w:r w:rsidRPr="00AC2ABE">
          <w:rPr>
            <w:rStyle w:val="Hyperlink"/>
            <w:rFonts w:cs="Arial"/>
            <w:color w:val="FF6D3A" w:themeColor="accent1"/>
          </w:rPr>
          <w:t>Royal College of Physicians, 2018</w:t>
        </w:r>
      </w:hyperlink>
      <w:r w:rsidRPr="00AC2ABE">
        <w:rPr>
          <w:rFonts w:cs="Arial"/>
          <w:color w:val="FF6D3A" w:themeColor="accent1"/>
        </w:rPr>
        <w:t>).</w:t>
      </w:r>
    </w:p>
    <w:p w14:paraId="71CA6C1F" w14:textId="77777777" w:rsidR="000C36F2" w:rsidRPr="00F86640" w:rsidRDefault="000C36F2" w:rsidP="002B5772">
      <w:pPr>
        <w:rPr>
          <w:rFonts w:cs="Arial"/>
          <w:color w:val="auto"/>
        </w:rPr>
      </w:pPr>
      <w:r w:rsidRPr="00F86640">
        <w:rPr>
          <w:rFonts w:cs="Arial"/>
          <w:color w:val="auto"/>
        </w:rPr>
        <w:t>Bridging the gap between secondary care smoking cessation services and those based in community pharmacy provides further support to the stop smoking campaign across the UK at a time when there is an increased need for patients to quit to protect their health.</w:t>
      </w:r>
    </w:p>
    <w:p w14:paraId="7DA2C909" w14:textId="3A6B49F8" w:rsidR="000C36F2" w:rsidRPr="00F86640" w:rsidRDefault="000C36F2" w:rsidP="002B5772">
      <w:pPr>
        <w:tabs>
          <w:tab w:val="left" w:pos="426"/>
        </w:tabs>
        <w:spacing w:after="0"/>
        <w:rPr>
          <w:rFonts w:cs="Arial"/>
          <w:color w:val="auto"/>
        </w:rPr>
      </w:pPr>
      <w:r w:rsidRPr="00F86640">
        <w:rPr>
          <w:rFonts w:cs="Arial"/>
          <w:color w:val="auto"/>
        </w:rPr>
        <w:t>The service aims to:</w:t>
      </w:r>
    </w:p>
    <w:p w14:paraId="69074E23" w14:textId="77777777" w:rsidR="000C36F2" w:rsidRPr="008D58F9" w:rsidRDefault="000C36F2" w:rsidP="00AD73DB">
      <w:pPr>
        <w:pStyle w:val="ListParagraph"/>
        <w:numPr>
          <w:ilvl w:val="0"/>
          <w:numId w:val="17"/>
        </w:numPr>
        <w:tabs>
          <w:tab w:val="left" w:pos="426"/>
        </w:tabs>
        <w:spacing w:after="0" w:line="336" w:lineRule="auto"/>
        <w:ind w:left="850" w:hanging="425"/>
        <w:rPr>
          <w:rFonts w:ascii="DM Sans" w:hAnsi="DM Sans" w:cs="Arial"/>
          <w:sz w:val="22"/>
          <w:szCs w:val="22"/>
        </w:rPr>
      </w:pPr>
      <w:r w:rsidRPr="008D58F9">
        <w:rPr>
          <w:rFonts w:ascii="DM Sans" w:hAnsi="DM Sans" w:cs="Arial"/>
          <w:sz w:val="22"/>
          <w:szCs w:val="22"/>
        </w:rPr>
        <w:lastRenderedPageBreak/>
        <w:t xml:space="preserve">Enable NHS trusts to undertake a transfer of care on patient discharge, referring patients (where they consent) to a community pharmacy of their choice to continue their smoking cessation treatment, including providing medication and support as required; </w:t>
      </w:r>
    </w:p>
    <w:p w14:paraId="584D75E5" w14:textId="77777777" w:rsidR="000C36F2" w:rsidRPr="008D58F9" w:rsidRDefault="000C36F2" w:rsidP="00AD73DB">
      <w:pPr>
        <w:pStyle w:val="ListParagraph"/>
        <w:numPr>
          <w:ilvl w:val="0"/>
          <w:numId w:val="17"/>
        </w:numPr>
        <w:tabs>
          <w:tab w:val="left" w:pos="426"/>
        </w:tabs>
        <w:spacing w:after="0" w:line="336" w:lineRule="auto"/>
        <w:ind w:left="850" w:hanging="425"/>
        <w:rPr>
          <w:rFonts w:ascii="DM Sans" w:hAnsi="DM Sans" w:cs="Arial"/>
          <w:sz w:val="22"/>
          <w:szCs w:val="22"/>
        </w:rPr>
      </w:pPr>
      <w:r w:rsidRPr="008D58F9">
        <w:rPr>
          <w:rFonts w:ascii="DM Sans" w:hAnsi="DM Sans" w:cs="Arial"/>
          <w:sz w:val="22"/>
          <w:szCs w:val="22"/>
        </w:rPr>
        <w:t>Ensure that any patients referred by NHS trusts to community pharmacy for the Smoking Cessation Service (SCS) receive a consistent and effective offer, in line with NICE guidelines; and</w:t>
      </w:r>
    </w:p>
    <w:p w14:paraId="2EB0C296" w14:textId="77777777" w:rsidR="000C36F2" w:rsidRPr="008D58F9" w:rsidRDefault="000C36F2" w:rsidP="00AD73DB">
      <w:pPr>
        <w:pStyle w:val="ListParagraph"/>
        <w:numPr>
          <w:ilvl w:val="0"/>
          <w:numId w:val="17"/>
        </w:numPr>
        <w:tabs>
          <w:tab w:val="left" w:pos="426"/>
        </w:tabs>
        <w:spacing w:after="0" w:line="336" w:lineRule="auto"/>
        <w:ind w:left="850" w:hanging="425"/>
        <w:rPr>
          <w:rFonts w:ascii="DM Sans" w:hAnsi="DM Sans" w:cs="Arial"/>
          <w:sz w:val="22"/>
          <w:szCs w:val="22"/>
        </w:rPr>
      </w:pPr>
      <w:r w:rsidRPr="008D58F9">
        <w:rPr>
          <w:rFonts w:ascii="DM Sans" w:hAnsi="DM Sans" w:cs="Arial"/>
          <w:sz w:val="22"/>
          <w:szCs w:val="22"/>
        </w:rPr>
        <w:t>Create additional capacity in the smoking cessation pathway.</w:t>
      </w:r>
    </w:p>
    <w:p w14:paraId="1850083F" w14:textId="1A003B07" w:rsidR="000C36F2" w:rsidRPr="008D58F9" w:rsidRDefault="000C36F2" w:rsidP="00EF3ECE">
      <w:pPr>
        <w:rPr>
          <w:b/>
          <w:bCs/>
          <w:color w:val="0072CE" w:themeColor="text1"/>
        </w:rPr>
      </w:pPr>
      <w:r w:rsidRPr="008D58F9">
        <w:rPr>
          <w:b/>
          <w:bCs/>
          <w:color w:val="0072CE" w:themeColor="text1"/>
        </w:rPr>
        <w:t xml:space="preserve">Vaccinations </w:t>
      </w:r>
    </w:p>
    <w:p w14:paraId="515924CA" w14:textId="77777777" w:rsidR="000C36F2" w:rsidRPr="00F86640" w:rsidRDefault="000C36F2" w:rsidP="00EF3ECE">
      <w:pPr>
        <w:tabs>
          <w:tab w:val="left" w:pos="426"/>
        </w:tabs>
        <w:spacing w:after="0"/>
        <w:rPr>
          <w:rFonts w:cs="Arial"/>
          <w:color w:val="auto"/>
        </w:rPr>
      </w:pPr>
      <w:r w:rsidRPr="00F86640">
        <w:rPr>
          <w:rFonts w:cs="Arial"/>
          <w:color w:val="auto"/>
        </w:rPr>
        <w:t xml:space="preserve">Community pharmacies have been providing seasonal vaccinations since 2015, demonstrating that they can boost both the confidence in and uptake of vaccinations, especially amongst underserved communities and those with vaccine hesitancy.  </w:t>
      </w:r>
    </w:p>
    <w:p w14:paraId="6AEDC33F" w14:textId="77777777" w:rsidR="000C36F2" w:rsidRPr="00F86640" w:rsidRDefault="000C36F2" w:rsidP="00EF3ECE">
      <w:pPr>
        <w:tabs>
          <w:tab w:val="left" w:pos="426"/>
        </w:tabs>
        <w:spacing w:after="0"/>
        <w:rPr>
          <w:rFonts w:cs="Arial"/>
          <w:color w:val="auto"/>
        </w:rPr>
      </w:pPr>
      <w:r w:rsidRPr="00F86640">
        <w:rPr>
          <w:rFonts w:cs="Arial"/>
          <w:color w:val="auto"/>
        </w:rPr>
        <w:t xml:space="preserve">Current vaccination services include </w:t>
      </w:r>
      <w:hyperlink r:id="rId12" w:history="1">
        <w:r w:rsidRPr="008D58F9">
          <w:rPr>
            <w:rStyle w:val="Hyperlink"/>
            <w:rFonts w:cs="Arial"/>
            <w:b/>
            <w:bCs/>
            <w:color w:val="FF6D3A" w:themeColor="accent1"/>
          </w:rPr>
          <w:t>adult flu</w:t>
        </w:r>
      </w:hyperlink>
      <w:r w:rsidRPr="00F86640">
        <w:rPr>
          <w:rFonts w:cs="Arial"/>
          <w:color w:val="auto"/>
        </w:rPr>
        <w:t xml:space="preserve"> and </w:t>
      </w:r>
      <w:hyperlink r:id="rId13" w:history="1">
        <w:r w:rsidRPr="008D58F9">
          <w:rPr>
            <w:rStyle w:val="Hyperlink"/>
            <w:rFonts w:cs="Arial"/>
            <w:b/>
            <w:bCs/>
            <w:color w:val="FF6D3A" w:themeColor="accent1"/>
          </w:rPr>
          <w:t>COVID-19</w:t>
        </w:r>
      </w:hyperlink>
      <w:r w:rsidRPr="00F86640">
        <w:rPr>
          <w:rFonts w:cs="Arial"/>
          <w:color w:val="auto"/>
        </w:rPr>
        <w:t xml:space="preserve"> and in 2025 the NHS are commissioning a one-season trial of administering flu vaccinations to </w:t>
      </w:r>
      <w:hyperlink r:id="rId14" w:history="1">
        <w:r w:rsidRPr="008D58F9">
          <w:rPr>
            <w:rStyle w:val="Hyperlink"/>
            <w:rFonts w:cs="Arial"/>
            <w:b/>
            <w:bCs/>
            <w:color w:val="FF6D3A" w:themeColor="accent1"/>
          </w:rPr>
          <w:t>children aged 2-3 years</w:t>
        </w:r>
      </w:hyperlink>
      <w:r w:rsidRPr="00F86640">
        <w:rPr>
          <w:rFonts w:cs="Arial"/>
          <w:color w:val="auto"/>
        </w:rPr>
        <w:t xml:space="preserve"> and some pharmacies are providing </w:t>
      </w:r>
      <w:hyperlink r:id="rId15" w:history="1">
        <w:r w:rsidRPr="008D58F9">
          <w:rPr>
            <w:rStyle w:val="Hyperlink"/>
            <w:rFonts w:cs="Arial"/>
            <w:b/>
            <w:bCs/>
            <w:color w:val="FF6D3A" w:themeColor="accent1"/>
          </w:rPr>
          <w:t>RSV and pertussis vaccination</w:t>
        </w:r>
      </w:hyperlink>
      <w:r w:rsidRPr="00F86640">
        <w:rPr>
          <w:rFonts w:cs="Arial"/>
          <w:color w:val="auto"/>
        </w:rPr>
        <w:t xml:space="preserve"> in areas where vaccine uptake is low.</w:t>
      </w:r>
    </w:p>
    <w:p w14:paraId="40F31411" w14:textId="77777777" w:rsidR="000C36F2" w:rsidRPr="00FC2E97" w:rsidRDefault="000C36F2" w:rsidP="00EF3ECE">
      <w:pPr>
        <w:rPr>
          <w:b/>
          <w:bCs/>
          <w:color w:val="0072CE" w:themeColor="text1"/>
        </w:rPr>
      </w:pPr>
      <w:r w:rsidRPr="00FC2E97">
        <w:rPr>
          <w:b/>
          <w:bCs/>
          <w:color w:val="0072CE" w:themeColor="text1"/>
        </w:rPr>
        <w:t xml:space="preserve">Pharmacy Contraception Service </w:t>
      </w:r>
    </w:p>
    <w:p w14:paraId="4855A658" w14:textId="77777777" w:rsidR="000C36F2" w:rsidRPr="00F86640" w:rsidRDefault="000C36F2" w:rsidP="00EF3ECE">
      <w:pPr>
        <w:tabs>
          <w:tab w:val="left" w:pos="426"/>
        </w:tabs>
        <w:spacing w:after="0"/>
        <w:rPr>
          <w:rFonts w:cs="Arial"/>
          <w:color w:val="auto"/>
        </w:rPr>
      </w:pPr>
      <w:r w:rsidRPr="00F86640">
        <w:rPr>
          <w:rFonts w:cs="Arial"/>
          <w:color w:val="auto"/>
        </w:rPr>
        <w:t xml:space="preserve">The </w:t>
      </w:r>
      <w:hyperlink r:id="rId16" w:history="1">
        <w:r w:rsidRPr="00FC2E97">
          <w:rPr>
            <w:rStyle w:val="Hyperlink"/>
            <w:rFonts w:cs="Arial"/>
            <w:b/>
            <w:bCs/>
            <w:color w:val="FF6D3A" w:themeColor="accent1"/>
          </w:rPr>
          <w:t>Pharmacy Contraception Service</w:t>
        </w:r>
      </w:hyperlink>
      <w:r w:rsidRPr="00FC2E97">
        <w:rPr>
          <w:rFonts w:cs="Arial"/>
          <w:color w:val="FF6D3A" w:themeColor="accent1"/>
        </w:rPr>
        <w:t xml:space="preserve"> </w:t>
      </w:r>
      <w:r w:rsidRPr="00F86640">
        <w:rPr>
          <w:rFonts w:cs="Arial"/>
          <w:color w:val="auto"/>
        </w:rPr>
        <w:t>enables community pharmacy to help address health inequalities by providing wider access in their communities to oral emergency contraception and oral contraception, signposting service users into local sexual health services where further support is needed.</w:t>
      </w:r>
    </w:p>
    <w:p w14:paraId="311DB960" w14:textId="77777777" w:rsidR="000C36F2" w:rsidRPr="00F86640" w:rsidRDefault="000C36F2" w:rsidP="00EF3ECE">
      <w:pPr>
        <w:tabs>
          <w:tab w:val="left" w:pos="426"/>
        </w:tabs>
        <w:spacing w:after="0"/>
        <w:rPr>
          <w:rFonts w:cs="Arial"/>
          <w:color w:val="auto"/>
        </w:rPr>
      </w:pPr>
      <w:r w:rsidRPr="00F86640">
        <w:rPr>
          <w:rFonts w:cs="Arial"/>
          <w:color w:val="auto"/>
        </w:rPr>
        <w:t>The service aims to:</w:t>
      </w:r>
    </w:p>
    <w:p w14:paraId="5C5D53BE" w14:textId="77777777" w:rsidR="000C36F2" w:rsidRPr="00F86640" w:rsidRDefault="000C36F2" w:rsidP="00AD73DB">
      <w:pPr>
        <w:numPr>
          <w:ilvl w:val="0"/>
          <w:numId w:val="18"/>
        </w:numPr>
        <w:tabs>
          <w:tab w:val="clear" w:pos="720"/>
          <w:tab w:val="left" w:pos="426"/>
        </w:tabs>
        <w:spacing w:before="0" w:after="0"/>
        <w:ind w:left="850" w:hanging="425"/>
        <w:rPr>
          <w:rFonts w:cs="Arial"/>
          <w:color w:val="auto"/>
        </w:rPr>
      </w:pPr>
      <w:r w:rsidRPr="00F86640">
        <w:rPr>
          <w:rFonts w:cs="Arial"/>
          <w:color w:val="auto"/>
        </w:rPr>
        <w:t>Provide people with greater choice from where they can access contraception services when accessing oral emergency contraception,  considering starting contraception or continuing their current form of oral contraception by establishing an integrated pathway between existing services and community pharmacies; and</w:t>
      </w:r>
    </w:p>
    <w:p w14:paraId="03627EE3" w14:textId="77777777" w:rsidR="000C36F2" w:rsidRPr="00F86640" w:rsidRDefault="000C36F2" w:rsidP="00AD73DB">
      <w:pPr>
        <w:numPr>
          <w:ilvl w:val="0"/>
          <w:numId w:val="18"/>
        </w:numPr>
        <w:tabs>
          <w:tab w:val="clear" w:pos="720"/>
          <w:tab w:val="left" w:pos="426"/>
        </w:tabs>
        <w:spacing w:before="0" w:after="0"/>
        <w:ind w:left="850" w:hanging="425"/>
        <w:rPr>
          <w:rFonts w:cs="Arial"/>
          <w:color w:val="auto"/>
        </w:rPr>
      </w:pPr>
      <w:r w:rsidRPr="00F86640">
        <w:rPr>
          <w:rFonts w:cs="Arial"/>
          <w:color w:val="auto"/>
        </w:rPr>
        <w:t>Create extra capacity in primary care and sexual health clinics (or equivalent) to support meeting the demand for more complex assessments.</w:t>
      </w:r>
    </w:p>
    <w:p w14:paraId="4B6F1B11" w14:textId="77777777" w:rsidR="000C36F2" w:rsidRPr="000124D2" w:rsidRDefault="000C36F2" w:rsidP="00EF3ECE">
      <w:pPr>
        <w:rPr>
          <w:b/>
          <w:bCs/>
          <w:color w:val="0072CE" w:themeColor="text1"/>
        </w:rPr>
      </w:pPr>
      <w:r w:rsidRPr="000124D2">
        <w:rPr>
          <w:b/>
          <w:bCs/>
          <w:color w:val="0072CE" w:themeColor="text1"/>
        </w:rPr>
        <w:t xml:space="preserve">Locally Commissioned Services </w:t>
      </w:r>
    </w:p>
    <w:p w14:paraId="006E4282" w14:textId="77777777" w:rsidR="000C36F2" w:rsidRPr="00F86640" w:rsidRDefault="000C36F2" w:rsidP="00EF3ECE">
      <w:pPr>
        <w:rPr>
          <w:rFonts w:cs="Arial"/>
          <w:color w:val="auto"/>
        </w:rPr>
      </w:pPr>
      <w:r w:rsidRPr="00F86640">
        <w:rPr>
          <w:rFonts w:cs="Arial"/>
          <w:color w:val="auto"/>
        </w:rPr>
        <w:t xml:space="preserve">Other prevention and public health services may be commissioned locally by the Integrated Care Board (ICB) or local authority to address local needs.  </w:t>
      </w:r>
    </w:p>
    <w:p w14:paraId="34FE9556" w14:textId="10926BB2" w:rsidR="000C36F2" w:rsidRPr="000E40C9" w:rsidRDefault="000C36F2" w:rsidP="000E40C9">
      <w:pPr>
        <w:rPr>
          <w:rFonts w:cs="Arial"/>
          <w:b/>
          <w:bCs/>
          <w:color w:val="auto"/>
        </w:rPr>
      </w:pPr>
      <w:r w:rsidRPr="000124D2">
        <w:rPr>
          <w:rFonts w:cs="Arial"/>
          <w:b/>
          <w:bCs/>
          <w:color w:val="auto"/>
          <w:highlight w:val="yellow"/>
        </w:rPr>
        <w:t>[LPC to insert an overview of locally commissioned prevention services]</w:t>
      </w:r>
    </w:p>
    <w:p w14:paraId="25B3D4AE" w14:textId="77777777" w:rsidR="000C36F2" w:rsidRPr="000124D2" w:rsidRDefault="000C36F2" w:rsidP="00EF3ECE">
      <w:pPr>
        <w:rPr>
          <w:b/>
          <w:bCs/>
          <w:color w:val="0072CE" w:themeColor="text1"/>
        </w:rPr>
      </w:pPr>
      <w:r w:rsidRPr="000124D2">
        <w:rPr>
          <w:b/>
          <w:bCs/>
          <w:color w:val="0072CE" w:themeColor="text1"/>
        </w:rPr>
        <w:lastRenderedPageBreak/>
        <w:t>Healthy Living Pharmacy</w:t>
      </w:r>
    </w:p>
    <w:p w14:paraId="7EF2DD87" w14:textId="77777777" w:rsidR="000C36F2" w:rsidRPr="00F86640" w:rsidRDefault="000C36F2" w:rsidP="00EF3ECE">
      <w:pPr>
        <w:rPr>
          <w:rFonts w:cs="Arial"/>
          <w:b/>
          <w:bCs/>
          <w:color w:val="auto"/>
        </w:rPr>
      </w:pPr>
      <w:r w:rsidRPr="00F86640">
        <w:rPr>
          <w:rFonts w:cs="Arial"/>
          <w:color w:val="auto"/>
        </w:rPr>
        <w:t>All pharmacies in England have to meet the Health Living Pharmacy (HLP) requirements, which involve having a team focused on making every contact count (MECC), supporting people to make behavioural changes to improve their health and outreach activities in the local community. The HLP requirements and the nationally and locally commissioned public health services provide a strong foundation on which further locally commissioned prevention work could be undertaken in community pharmacies, subject to the provision of appropriate funding for this activity.</w:t>
      </w:r>
    </w:p>
    <w:p w14:paraId="46298315" w14:textId="6A4389E5" w:rsidR="000C36F2" w:rsidRPr="000958B8" w:rsidRDefault="000C36F2" w:rsidP="005D1090">
      <w:pPr>
        <w:pStyle w:val="ListParagraph"/>
        <w:numPr>
          <w:ilvl w:val="0"/>
          <w:numId w:val="23"/>
        </w:numPr>
        <w:ind w:left="284" w:hanging="284"/>
        <w:rPr>
          <w:rFonts w:ascii="DM Sans" w:hAnsi="DM Sans" w:cs="Arial"/>
          <w:b/>
          <w:bCs/>
          <w:color w:val="0072CE" w:themeColor="text1"/>
        </w:rPr>
      </w:pPr>
      <w:r w:rsidRPr="000958B8">
        <w:rPr>
          <w:rFonts w:ascii="DM Sans" w:hAnsi="DM Sans" w:cs="Arial"/>
          <w:b/>
          <w:bCs/>
          <w:color w:val="0072CE" w:themeColor="text1"/>
        </w:rPr>
        <w:t>Access to Medicines and Same-Day Care</w:t>
      </w:r>
    </w:p>
    <w:p w14:paraId="4196A89A" w14:textId="77777777" w:rsidR="000C36F2" w:rsidRPr="00F86640" w:rsidRDefault="000C36F2" w:rsidP="00EF3ECE">
      <w:pPr>
        <w:rPr>
          <w:rFonts w:cs="Arial"/>
          <w:color w:val="auto"/>
        </w:rPr>
      </w:pPr>
      <w:r w:rsidRPr="00F86640">
        <w:rPr>
          <w:rFonts w:cs="Arial"/>
          <w:color w:val="auto"/>
        </w:rPr>
        <w:t>Pharmacies help streamline access and reduce system burden through a number of different services.</w:t>
      </w:r>
    </w:p>
    <w:p w14:paraId="4BCEEBF8" w14:textId="77777777" w:rsidR="000C36F2" w:rsidRPr="000958B8" w:rsidRDefault="000C36F2" w:rsidP="00EF3ECE">
      <w:pPr>
        <w:rPr>
          <w:rFonts w:cstheme="minorBidi"/>
          <w:b/>
          <w:bCs/>
          <w:color w:val="0072CE" w:themeColor="text1"/>
        </w:rPr>
      </w:pPr>
      <w:r w:rsidRPr="000958B8">
        <w:rPr>
          <w:rFonts w:cstheme="minorBidi"/>
          <w:b/>
          <w:bCs/>
          <w:color w:val="0072CE" w:themeColor="text1"/>
        </w:rPr>
        <w:t>Dispensing and electronic Repeat Dispensing</w:t>
      </w:r>
    </w:p>
    <w:p w14:paraId="5C3F62A2" w14:textId="77777777" w:rsidR="000C36F2" w:rsidRPr="00F86640" w:rsidRDefault="000C36F2" w:rsidP="00EF3ECE">
      <w:pPr>
        <w:tabs>
          <w:tab w:val="left" w:pos="426"/>
        </w:tabs>
        <w:spacing w:after="0"/>
        <w:rPr>
          <w:rFonts w:cs="Arial"/>
          <w:color w:val="auto"/>
        </w:rPr>
      </w:pPr>
      <w:r w:rsidRPr="00F86640">
        <w:rPr>
          <w:rFonts w:cs="Arial"/>
          <w:color w:val="auto"/>
        </w:rPr>
        <w:t>Dispensing medicines and electronic repeat dispensing (</w:t>
      </w:r>
      <w:proofErr w:type="spellStart"/>
      <w:r w:rsidRPr="00F86640">
        <w:rPr>
          <w:rFonts w:cs="Arial"/>
          <w:color w:val="auto"/>
        </w:rPr>
        <w:t>eRD</w:t>
      </w:r>
      <w:proofErr w:type="spellEnd"/>
      <w:r w:rsidRPr="00F86640">
        <w:rPr>
          <w:rFonts w:cs="Arial"/>
          <w:color w:val="auto"/>
        </w:rPr>
        <w:t>) are two of the Essential Services that must be provided by all pharmacies as part of the NHS CPCF.</w:t>
      </w:r>
    </w:p>
    <w:p w14:paraId="51DB05F6" w14:textId="77777777" w:rsidR="000C36F2" w:rsidRPr="00F86640" w:rsidRDefault="000C36F2" w:rsidP="000C36F2">
      <w:pPr>
        <w:tabs>
          <w:tab w:val="left" w:pos="426"/>
        </w:tabs>
        <w:spacing w:after="0"/>
        <w:rPr>
          <w:rFonts w:cs="Arial"/>
          <w:color w:val="auto"/>
        </w:rPr>
      </w:pPr>
      <w:r w:rsidRPr="00F86640">
        <w:rPr>
          <w:rFonts w:cs="Arial"/>
          <w:color w:val="auto"/>
        </w:rPr>
        <w:t xml:space="preserve">The dispensing service ensures the supply of medicines ordered on NHS prescriptions, together with information and advice to enable safe and effective use by patients and carers, and maintenance of appropriate records.  </w:t>
      </w:r>
    </w:p>
    <w:p w14:paraId="13BEDF59" w14:textId="77777777" w:rsidR="000C36F2" w:rsidRPr="00F86640" w:rsidRDefault="000C36F2" w:rsidP="000C36F2">
      <w:pPr>
        <w:tabs>
          <w:tab w:val="left" w:pos="426"/>
        </w:tabs>
        <w:spacing w:after="0"/>
        <w:rPr>
          <w:rFonts w:cs="Arial"/>
          <w:color w:val="auto"/>
        </w:rPr>
      </w:pPr>
      <w:r w:rsidRPr="00F86640">
        <w:rPr>
          <w:rFonts w:cs="Arial"/>
          <w:color w:val="auto"/>
        </w:rPr>
        <w:t>Community pharmacies are required to perform appropriate legal, clinical and accuracy checks and have safe systems of operation in line with clinical governance requirements. Advice to patients is an important element of this service ensuring information on the safe use of prescribed medicines is provided in addition to broader advice on possible side effects and interactions.</w:t>
      </w:r>
    </w:p>
    <w:p w14:paraId="1C3DE0F8" w14:textId="77777777" w:rsidR="000C36F2" w:rsidRPr="00F86640" w:rsidRDefault="000C36F2" w:rsidP="000C36F2">
      <w:pPr>
        <w:tabs>
          <w:tab w:val="left" w:pos="426"/>
        </w:tabs>
        <w:spacing w:after="0"/>
        <w:rPr>
          <w:rFonts w:cs="Arial"/>
          <w:color w:val="auto"/>
        </w:rPr>
      </w:pPr>
      <w:r w:rsidRPr="00F86640">
        <w:rPr>
          <w:rFonts w:cs="Arial"/>
          <w:color w:val="auto"/>
        </w:rPr>
        <w:t xml:space="preserve">At least two thirds of all prescriptions generated in primary care are for patients needing repeat supplies of regular medicines. Patients using the </w:t>
      </w:r>
      <w:proofErr w:type="spellStart"/>
      <w:r w:rsidRPr="00F86640">
        <w:rPr>
          <w:rFonts w:cs="Arial"/>
          <w:color w:val="auto"/>
        </w:rPr>
        <w:t>eRD</w:t>
      </w:r>
      <w:proofErr w:type="spellEnd"/>
      <w:r w:rsidRPr="00F86640">
        <w:rPr>
          <w:rFonts w:cs="Arial"/>
          <w:color w:val="auto"/>
        </w:rPr>
        <w:t xml:space="preserve"> service obtain repeat supplies of NHS prescriptions without the need for their GP practice to issue a prescription each time a supply is required.</w:t>
      </w:r>
    </w:p>
    <w:p w14:paraId="62050D8A" w14:textId="77777777" w:rsidR="000C36F2" w:rsidRPr="00F86640" w:rsidRDefault="000C36F2" w:rsidP="000C36F2">
      <w:pPr>
        <w:tabs>
          <w:tab w:val="left" w:pos="426"/>
        </w:tabs>
        <w:spacing w:after="0"/>
        <w:rPr>
          <w:rFonts w:cs="Arial"/>
          <w:color w:val="auto"/>
        </w:rPr>
      </w:pPr>
      <w:r w:rsidRPr="00F86640">
        <w:rPr>
          <w:rFonts w:cs="Arial"/>
          <w:color w:val="auto"/>
        </w:rPr>
        <w:t>The service was designed to save GP practices and patients time and improve convenience and access to prescriptions, by allowing community pharmacy teams to take a more active role in the process of safe supply of patients’ regular prescriptions.</w:t>
      </w:r>
    </w:p>
    <w:p w14:paraId="76E55978" w14:textId="77777777" w:rsidR="000C36F2" w:rsidRPr="00F86640" w:rsidRDefault="000C36F2" w:rsidP="000C36F2">
      <w:pPr>
        <w:tabs>
          <w:tab w:val="left" w:pos="426"/>
        </w:tabs>
        <w:spacing w:after="0"/>
        <w:rPr>
          <w:rFonts w:cs="Arial"/>
          <w:color w:val="auto"/>
        </w:rPr>
      </w:pPr>
    </w:p>
    <w:p w14:paraId="57A657D7" w14:textId="77777777" w:rsidR="000C36F2" w:rsidRPr="00F86640" w:rsidRDefault="000C36F2" w:rsidP="000C36F2">
      <w:pPr>
        <w:tabs>
          <w:tab w:val="left" w:pos="426"/>
        </w:tabs>
        <w:spacing w:after="0"/>
        <w:rPr>
          <w:rFonts w:cs="Arial"/>
          <w:color w:val="auto"/>
        </w:rPr>
      </w:pPr>
      <w:r w:rsidRPr="00F86640">
        <w:rPr>
          <w:rFonts w:cs="Arial"/>
          <w:color w:val="auto"/>
        </w:rPr>
        <w:lastRenderedPageBreak/>
        <w:t>Under the electronic repeat dispensing service, pharmacy teams will:</w:t>
      </w:r>
    </w:p>
    <w:p w14:paraId="33225AA4" w14:textId="77777777" w:rsidR="000C36F2" w:rsidRPr="000958B8" w:rsidRDefault="000C36F2" w:rsidP="00AD73DB">
      <w:pPr>
        <w:pStyle w:val="ListParagraph"/>
        <w:numPr>
          <w:ilvl w:val="0"/>
          <w:numId w:val="19"/>
        </w:numPr>
        <w:tabs>
          <w:tab w:val="left" w:pos="426"/>
        </w:tabs>
        <w:spacing w:after="0" w:line="336" w:lineRule="auto"/>
        <w:ind w:left="714" w:hanging="357"/>
        <w:rPr>
          <w:rFonts w:ascii="DM Sans" w:hAnsi="DM Sans" w:cs="Arial"/>
          <w:sz w:val="22"/>
          <w:szCs w:val="22"/>
        </w:rPr>
      </w:pPr>
      <w:r w:rsidRPr="000958B8">
        <w:rPr>
          <w:rFonts w:ascii="DM Sans" w:hAnsi="DM Sans" w:cs="Arial"/>
          <w:sz w:val="22"/>
          <w:szCs w:val="22"/>
        </w:rPr>
        <w:t>Dispense repeat dispensing prescriptions issued by a general practice;</w:t>
      </w:r>
    </w:p>
    <w:p w14:paraId="47FC0C89" w14:textId="77777777" w:rsidR="000C36F2" w:rsidRPr="000958B8" w:rsidRDefault="000C36F2" w:rsidP="00AD73DB">
      <w:pPr>
        <w:pStyle w:val="ListParagraph"/>
        <w:numPr>
          <w:ilvl w:val="0"/>
          <w:numId w:val="19"/>
        </w:numPr>
        <w:tabs>
          <w:tab w:val="left" w:pos="426"/>
        </w:tabs>
        <w:spacing w:after="0" w:line="336" w:lineRule="auto"/>
        <w:ind w:left="714" w:hanging="357"/>
        <w:rPr>
          <w:rFonts w:ascii="DM Sans" w:hAnsi="DM Sans" w:cs="Arial"/>
          <w:sz w:val="22"/>
          <w:szCs w:val="22"/>
        </w:rPr>
      </w:pPr>
      <w:r w:rsidRPr="000958B8">
        <w:rPr>
          <w:rFonts w:ascii="DM Sans" w:hAnsi="DM Sans" w:cs="Arial"/>
          <w:sz w:val="22"/>
          <w:szCs w:val="22"/>
        </w:rPr>
        <w:t>Ensure that each repeat supply is required; and</w:t>
      </w:r>
    </w:p>
    <w:p w14:paraId="2B79BE22" w14:textId="77777777" w:rsidR="000C36F2" w:rsidRPr="000958B8" w:rsidRDefault="000C36F2" w:rsidP="00AD73DB">
      <w:pPr>
        <w:pStyle w:val="ListParagraph"/>
        <w:numPr>
          <w:ilvl w:val="0"/>
          <w:numId w:val="19"/>
        </w:numPr>
        <w:tabs>
          <w:tab w:val="left" w:pos="426"/>
        </w:tabs>
        <w:spacing w:after="0" w:line="336" w:lineRule="auto"/>
        <w:ind w:left="714" w:hanging="357"/>
        <w:rPr>
          <w:rFonts w:ascii="DM Sans" w:hAnsi="DM Sans" w:cs="Arial"/>
          <w:sz w:val="22"/>
          <w:szCs w:val="22"/>
        </w:rPr>
      </w:pPr>
      <w:r w:rsidRPr="000958B8">
        <w:rPr>
          <w:rFonts w:ascii="DM Sans" w:hAnsi="DM Sans" w:cs="Arial"/>
          <w:sz w:val="22"/>
          <w:szCs w:val="22"/>
        </w:rPr>
        <w:t>Seek to ascertain that there is no reason why the patient should be referred back to their general practice.</w:t>
      </w:r>
    </w:p>
    <w:p w14:paraId="60B77D97" w14:textId="77777777" w:rsidR="000C36F2" w:rsidRPr="000958B8" w:rsidRDefault="000C36F2" w:rsidP="000C36F2">
      <w:pPr>
        <w:rPr>
          <w:rFonts w:cs="Arial"/>
          <w:b/>
          <w:bCs/>
          <w:color w:val="0072CE" w:themeColor="text1"/>
        </w:rPr>
      </w:pPr>
      <w:r w:rsidRPr="000958B8">
        <w:rPr>
          <w:rFonts w:cs="Arial"/>
          <w:b/>
          <w:bCs/>
          <w:color w:val="0072CE" w:themeColor="text1"/>
        </w:rPr>
        <w:t xml:space="preserve">Pharmacy First </w:t>
      </w:r>
    </w:p>
    <w:p w14:paraId="7A5A0110" w14:textId="40321FB3" w:rsidR="000C36F2" w:rsidRPr="00F86640" w:rsidRDefault="000C36F2" w:rsidP="000C36F2">
      <w:pPr>
        <w:tabs>
          <w:tab w:val="left" w:pos="426"/>
        </w:tabs>
        <w:spacing w:after="0"/>
        <w:rPr>
          <w:rFonts w:cs="Arial"/>
          <w:color w:val="auto"/>
        </w:rPr>
      </w:pPr>
      <w:r w:rsidRPr="00F86640">
        <w:rPr>
          <w:rFonts w:cs="Arial"/>
          <w:color w:val="auto"/>
        </w:rPr>
        <w:t>Introduced on 31st January 2024,</w:t>
      </w:r>
      <w:r w:rsidR="000A16C3">
        <w:rPr>
          <w:rFonts w:cs="Arial"/>
          <w:color w:val="auto"/>
        </w:rPr>
        <w:t xml:space="preserve"> the</w:t>
      </w:r>
      <w:r w:rsidRPr="00F86640">
        <w:rPr>
          <w:rFonts w:cs="Arial"/>
          <w:color w:val="auto"/>
        </w:rPr>
        <w:t xml:space="preserve"> </w:t>
      </w:r>
      <w:hyperlink r:id="rId17" w:history="1">
        <w:r w:rsidRPr="000A16C3">
          <w:rPr>
            <w:rStyle w:val="Hyperlink"/>
            <w:rFonts w:cs="Arial"/>
            <w:b/>
            <w:bCs/>
          </w:rPr>
          <w:t xml:space="preserve"> Pharmacy First service</w:t>
        </w:r>
      </w:hyperlink>
      <w:r w:rsidRPr="00F86640">
        <w:rPr>
          <w:rFonts w:cs="Arial"/>
          <w:color w:val="auto"/>
        </w:rPr>
        <w:t xml:space="preserve"> built on the previous Community Pharmacist Consultation Service (CPCS), which allowed GPs and other settings to electronically refer patients directly to pharmacies for minor illness consultations.</w:t>
      </w:r>
    </w:p>
    <w:p w14:paraId="7B22E2EB" w14:textId="77777777" w:rsidR="000C36F2" w:rsidRPr="00F86640" w:rsidRDefault="000C36F2" w:rsidP="000C36F2">
      <w:pPr>
        <w:tabs>
          <w:tab w:val="left" w:pos="426"/>
        </w:tabs>
        <w:spacing w:after="0"/>
        <w:rPr>
          <w:rFonts w:cs="Arial"/>
          <w:color w:val="auto"/>
        </w:rPr>
      </w:pPr>
      <w:r w:rsidRPr="00F86640">
        <w:rPr>
          <w:rFonts w:cs="Arial"/>
          <w:color w:val="auto"/>
        </w:rPr>
        <w:t>Expanding on the work they had already been doing as part of CPCS, community pharmacists can supply an NHS medicine, if clinically appropriate, for sinusitis; sore throat; acute otitis media; infected insect bites; impetigo; shingles; and uncomplicated urinary tract infections (UTIs) in women (age restrictions apply), as well as still see patients with other minor illnesses who are electronically referred to them.</w:t>
      </w:r>
    </w:p>
    <w:p w14:paraId="306A6D99" w14:textId="77777777" w:rsidR="000C36F2" w:rsidRPr="00F86640" w:rsidRDefault="000C36F2" w:rsidP="000C36F2">
      <w:pPr>
        <w:tabs>
          <w:tab w:val="left" w:pos="426"/>
        </w:tabs>
        <w:spacing w:after="0"/>
        <w:rPr>
          <w:rFonts w:cs="Arial"/>
          <w:color w:val="auto"/>
        </w:rPr>
      </w:pPr>
      <w:r w:rsidRPr="00F86640">
        <w:rPr>
          <w:rFonts w:cs="Arial"/>
          <w:color w:val="auto"/>
        </w:rPr>
        <w:t>The Pharmacy First service is an optional service, but over 95% of pharmacies have signed up to offer it.</w:t>
      </w:r>
    </w:p>
    <w:p w14:paraId="2CA9A3B2" w14:textId="77777777" w:rsidR="000C36F2" w:rsidRPr="00F86640" w:rsidRDefault="000C36F2" w:rsidP="000C36F2">
      <w:pPr>
        <w:tabs>
          <w:tab w:val="left" w:pos="426"/>
        </w:tabs>
        <w:spacing w:after="0"/>
        <w:rPr>
          <w:rFonts w:cs="Arial"/>
          <w:color w:val="auto"/>
        </w:rPr>
      </w:pPr>
      <w:r w:rsidRPr="00F86640">
        <w:rPr>
          <w:rFonts w:cs="Arial"/>
          <w:color w:val="auto"/>
        </w:rPr>
        <w:t>The service is part of a wider expansion of pharmacy services to support the Primary Care Access Recovery Plan to improve access to healthcare whilst simultaneously reducing pressure on other parts of the NHS.</w:t>
      </w:r>
    </w:p>
    <w:p w14:paraId="41411709" w14:textId="77777777" w:rsidR="000C36F2" w:rsidRPr="00DB1621" w:rsidRDefault="000C36F2" w:rsidP="000C36F2">
      <w:pPr>
        <w:rPr>
          <w:rFonts w:cs="Arial"/>
          <w:b/>
          <w:bCs/>
          <w:color w:val="0072CE" w:themeColor="text1"/>
        </w:rPr>
      </w:pPr>
      <w:r w:rsidRPr="00DB1621">
        <w:rPr>
          <w:rFonts w:cs="Arial"/>
          <w:b/>
          <w:bCs/>
          <w:color w:val="0072CE" w:themeColor="text1"/>
        </w:rPr>
        <w:t>Prescribing</w:t>
      </w:r>
    </w:p>
    <w:p w14:paraId="791D9680" w14:textId="77777777" w:rsidR="000C36F2" w:rsidRPr="00F86640" w:rsidRDefault="000C36F2" w:rsidP="000C36F2">
      <w:pPr>
        <w:tabs>
          <w:tab w:val="left" w:pos="426"/>
        </w:tabs>
        <w:spacing w:after="0"/>
        <w:rPr>
          <w:rFonts w:cs="Arial"/>
          <w:color w:val="auto"/>
        </w:rPr>
      </w:pPr>
      <w:r w:rsidRPr="00F86640">
        <w:rPr>
          <w:rFonts w:cs="Arial"/>
          <w:color w:val="auto"/>
        </w:rPr>
        <w:t xml:space="preserve">Independent prescribing in community pharmacy allows pharmacists to prescribe medications autonomously within their clinical competence, improving patient access to care and supporting the health system. This role is expanding in the NHS, with all newly qualified pharmacists set to become independent prescribers from 2026. </w:t>
      </w:r>
    </w:p>
    <w:p w14:paraId="151898FD" w14:textId="77777777" w:rsidR="000C36F2" w:rsidRPr="00F86640" w:rsidRDefault="000C36F2" w:rsidP="000C36F2">
      <w:pPr>
        <w:tabs>
          <w:tab w:val="left" w:pos="426"/>
        </w:tabs>
        <w:spacing w:after="0"/>
        <w:rPr>
          <w:rFonts w:cs="Arial"/>
          <w:color w:val="auto"/>
        </w:rPr>
      </w:pPr>
      <w:r w:rsidRPr="00F86640">
        <w:rPr>
          <w:rFonts w:cs="Arial"/>
          <w:color w:val="auto"/>
        </w:rPr>
        <w:t>A pathfinder programme is underway to integrate this service into community pharmacy settings and test a range of different service models covering acute and long-term condition care. The pathfinder programme is currently live in just over 200 pharmacies across England.  It is currently led by NHS England, but responsibility will shift to ICBs from January 2026.</w:t>
      </w:r>
    </w:p>
    <w:p w14:paraId="204E48E6" w14:textId="77777777" w:rsidR="000C36F2" w:rsidRPr="00DB1621" w:rsidRDefault="000C36F2" w:rsidP="000C36F2">
      <w:pPr>
        <w:rPr>
          <w:rFonts w:cs="Arial"/>
          <w:b/>
          <w:bCs/>
          <w:color w:val="0072CE" w:themeColor="text1"/>
        </w:rPr>
      </w:pPr>
      <w:r w:rsidRPr="00DB1621">
        <w:rPr>
          <w:rFonts w:cs="Arial"/>
          <w:b/>
          <w:bCs/>
          <w:color w:val="0072CE" w:themeColor="text1"/>
        </w:rPr>
        <w:t>Palliative and End-of-Life Support</w:t>
      </w:r>
    </w:p>
    <w:p w14:paraId="764F5AD2" w14:textId="77777777" w:rsidR="000C36F2" w:rsidRPr="00F86640" w:rsidRDefault="000C36F2" w:rsidP="000C36F2">
      <w:pPr>
        <w:tabs>
          <w:tab w:val="left" w:pos="426"/>
        </w:tabs>
        <w:spacing w:after="0"/>
        <w:rPr>
          <w:rStyle w:val="uv3um"/>
          <w:rFonts w:cs="Arial"/>
          <w:color w:val="auto"/>
          <w:shd w:val="clear" w:color="auto" w:fill="FFFFFF"/>
        </w:rPr>
      </w:pPr>
      <w:r w:rsidRPr="00F86640">
        <w:rPr>
          <w:rFonts w:cs="Arial"/>
          <w:color w:val="auto"/>
          <w:shd w:val="clear" w:color="auto" w:fill="FFFFFF"/>
        </w:rPr>
        <w:t xml:space="preserve">Community pharmacies provide palliative and end of life care services through stocking essential medicines, offering advice to patients, carers and healthcare professionals, and </w:t>
      </w:r>
      <w:r w:rsidRPr="00F86640">
        <w:rPr>
          <w:rFonts w:cs="Arial"/>
          <w:color w:val="auto"/>
          <w:shd w:val="clear" w:color="auto" w:fill="FFFFFF"/>
        </w:rPr>
        <w:lastRenderedPageBreak/>
        <w:t>ensuring rapid access to medication upon receipt of a prescription. Working with GPs, nurses and other healthcare providers, community pharmacists support coordinated care for patients. Locally remunerated services and national incentive schemes often fund them to guarantee support for patients who wish to be cared for at home, rather than moving to a care setting.</w:t>
      </w:r>
      <w:r w:rsidRPr="00F86640">
        <w:rPr>
          <w:rStyle w:val="uv3um"/>
          <w:rFonts w:cs="Arial"/>
          <w:color w:val="auto"/>
          <w:shd w:val="clear" w:color="auto" w:fill="FFFFFF"/>
        </w:rPr>
        <w:t> </w:t>
      </w:r>
    </w:p>
    <w:p w14:paraId="31FCAAEF" w14:textId="77777777" w:rsidR="000C36F2" w:rsidRPr="00DB1621" w:rsidRDefault="000C36F2" w:rsidP="000C36F2">
      <w:pPr>
        <w:rPr>
          <w:rFonts w:cs="Arial"/>
          <w:b/>
          <w:bCs/>
          <w:color w:val="0072CE" w:themeColor="text1"/>
        </w:rPr>
      </w:pPr>
      <w:r w:rsidRPr="00DB1621">
        <w:rPr>
          <w:rFonts w:cs="Arial"/>
          <w:b/>
          <w:bCs/>
          <w:color w:val="0072CE" w:themeColor="text1"/>
        </w:rPr>
        <w:t>Self-Care and OTC Support</w:t>
      </w:r>
    </w:p>
    <w:p w14:paraId="45366F96" w14:textId="77777777" w:rsidR="000C36F2" w:rsidRPr="00F86640" w:rsidRDefault="000C36F2" w:rsidP="000C36F2">
      <w:pPr>
        <w:spacing w:before="100" w:beforeAutospacing="1" w:after="100" w:afterAutospacing="1"/>
        <w:jc w:val="both"/>
        <w:rPr>
          <w:rFonts w:eastAsia="Times New Roman" w:cs="Arial"/>
          <w:color w:val="auto"/>
          <w:lang w:eastAsia="en-GB"/>
        </w:rPr>
      </w:pPr>
      <w:r w:rsidRPr="00F86640">
        <w:rPr>
          <w:rFonts w:eastAsia="Times New Roman" w:cs="Arial"/>
          <w:color w:val="auto"/>
          <w:lang w:eastAsia="en-GB"/>
        </w:rPr>
        <w:t>Pharmacies will help manage minor ailments and common conditions, by the provision of advice and where appropriate, the sale of over the counter (OTC) medicines, including dealing with referrals from NHS 111. Records will be kept where the pharmacist considers it relevant to the care of the patient.</w:t>
      </w:r>
    </w:p>
    <w:p w14:paraId="5463A263" w14:textId="4D4581AB" w:rsidR="000C36F2" w:rsidRPr="00DB1621" w:rsidRDefault="000C36F2" w:rsidP="00DB1621">
      <w:pPr>
        <w:pStyle w:val="ListParagraph"/>
        <w:numPr>
          <w:ilvl w:val="0"/>
          <w:numId w:val="23"/>
        </w:numPr>
        <w:ind w:left="284" w:hanging="284"/>
        <w:rPr>
          <w:rFonts w:ascii="DM Sans" w:hAnsi="DM Sans" w:cs="Arial"/>
          <w:b/>
          <w:bCs/>
          <w:color w:val="0072CE" w:themeColor="text1"/>
        </w:rPr>
      </w:pPr>
      <w:r w:rsidRPr="00DB1621">
        <w:rPr>
          <w:rFonts w:ascii="DM Sans" w:hAnsi="DM Sans" w:cs="Arial"/>
          <w:b/>
          <w:bCs/>
          <w:color w:val="0072CE" w:themeColor="text1"/>
        </w:rPr>
        <w:t>Living Well with Medicines</w:t>
      </w:r>
    </w:p>
    <w:p w14:paraId="0D598217" w14:textId="77777777" w:rsidR="000C36F2" w:rsidRPr="00F86640" w:rsidRDefault="000C36F2" w:rsidP="000C36F2">
      <w:pPr>
        <w:tabs>
          <w:tab w:val="left" w:pos="426"/>
        </w:tabs>
        <w:spacing w:after="0"/>
        <w:rPr>
          <w:rFonts w:cs="Arial"/>
          <w:color w:val="auto"/>
        </w:rPr>
      </w:pPr>
      <w:r w:rsidRPr="00F86640">
        <w:rPr>
          <w:rFonts w:cs="Arial"/>
          <w:color w:val="auto"/>
        </w:rPr>
        <w:t>Nationally, community pharmacies support 200,000 people each month starting newly prescribed medicines through the New Medicine Service (NMS) and 8,000 people each month following medicine adjustments after discharge from hospital via the Discharge Medicines Service (DMS), helping to reduce readmissions. Community pharmacy’s role in the purchasing and safe supply of medicines also has a contributory factor to UK medicine spend being 16% lower per capita than the OECD average.</w:t>
      </w:r>
    </w:p>
    <w:p w14:paraId="643C3AE0" w14:textId="77777777" w:rsidR="000C36F2" w:rsidRPr="00DB1621" w:rsidRDefault="000C36F2" w:rsidP="00DB1621">
      <w:pPr>
        <w:rPr>
          <w:rFonts w:cs="Arial"/>
          <w:b/>
          <w:bCs/>
          <w:color w:val="0072CE" w:themeColor="text1"/>
        </w:rPr>
      </w:pPr>
      <w:r w:rsidRPr="00DB1621">
        <w:rPr>
          <w:rFonts w:cs="Arial"/>
          <w:b/>
          <w:bCs/>
          <w:color w:val="0072CE" w:themeColor="text1"/>
        </w:rPr>
        <w:t>New Medicine Service</w:t>
      </w:r>
    </w:p>
    <w:p w14:paraId="52E90ADF" w14:textId="77777777" w:rsidR="000C36F2" w:rsidRPr="00F86640" w:rsidRDefault="000C36F2" w:rsidP="000C36F2">
      <w:pPr>
        <w:tabs>
          <w:tab w:val="left" w:pos="426"/>
        </w:tabs>
        <w:spacing w:after="0"/>
        <w:rPr>
          <w:rFonts w:cs="Arial"/>
          <w:color w:val="auto"/>
        </w:rPr>
      </w:pPr>
      <w:hyperlink r:id="rId18" w:history="1">
        <w:r w:rsidRPr="00DB1621">
          <w:rPr>
            <w:rStyle w:val="Hyperlink"/>
            <w:rFonts w:cs="Arial"/>
            <w:b/>
            <w:bCs/>
            <w:color w:val="FF6D3A" w:themeColor="accent1"/>
          </w:rPr>
          <w:t>NMS</w:t>
        </w:r>
      </w:hyperlink>
      <w:r w:rsidRPr="00F86640">
        <w:rPr>
          <w:rFonts w:cs="Arial"/>
          <w:color w:val="auto"/>
        </w:rPr>
        <w:t xml:space="preserve"> provides support for people with long-term conditions newly prescribed a medicine to help improve medicines adherence and enhance self-management of their long-term condition (LTC); it is focused on </w:t>
      </w:r>
      <w:hyperlink r:id="rId19" w:history="1">
        <w:r w:rsidRPr="00DB1621">
          <w:rPr>
            <w:rStyle w:val="Hyperlink"/>
            <w:rFonts w:cs="Arial"/>
            <w:b/>
            <w:bCs/>
            <w:color w:val="FF6D3A" w:themeColor="accent1"/>
          </w:rPr>
          <w:t>specific long-term conditions</w:t>
        </w:r>
      </w:hyperlink>
      <w:r w:rsidRPr="00F86640">
        <w:rPr>
          <w:rFonts w:cs="Arial"/>
          <w:color w:val="auto"/>
        </w:rPr>
        <w:t>.</w:t>
      </w:r>
    </w:p>
    <w:p w14:paraId="74358D73" w14:textId="77777777" w:rsidR="000C36F2" w:rsidRPr="00F86640" w:rsidRDefault="000C36F2" w:rsidP="000C36F2">
      <w:pPr>
        <w:tabs>
          <w:tab w:val="left" w:pos="426"/>
        </w:tabs>
        <w:spacing w:after="0"/>
        <w:rPr>
          <w:rFonts w:cs="Arial"/>
          <w:color w:val="auto"/>
        </w:rPr>
      </w:pPr>
      <w:r w:rsidRPr="00F86640">
        <w:rPr>
          <w:rFonts w:cs="Arial"/>
          <w:color w:val="auto"/>
        </w:rPr>
        <w:t>The service aims to:</w:t>
      </w:r>
    </w:p>
    <w:p w14:paraId="45807A3A" w14:textId="77777777" w:rsidR="000C36F2" w:rsidRPr="00DB1621" w:rsidRDefault="000C36F2" w:rsidP="00AD73DB">
      <w:pPr>
        <w:pStyle w:val="ListParagraph"/>
        <w:numPr>
          <w:ilvl w:val="0"/>
          <w:numId w:val="21"/>
        </w:numPr>
        <w:tabs>
          <w:tab w:val="left" w:pos="426"/>
        </w:tabs>
        <w:spacing w:after="0" w:line="336" w:lineRule="auto"/>
        <w:ind w:left="777" w:hanging="357"/>
        <w:rPr>
          <w:rFonts w:ascii="DM Sans" w:hAnsi="DM Sans" w:cs="Arial"/>
          <w:sz w:val="22"/>
          <w:szCs w:val="22"/>
        </w:rPr>
      </w:pPr>
      <w:r w:rsidRPr="00DB1621">
        <w:rPr>
          <w:rFonts w:ascii="DM Sans" w:hAnsi="DM Sans" w:cs="Arial"/>
          <w:sz w:val="22"/>
          <w:szCs w:val="22"/>
        </w:rPr>
        <w:t>Help patients and carers manage newly prescribed medicines for an LTC, supporting patients to make shared decisions about their LTC;</w:t>
      </w:r>
    </w:p>
    <w:p w14:paraId="6CDDC9E0" w14:textId="77777777" w:rsidR="000C36F2" w:rsidRPr="00DB1621" w:rsidRDefault="000C36F2" w:rsidP="00AD73DB">
      <w:pPr>
        <w:pStyle w:val="ListParagraph"/>
        <w:numPr>
          <w:ilvl w:val="0"/>
          <w:numId w:val="21"/>
        </w:numPr>
        <w:tabs>
          <w:tab w:val="left" w:pos="426"/>
        </w:tabs>
        <w:spacing w:after="0" w:line="336" w:lineRule="auto"/>
        <w:ind w:left="777" w:hanging="357"/>
        <w:rPr>
          <w:rFonts w:ascii="DM Sans" w:hAnsi="DM Sans" w:cs="Arial"/>
          <w:sz w:val="22"/>
          <w:szCs w:val="22"/>
        </w:rPr>
      </w:pPr>
      <w:r w:rsidRPr="00DB1621">
        <w:rPr>
          <w:rFonts w:ascii="DM Sans" w:hAnsi="DM Sans" w:cs="Arial"/>
          <w:sz w:val="22"/>
          <w:szCs w:val="22"/>
        </w:rPr>
        <w:t>Increase patient adherence to treatment and consequently reduce medicines wastage;</w:t>
      </w:r>
    </w:p>
    <w:p w14:paraId="1396892B" w14:textId="77777777" w:rsidR="000C36F2" w:rsidRPr="00DB1621" w:rsidRDefault="000C36F2" w:rsidP="00AD73DB">
      <w:pPr>
        <w:pStyle w:val="ListParagraph"/>
        <w:numPr>
          <w:ilvl w:val="0"/>
          <w:numId w:val="21"/>
        </w:numPr>
        <w:tabs>
          <w:tab w:val="left" w:pos="426"/>
        </w:tabs>
        <w:spacing w:after="0" w:line="336" w:lineRule="auto"/>
        <w:ind w:left="777" w:hanging="357"/>
        <w:rPr>
          <w:rFonts w:ascii="DM Sans" w:hAnsi="DM Sans" w:cs="Arial"/>
          <w:sz w:val="22"/>
          <w:szCs w:val="22"/>
        </w:rPr>
      </w:pPr>
      <w:r w:rsidRPr="00DB1621">
        <w:rPr>
          <w:rFonts w:ascii="DM Sans" w:hAnsi="DM Sans" w:cs="Arial"/>
          <w:sz w:val="22"/>
          <w:szCs w:val="22"/>
        </w:rPr>
        <w:t>Supplement and reinforce information provided by the prescriber, PCN clinical pharmacist and GP practice staff to help patients make informed choices about their care;</w:t>
      </w:r>
    </w:p>
    <w:p w14:paraId="1118F497" w14:textId="77777777" w:rsidR="000C36F2" w:rsidRPr="00DB1621" w:rsidRDefault="000C36F2" w:rsidP="00AD73DB">
      <w:pPr>
        <w:pStyle w:val="ListParagraph"/>
        <w:numPr>
          <w:ilvl w:val="0"/>
          <w:numId w:val="21"/>
        </w:numPr>
        <w:tabs>
          <w:tab w:val="left" w:pos="426"/>
        </w:tabs>
        <w:spacing w:after="0" w:line="336" w:lineRule="auto"/>
        <w:ind w:left="777" w:hanging="357"/>
        <w:rPr>
          <w:rFonts w:ascii="DM Sans" w:hAnsi="DM Sans" w:cs="Arial"/>
          <w:sz w:val="22"/>
          <w:szCs w:val="22"/>
        </w:rPr>
      </w:pPr>
      <w:r w:rsidRPr="00DB1621">
        <w:rPr>
          <w:rFonts w:ascii="DM Sans" w:hAnsi="DM Sans" w:cs="Arial"/>
          <w:sz w:val="22"/>
          <w:szCs w:val="22"/>
        </w:rPr>
        <w:t>Promote multidisciplinary working and integration with the patient’s GP practice and other health professionals involved in the patient’s care;</w:t>
      </w:r>
    </w:p>
    <w:p w14:paraId="056C00A7" w14:textId="77777777" w:rsidR="000C36F2" w:rsidRPr="00DB1621" w:rsidRDefault="000C36F2" w:rsidP="00AD73DB">
      <w:pPr>
        <w:pStyle w:val="ListParagraph"/>
        <w:numPr>
          <w:ilvl w:val="0"/>
          <w:numId w:val="21"/>
        </w:numPr>
        <w:tabs>
          <w:tab w:val="left" w:pos="426"/>
        </w:tabs>
        <w:spacing w:after="0" w:line="336" w:lineRule="auto"/>
        <w:ind w:left="777" w:hanging="357"/>
        <w:rPr>
          <w:rFonts w:ascii="DM Sans" w:hAnsi="DM Sans" w:cs="Arial"/>
          <w:sz w:val="22"/>
          <w:szCs w:val="22"/>
        </w:rPr>
      </w:pPr>
      <w:r w:rsidRPr="00DB1621">
        <w:rPr>
          <w:rFonts w:ascii="DM Sans" w:hAnsi="DM Sans" w:cs="Arial"/>
          <w:sz w:val="22"/>
          <w:szCs w:val="22"/>
        </w:rPr>
        <w:lastRenderedPageBreak/>
        <w:t>Enable the early identification of issues with newly prescribed medicines (e.g. adverse drug reactions or medicines usage problems) and support patients to resolve them or highlight to the prescriber</w:t>
      </w:r>
    </w:p>
    <w:p w14:paraId="1B61B833" w14:textId="77777777" w:rsidR="000C36F2" w:rsidRPr="00DB1621" w:rsidRDefault="000C36F2" w:rsidP="00AD73DB">
      <w:pPr>
        <w:pStyle w:val="ListParagraph"/>
        <w:numPr>
          <w:ilvl w:val="0"/>
          <w:numId w:val="21"/>
        </w:numPr>
        <w:tabs>
          <w:tab w:val="left" w:pos="426"/>
        </w:tabs>
        <w:spacing w:after="0" w:line="336" w:lineRule="auto"/>
        <w:rPr>
          <w:rFonts w:ascii="DM Sans" w:hAnsi="DM Sans" w:cs="Arial"/>
          <w:sz w:val="22"/>
          <w:szCs w:val="22"/>
        </w:rPr>
      </w:pPr>
      <w:r w:rsidRPr="00DB1621">
        <w:rPr>
          <w:rFonts w:ascii="DM Sans" w:hAnsi="DM Sans" w:cs="Arial"/>
          <w:sz w:val="22"/>
          <w:szCs w:val="22"/>
        </w:rPr>
        <w:t>Link the use of newly prescribed medicines to lifestyle changes or other non-pharmacological interventions to promote well-being and promote health in people with long term conditions; and</w:t>
      </w:r>
    </w:p>
    <w:p w14:paraId="0EE4327B" w14:textId="77777777" w:rsidR="000C36F2" w:rsidRPr="00DB1621" w:rsidRDefault="000C36F2" w:rsidP="00AD73DB">
      <w:pPr>
        <w:pStyle w:val="ListParagraph"/>
        <w:numPr>
          <w:ilvl w:val="0"/>
          <w:numId w:val="21"/>
        </w:numPr>
        <w:tabs>
          <w:tab w:val="left" w:pos="426"/>
        </w:tabs>
        <w:spacing w:after="0" w:line="336" w:lineRule="auto"/>
        <w:rPr>
          <w:rFonts w:ascii="DM Sans" w:hAnsi="DM Sans" w:cs="Arial"/>
          <w:sz w:val="22"/>
          <w:szCs w:val="22"/>
        </w:rPr>
      </w:pPr>
      <w:r w:rsidRPr="00DB1621">
        <w:rPr>
          <w:rFonts w:ascii="DM Sans" w:hAnsi="DM Sans" w:cs="Arial"/>
          <w:sz w:val="22"/>
          <w:szCs w:val="22"/>
        </w:rPr>
        <w:t>Through increased adherence to treatment, reduce avoidable medicines-related hospital admissions and improve quality of life for patients.</w:t>
      </w:r>
    </w:p>
    <w:p w14:paraId="0B41A10E" w14:textId="77777777" w:rsidR="000C36F2" w:rsidRPr="00DB1621" w:rsidRDefault="000C36F2" w:rsidP="00DB1621">
      <w:pPr>
        <w:rPr>
          <w:rFonts w:cs="Arial"/>
          <w:b/>
          <w:bCs/>
          <w:color w:val="0072CE" w:themeColor="text1"/>
        </w:rPr>
      </w:pPr>
      <w:r w:rsidRPr="00DB1621">
        <w:rPr>
          <w:rFonts w:cs="Arial"/>
          <w:b/>
          <w:bCs/>
          <w:color w:val="0072CE" w:themeColor="text1"/>
        </w:rPr>
        <w:t>Discharge Medicines Service</w:t>
      </w:r>
    </w:p>
    <w:p w14:paraId="0B4BA9B2" w14:textId="1542CFCD" w:rsidR="000C36F2" w:rsidRPr="00F86640" w:rsidRDefault="000C36F2" w:rsidP="000C36F2">
      <w:pPr>
        <w:tabs>
          <w:tab w:val="left" w:pos="426"/>
        </w:tabs>
        <w:spacing w:after="0"/>
        <w:rPr>
          <w:rFonts w:cs="Arial"/>
          <w:color w:val="auto"/>
        </w:rPr>
      </w:pPr>
      <w:r w:rsidRPr="00F86640">
        <w:rPr>
          <w:rFonts w:cs="Arial"/>
          <w:color w:val="auto"/>
        </w:rPr>
        <w:t xml:space="preserve">At the point of discharge from hospital, NHS Trusts can refer patients who would benefit from extra guidance around their prescribed medicines for provision of the </w:t>
      </w:r>
      <w:hyperlink r:id="rId20" w:history="1">
        <w:r w:rsidRPr="00BB1625">
          <w:rPr>
            <w:rStyle w:val="Hyperlink"/>
            <w:rFonts w:cs="Arial"/>
            <w:b/>
            <w:bCs/>
          </w:rPr>
          <w:t>DMS</w:t>
        </w:r>
      </w:hyperlink>
      <w:r w:rsidRPr="00F86640">
        <w:rPr>
          <w:rFonts w:cs="Arial"/>
          <w:color w:val="auto"/>
        </w:rPr>
        <w:t xml:space="preserve"> at their community pharmacy. The service has been identified by NHS England’s Medicines Safety Improvement Programme to be a significant contributor to the safety of patients at transitions of care and it has been demonstrated to reduce readmissions to hospital.</w:t>
      </w:r>
    </w:p>
    <w:p w14:paraId="214E4D71" w14:textId="77777777" w:rsidR="000C36F2" w:rsidRPr="00F86640" w:rsidRDefault="000C36F2" w:rsidP="000C36F2">
      <w:pPr>
        <w:tabs>
          <w:tab w:val="left" w:pos="426"/>
        </w:tabs>
        <w:spacing w:after="0"/>
        <w:rPr>
          <w:rFonts w:cs="Arial"/>
          <w:color w:val="auto"/>
        </w:rPr>
      </w:pPr>
      <w:r w:rsidRPr="00F86640">
        <w:rPr>
          <w:rFonts w:cs="Arial"/>
          <w:color w:val="auto"/>
        </w:rPr>
        <w:t>The service aims to:</w:t>
      </w:r>
    </w:p>
    <w:p w14:paraId="53FDB719" w14:textId="77777777" w:rsidR="000C36F2" w:rsidRPr="00DB1621" w:rsidRDefault="000C36F2" w:rsidP="007B5C73">
      <w:pPr>
        <w:pStyle w:val="ListParagraph"/>
        <w:numPr>
          <w:ilvl w:val="0"/>
          <w:numId w:val="24"/>
        </w:numPr>
        <w:tabs>
          <w:tab w:val="left" w:pos="426"/>
        </w:tabs>
        <w:spacing w:after="0" w:line="336" w:lineRule="auto"/>
        <w:ind w:left="714" w:hanging="357"/>
        <w:rPr>
          <w:rFonts w:ascii="DM Sans" w:hAnsi="DM Sans" w:cs="Arial"/>
          <w:sz w:val="22"/>
          <w:szCs w:val="22"/>
        </w:rPr>
      </w:pPr>
      <w:r w:rsidRPr="00DB1621">
        <w:rPr>
          <w:rFonts w:ascii="DM Sans" w:hAnsi="DM Sans" w:cs="Arial"/>
          <w:sz w:val="22"/>
          <w:szCs w:val="22"/>
        </w:rPr>
        <w:t xml:space="preserve">Ensure better communication of changes made to a patient’s medicines in hospital upon discharge; </w:t>
      </w:r>
    </w:p>
    <w:p w14:paraId="47662C1F" w14:textId="77777777" w:rsidR="000C36F2" w:rsidRPr="00DB1621" w:rsidRDefault="000C36F2" w:rsidP="007B5C73">
      <w:pPr>
        <w:numPr>
          <w:ilvl w:val="0"/>
          <w:numId w:val="24"/>
        </w:numPr>
        <w:tabs>
          <w:tab w:val="left" w:pos="426"/>
        </w:tabs>
        <w:spacing w:before="0" w:after="0"/>
        <w:ind w:left="714" w:hanging="357"/>
        <w:rPr>
          <w:rFonts w:cs="Arial"/>
          <w:color w:val="auto"/>
        </w:rPr>
      </w:pPr>
      <w:r w:rsidRPr="00DB1621">
        <w:rPr>
          <w:rFonts w:cs="Arial"/>
          <w:color w:val="auto"/>
        </w:rPr>
        <w:t>Optimise the use of medicines, whilst facilitating shared decision making;</w:t>
      </w:r>
    </w:p>
    <w:p w14:paraId="35B78CA3" w14:textId="77777777" w:rsidR="000C36F2" w:rsidRPr="00DB1621" w:rsidRDefault="000C36F2" w:rsidP="007B5C73">
      <w:pPr>
        <w:numPr>
          <w:ilvl w:val="0"/>
          <w:numId w:val="24"/>
        </w:numPr>
        <w:tabs>
          <w:tab w:val="left" w:pos="426"/>
        </w:tabs>
        <w:spacing w:before="0" w:after="0"/>
        <w:ind w:left="714" w:hanging="357"/>
        <w:rPr>
          <w:rFonts w:cs="Arial"/>
          <w:color w:val="auto"/>
        </w:rPr>
      </w:pPr>
      <w:r w:rsidRPr="00DB1621">
        <w:rPr>
          <w:rFonts w:cs="Arial"/>
          <w:color w:val="auto"/>
        </w:rPr>
        <w:t>Reduce harm from medicines at transfer of care;</w:t>
      </w:r>
    </w:p>
    <w:p w14:paraId="5D9B07DA" w14:textId="77777777" w:rsidR="000C36F2" w:rsidRPr="00DB1621" w:rsidRDefault="000C36F2" w:rsidP="007B5C73">
      <w:pPr>
        <w:numPr>
          <w:ilvl w:val="0"/>
          <w:numId w:val="24"/>
        </w:numPr>
        <w:tabs>
          <w:tab w:val="left" w:pos="426"/>
        </w:tabs>
        <w:spacing w:before="0" w:after="0"/>
        <w:ind w:left="714" w:hanging="357"/>
        <w:rPr>
          <w:rFonts w:cs="Arial"/>
          <w:color w:val="auto"/>
        </w:rPr>
      </w:pPr>
      <w:r w:rsidRPr="00DB1621">
        <w:rPr>
          <w:rFonts w:cs="Arial"/>
          <w:color w:val="auto"/>
        </w:rPr>
        <w:t>Improve patients’ understanding of their medicines and how to take them following discharge from hospital;</w:t>
      </w:r>
    </w:p>
    <w:p w14:paraId="1F8930B5" w14:textId="77777777" w:rsidR="000C36F2" w:rsidRPr="00DB1621" w:rsidRDefault="000C36F2" w:rsidP="007B5C73">
      <w:pPr>
        <w:numPr>
          <w:ilvl w:val="0"/>
          <w:numId w:val="24"/>
        </w:numPr>
        <w:tabs>
          <w:tab w:val="left" w:pos="426"/>
        </w:tabs>
        <w:spacing w:before="0" w:after="0"/>
        <w:ind w:left="714" w:hanging="357"/>
        <w:rPr>
          <w:rFonts w:cs="Arial"/>
          <w:color w:val="auto"/>
        </w:rPr>
      </w:pPr>
      <w:r w:rsidRPr="00DB1621">
        <w:rPr>
          <w:rFonts w:cs="Arial"/>
          <w:color w:val="auto"/>
        </w:rPr>
        <w:t>Reduce hospital readmissions; and</w:t>
      </w:r>
    </w:p>
    <w:p w14:paraId="6D1E428E" w14:textId="77777777" w:rsidR="000C36F2" w:rsidRPr="00DB1621" w:rsidRDefault="000C36F2" w:rsidP="007B5C73">
      <w:pPr>
        <w:numPr>
          <w:ilvl w:val="0"/>
          <w:numId w:val="24"/>
        </w:numPr>
        <w:tabs>
          <w:tab w:val="left" w:pos="426"/>
        </w:tabs>
        <w:spacing w:before="0" w:after="0"/>
        <w:ind w:left="714" w:hanging="357"/>
        <w:rPr>
          <w:rFonts w:cs="Arial"/>
          <w:color w:val="auto"/>
        </w:rPr>
      </w:pPr>
      <w:r w:rsidRPr="00DB1621">
        <w:rPr>
          <w:rFonts w:cs="Arial"/>
          <w:color w:val="auto"/>
        </w:rPr>
        <w:t>Support the development of effective team-working across hospital, community and primary care networks pharmacy teams and general practice teams and provide clarity about respective roles.</w:t>
      </w:r>
    </w:p>
    <w:p w14:paraId="3E352C17" w14:textId="77777777" w:rsidR="00B336EA" w:rsidRPr="00B336EA" w:rsidRDefault="00B336EA" w:rsidP="000C36F2">
      <w:pPr>
        <w:rPr>
          <w:rFonts w:cs="Arial"/>
          <w:b/>
          <w:bCs/>
          <w:color w:val="0072CE" w:themeColor="text1"/>
          <w:sz w:val="24"/>
          <w:szCs w:val="24"/>
          <w:highlight w:val="yellow"/>
        </w:rPr>
      </w:pPr>
    </w:p>
    <w:p w14:paraId="49C52C42" w14:textId="7ED7F73F" w:rsidR="000C36F2" w:rsidRPr="00B336EA" w:rsidRDefault="000C36F2" w:rsidP="000C36F2">
      <w:pPr>
        <w:rPr>
          <w:rFonts w:cs="Arial"/>
          <w:b/>
          <w:bCs/>
          <w:color w:val="0072CE" w:themeColor="text1"/>
          <w:sz w:val="24"/>
          <w:szCs w:val="24"/>
        </w:rPr>
      </w:pPr>
      <w:r w:rsidRPr="00B336EA">
        <w:rPr>
          <w:rFonts w:cs="Arial"/>
          <w:b/>
          <w:bCs/>
          <w:color w:val="0072CE" w:themeColor="text1"/>
          <w:sz w:val="24"/>
          <w:szCs w:val="24"/>
          <w:highlight w:val="yellow"/>
        </w:rPr>
        <w:t>4. [LPC to insert any other local pharmacy services information not included elsewhere]</w:t>
      </w:r>
      <w:r w:rsidRPr="00B336EA">
        <w:rPr>
          <w:rFonts w:cs="Arial"/>
          <w:b/>
          <w:bCs/>
          <w:color w:val="0072CE" w:themeColor="text1"/>
          <w:sz w:val="24"/>
          <w:szCs w:val="24"/>
        </w:rPr>
        <w:t xml:space="preserve"> </w:t>
      </w:r>
    </w:p>
    <w:p w14:paraId="2C3FB1CD" w14:textId="77777777" w:rsidR="000C36F2" w:rsidRDefault="000C36F2" w:rsidP="000C36F2">
      <w:pPr>
        <w:rPr>
          <w:rFonts w:ascii="Arial" w:hAnsi="Arial" w:cs="Arial"/>
        </w:rPr>
      </w:pPr>
      <w:r>
        <w:rPr>
          <w:rFonts w:ascii="Arial" w:hAnsi="Arial" w:cs="Arial"/>
        </w:rPr>
        <w:br w:type="page"/>
      </w:r>
    </w:p>
    <w:p w14:paraId="5066AFD9" w14:textId="77777777" w:rsidR="00F817F2" w:rsidRPr="00CA1658" w:rsidRDefault="00F817F2" w:rsidP="00CA1658">
      <w:pPr>
        <w:pStyle w:val="CPE-Heading2"/>
        <w:spacing w:before="0"/>
      </w:pPr>
      <w:r w:rsidRPr="00CA1658">
        <w:lastRenderedPageBreak/>
        <w:t>Enabling population health through community pharmacy</w:t>
      </w:r>
    </w:p>
    <w:p w14:paraId="0E74F56C" w14:textId="77777777" w:rsidR="00F817F2" w:rsidRPr="00CA1658" w:rsidRDefault="00F817F2" w:rsidP="00F817F2">
      <w:pPr>
        <w:tabs>
          <w:tab w:val="left" w:pos="426"/>
        </w:tabs>
        <w:spacing w:after="0"/>
        <w:rPr>
          <w:rFonts w:cs="Arial"/>
          <w:color w:val="auto"/>
        </w:rPr>
      </w:pPr>
      <w:r w:rsidRPr="00CA1658">
        <w:rPr>
          <w:rFonts w:cs="Arial"/>
          <w:color w:val="auto"/>
        </w:rPr>
        <w:t>Population health will support the identification of neighbourhood priorities; these are likely to include reducing health inequalities, improving long-term condition outcomes, increasing early diagnosis and reducing avoidable hospital admissions.</w:t>
      </w:r>
    </w:p>
    <w:p w14:paraId="3B26F774" w14:textId="77777777" w:rsidR="00F817F2" w:rsidRPr="00CA1658" w:rsidRDefault="00F817F2" w:rsidP="00F817F2">
      <w:pPr>
        <w:tabs>
          <w:tab w:val="left" w:pos="426"/>
        </w:tabs>
        <w:spacing w:after="0"/>
        <w:rPr>
          <w:rFonts w:cs="Arial"/>
          <w:color w:val="auto"/>
        </w:rPr>
      </w:pPr>
      <w:r w:rsidRPr="00CA1658">
        <w:rPr>
          <w:rFonts w:cs="Arial"/>
          <w:color w:val="auto"/>
        </w:rPr>
        <w:t xml:space="preserve">By including pharmacy data in population health dashboards, the neighbourhood team should be able to identify when and where community pharmacies can actively contribute to the neighbourhood priorities by delivering a range of services, as outlined in this document.  </w:t>
      </w:r>
    </w:p>
    <w:p w14:paraId="71F3E091" w14:textId="77777777" w:rsidR="00F817F2" w:rsidRPr="00CA1658" w:rsidRDefault="00F817F2" w:rsidP="00F817F2">
      <w:pPr>
        <w:tabs>
          <w:tab w:val="left" w:pos="426"/>
        </w:tabs>
        <w:spacing w:after="0"/>
        <w:rPr>
          <w:rFonts w:cs="Arial"/>
          <w:color w:val="auto"/>
        </w:rPr>
      </w:pPr>
      <w:r w:rsidRPr="00CA1658">
        <w:rPr>
          <w:rFonts w:cs="Arial"/>
          <w:color w:val="auto"/>
        </w:rPr>
        <w:t>Community pharmacies are agile and able to support local health needs quickly and efficiently.  Such examples include the rapid mobilisation of COVID-19 vaccination services during the pandemic and the national rollout of the COVID-19 LFD supply service by the majority of pharmacies across England in a matter of days.</w:t>
      </w:r>
    </w:p>
    <w:p w14:paraId="4203E9C4" w14:textId="77777777" w:rsidR="00F817F2" w:rsidRDefault="00F817F2" w:rsidP="00F817F2">
      <w:pPr>
        <w:tabs>
          <w:tab w:val="left" w:pos="426"/>
        </w:tabs>
        <w:spacing w:after="0"/>
        <w:rPr>
          <w:rFonts w:cs="Arial"/>
          <w:color w:val="auto"/>
        </w:rPr>
      </w:pPr>
      <w:r w:rsidRPr="00CA1658">
        <w:rPr>
          <w:rFonts w:cs="Arial"/>
          <w:color w:val="auto"/>
        </w:rPr>
        <w:t xml:space="preserve">Your Local Pharmaceutical Committee (LPC) can provide further information and guidance on how community pharmacies can support your local priorities and input into the co-design of new / updated care pathways. </w:t>
      </w:r>
    </w:p>
    <w:p w14:paraId="44E35F29" w14:textId="77777777" w:rsidR="00976687" w:rsidRPr="00CA1658" w:rsidRDefault="00976687" w:rsidP="00F817F2">
      <w:pPr>
        <w:tabs>
          <w:tab w:val="left" w:pos="426"/>
        </w:tabs>
        <w:spacing w:after="0"/>
        <w:rPr>
          <w:rFonts w:cs="Arial"/>
          <w:color w:val="auto"/>
        </w:rPr>
      </w:pPr>
    </w:p>
    <w:p w14:paraId="2B2BDAAC" w14:textId="77777777" w:rsidR="00F817F2" w:rsidRPr="00976687" w:rsidRDefault="00F817F2" w:rsidP="00976687">
      <w:pPr>
        <w:pStyle w:val="CPE-Heading2"/>
        <w:spacing w:before="0"/>
      </w:pPr>
      <w:r w:rsidRPr="00976687">
        <w:t>Strengthening collaboration with community pharmacies – next steps</w:t>
      </w:r>
    </w:p>
    <w:p w14:paraId="4C70C37D" w14:textId="77777777" w:rsidR="00F817F2" w:rsidRPr="00CA1658" w:rsidRDefault="00F817F2" w:rsidP="00F817F2">
      <w:pPr>
        <w:rPr>
          <w:rFonts w:cs="Arial"/>
          <w:color w:val="auto"/>
        </w:rPr>
      </w:pPr>
      <w:r w:rsidRPr="00CA1658">
        <w:rPr>
          <w:rFonts w:cs="Arial"/>
          <w:color w:val="auto"/>
        </w:rPr>
        <w:t>Community pharmacies are so much more than dispensers of medicines; they are proactive healthcare partners supporting prevention, medicines safety and long-term condition management that can unlock better outcomes for your neighbourhood.</w:t>
      </w:r>
    </w:p>
    <w:p w14:paraId="1D08656F" w14:textId="77777777" w:rsidR="00F817F2" w:rsidRPr="00CA1658" w:rsidRDefault="00F817F2" w:rsidP="00F817F2">
      <w:pPr>
        <w:tabs>
          <w:tab w:val="left" w:pos="426"/>
        </w:tabs>
        <w:spacing w:after="0"/>
        <w:rPr>
          <w:rFonts w:cs="Arial"/>
          <w:color w:val="auto"/>
        </w:rPr>
      </w:pPr>
      <w:r w:rsidRPr="00CA1658">
        <w:rPr>
          <w:rFonts w:cs="Arial"/>
          <w:color w:val="auto"/>
        </w:rPr>
        <w:t>Pharmacy teams are well-positioned to support population health, reduce health inequalities and improve access to care; particularly in neighbourhoods where general practice and other services are under pressure.</w:t>
      </w:r>
    </w:p>
    <w:p w14:paraId="2A152713" w14:textId="66DE2C16" w:rsidR="00F817F2" w:rsidRPr="002336C6" w:rsidRDefault="00F817F2" w:rsidP="00F817F2">
      <w:pPr>
        <w:tabs>
          <w:tab w:val="left" w:pos="426"/>
        </w:tabs>
        <w:spacing w:after="0"/>
        <w:rPr>
          <w:rFonts w:cs="Arial"/>
          <w:color w:val="auto"/>
        </w:rPr>
      </w:pPr>
      <w:r w:rsidRPr="002336C6">
        <w:rPr>
          <w:rFonts w:cs="Arial"/>
          <w:color w:val="auto"/>
        </w:rPr>
        <w:t xml:space="preserve">Here are three key actions to take now to unlock the potential of community pharmacy within your </w:t>
      </w:r>
      <w:r w:rsidR="002336C6">
        <w:rPr>
          <w:rFonts w:cs="Arial"/>
          <w:color w:val="auto"/>
        </w:rPr>
        <w:t>[</w:t>
      </w:r>
      <w:r w:rsidRPr="002336C6">
        <w:rPr>
          <w:rFonts w:cs="Arial"/>
          <w:color w:val="auto"/>
          <w:highlight w:val="yellow"/>
        </w:rPr>
        <w:t>system / Place / neighbourhood</w:t>
      </w:r>
      <w:r w:rsidR="002336C6">
        <w:rPr>
          <w:rFonts w:cs="Arial"/>
          <w:color w:val="auto"/>
        </w:rPr>
        <w:t>]</w:t>
      </w:r>
      <w:r w:rsidRPr="002336C6">
        <w:rPr>
          <w:rFonts w:cs="Arial"/>
          <w:color w:val="auto"/>
        </w:rPr>
        <w:t>:</w:t>
      </w:r>
    </w:p>
    <w:p w14:paraId="0888D667" w14:textId="77777777" w:rsidR="00F817F2" w:rsidRPr="00C348CC" w:rsidRDefault="00F817F2" w:rsidP="00F817F2">
      <w:pPr>
        <w:spacing w:before="100" w:beforeAutospacing="1" w:after="100" w:afterAutospacing="1" w:line="240" w:lineRule="auto"/>
        <w:outlineLvl w:val="2"/>
        <w:rPr>
          <w:rFonts w:eastAsia="Times New Roman" w:cs="Arial"/>
          <w:b/>
          <w:bCs/>
          <w:lang w:eastAsia="en-GB"/>
        </w:rPr>
      </w:pPr>
      <w:r w:rsidRPr="00C348CC">
        <w:rPr>
          <w:rFonts w:eastAsia="Times New Roman" w:cs="Arial"/>
          <w:b/>
          <w:bCs/>
          <w:lang w:eastAsia="en-GB"/>
        </w:rPr>
        <w:t>1. Engage with your Local Pharmaceutical Committee (LPC)</w:t>
      </w:r>
    </w:p>
    <w:p w14:paraId="0495E060" w14:textId="77777777" w:rsidR="00F817F2" w:rsidRPr="002336C6" w:rsidRDefault="00F817F2" w:rsidP="00C348CC">
      <w:pPr>
        <w:spacing w:before="100" w:beforeAutospacing="1" w:after="100" w:afterAutospacing="1"/>
        <w:rPr>
          <w:rFonts w:eastAsia="Times New Roman" w:cs="Arial"/>
          <w:color w:val="auto"/>
          <w:lang w:eastAsia="en-GB"/>
        </w:rPr>
      </w:pPr>
      <w:r w:rsidRPr="002336C6">
        <w:rPr>
          <w:rFonts w:eastAsia="Times New Roman" w:cs="Arial"/>
          <w:color w:val="auto"/>
          <w:lang w:eastAsia="en-GB"/>
        </w:rPr>
        <w:t>The LPC is your local expert body representing community pharmacy owners. They are ideally placed to support engagement, service development and partnership working at system, place and neighbourhood levels.</w:t>
      </w:r>
    </w:p>
    <w:p w14:paraId="04CD63C6" w14:textId="77777777" w:rsidR="00F817F2" w:rsidRPr="00F51F9D" w:rsidRDefault="00F817F2" w:rsidP="00F817F2">
      <w:pPr>
        <w:spacing w:before="100" w:beforeAutospacing="1" w:after="100" w:afterAutospacing="1" w:line="240" w:lineRule="auto"/>
        <w:rPr>
          <w:rFonts w:eastAsia="Times New Roman" w:cs="Arial"/>
          <w:lang w:eastAsia="en-GB"/>
        </w:rPr>
      </w:pPr>
      <w:r w:rsidRPr="00F51F9D">
        <w:rPr>
          <w:rFonts w:eastAsia="Times New Roman" w:cs="Arial"/>
          <w:b/>
          <w:bCs/>
          <w:lang w:eastAsia="en-GB"/>
        </w:rPr>
        <w:t>What you can do:</w:t>
      </w:r>
    </w:p>
    <w:p w14:paraId="56794C70" w14:textId="77777777" w:rsidR="00F817F2" w:rsidRPr="00F51F9D" w:rsidRDefault="00F817F2" w:rsidP="00F51F9D">
      <w:pPr>
        <w:numPr>
          <w:ilvl w:val="0"/>
          <w:numId w:val="25"/>
        </w:numPr>
        <w:spacing w:before="100" w:beforeAutospacing="1" w:after="100" w:afterAutospacing="1"/>
        <w:ind w:left="714" w:hanging="357"/>
        <w:rPr>
          <w:rFonts w:eastAsia="Times New Roman" w:cs="Arial"/>
          <w:color w:val="auto"/>
          <w:lang w:eastAsia="en-GB"/>
        </w:rPr>
      </w:pPr>
      <w:r w:rsidRPr="00F51F9D">
        <w:rPr>
          <w:rFonts w:eastAsia="Times New Roman" w:cs="Arial"/>
          <w:color w:val="auto"/>
          <w:lang w:eastAsia="en-GB"/>
        </w:rPr>
        <w:lastRenderedPageBreak/>
        <w:t>Initiate discussions with your LPC to understand the range of services already commissioned locally and map existing pharmacy service provision.</w:t>
      </w:r>
    </w:p>
    <w:p w14:paraId="067656A8" w14:textId="77777777" w:rsidR="00F817F2" w:rsidRPr="00F51F9D" w:rsidRDefault="00F817F2" w:rsidP="00F51F9D">
      <w:pPr>
        <w:numPr>
          <w:ilvl w:val="0"/>
          <w:numId w:val="25"/>
        </w:numPr>
        <w:spacing w:before="100" w:beforeAutospacing="1" w:after="100" w:afterAutospacing="1"/>
        <w:ind w:left="714" w:hanging="357"/>
        <w:rPr>
          <w:rFonts w:eastAsia="Times New Roman" w:cs="Arial"/>
          <w:color w:val="auto"/>
          <w:lang w:eastAsia="en-GB"/>
        </w:rPr>
      </w:pPr>
      <w:r w:rsidRPr="00F51F9D">
        <w:rPr>
          <w:rFonts w:eastAsia="Times New Roman" w:cs="Arial"/>
          <w:color w:val="auto"/>
          <w:lang w:eastAsia="en-GB"/>
        </w:rPr>
        <w:t>Identify quick wins where pharmacy capacity and existing services can be better utilised to alleviate pressure on general practice and urgent care, for example optimising Pharmacy First referrals from GP practices.</w:t>
      </w:r>
    </w:p>
    <w:p w14:paraId="04E72913" w14:textId="77777777" w:rsidR="00F817F2" w:rsidRPr="00F51F9D" w:rsidRDefault="00F817F2" w:rsidP="00F51F9D">
      <w:pPr>
        <w:numPr>
          <w:ilvl w:val="0"/>
          <w:numId w:val="25"/>
        </w:numPr>
        <w:spacing w:before="100" w:beforeAutospacing="1" w:after="100" w:afterAutospacing="1"/>
        <w:ind w:left="714" w:hanging="357"/>
        <w:rPr>
          <w:rFonts w:eastAsia="Times New Roman" w:cs="Arial"/>
          <w:color w:val="auto"/>
          <w:lang w:eastAsia="en-GB"/>
        </w:rPr>
      </w:pPr>
      <w:r w:rsidRPr="00F51F9D">
        <w:rPr>
          <w:rFonts w:eastAsia="Times New Roman" w:cs="Arial"/>
          <w:color w:val="auto"/>
          <w:lang w:eastAsia="en-GB"/>
        </w:rPr>
        <w:t>Explore opportunities to co-design and commission innovative local services that align with your population health priorities</w:t>
      </w:r>
    </w:p>
    <w:p w14:paraId="331F80AA" w14:textId="77777777" w:rsidR="00F817F2" w:rsidRPr="00C348CC" w:rsidRDefault="00F817F2" w:rsidP="00F817F2">
      <w:pPr>
        <w:spacing w:before="100" w:beforeAutospacing="1" w:after="100" w:afterAutospacing="1" w:line="240" w:lineRule="auto"/>
        <w:outlineLvl w:val="2"/>
        <w:rPr>
          <w:rFonts w:eastAsia="Times New Roman" w:cs="Arial"/>
          <w:b/>
          <w:bCs/>
          <w:lang w:eastAsia="en-GB"/>
        </w:rPr>
      </w:pPr>
      <w:r w:rsidRPr="00C348CC">
        <w:rPr>
          <w:rFonts w:eastAsia="Times New Roman" w:cs="Arial"/>
          <w:b/>
          <w:bCs/>
          <w:lang w:eastAsia="en-GB"/>
        </w:rPr>
        <w:t>2. Integrate pharmacy data into population health analytics</w:t>
      </w:r>
    </w:p>
    <w:p w14:paraId="5A97CD87" w14:textId="77777777" w:rsidR="00F817F2" w:rsidRPr="00C348CC" w:rsidRDefault="00F817F2" w:rsidP="00C348CC">
      <w:pPr>
        <w:spacing w:before="100" w:beforeAutospacing="1" w:after="100" w:afterAutospacing="1"/>
        <w:rPr>
          <w:rFonts w:eastAsia="Times New Roman" w:cs="Arial"/>
          <w:color w:val="auto"/>
          <w:lang w:eastAsia="en-GB"/>
        </w:rPr>
      </w:pPr>
      <w:r w:rsidRPr="00C348CC">
        <w:rPr>
          <w:rFonts w:eastAsia="Times New Roman" w:cs="Arial"/>
          <w:color w:val="auto"/>
          <w:lang w:eastAsia="en-GB"/>
        </w:rPr>
        <w:t>LPCs can access valuable data on pharmacy services uptake, yet this data is often underused in population health planning.</w:t>
      </w:r>
    </w:p>
    <w:p w14:paraId="0CB490BC" w14:textId="77777777" w:rsidR="00F817F2" w:rsidRPr="00C348CC" w:rsidRDefault="00F817F2" w:rsidP="00F817F2">
      <w:pPr>
        <w:spacing w:before="100" w:beforeAutospacing="1" w:after="100" w:afterAutospacing="1" w:line="240" w:lineRule="auto"/>
        <w:rPr>
          <w:rFonts w:eastAsia="Times New Roman" w:cs="Arial"/>
          <w:lang w:eastAsia="en-GB"/>
        </w:rPr>
      </w:pPr>
      <w:r w:rsidRPr="00C348CC">
        <w:rPr>
          <w:rFonts w:eastAsia="Times New Roman" w:cs="Arial"/>
          <w:b/>
          <w:bCs/>
          <w:lang w:eastAsia="en-GB"/>
        </w:rPr>
        <w:t>What you can do:</w:t>
      </w:r>
    </w:p>
    <w:p w14:paraId="062123DD" w14:textId="77777777" w:rsidR="00F817F2" w:rsidRPr="00C348CC" w:rsidRDefault="00F817F2" w:rsidP="00C348CC">
      <w:pPr>
        <w:numPr>
          <w:ilvl w:val="0"/>
          <w:numId w:val="26"/>
        </w:numPr>
        <w:spacing w:before="100" w:beforeAutospacing="1" w:after="100" w:afterAutospacing="1"/>
        <w:ind w:left="714" w:hanging="357"/>
        <w:rPr>
          <w:rFonts w:eastAsia="Times New Roman" w:cs="Arial"/>
          <w:color w:val="auto"/>
          <w:lang w:eastAsia="en-GB"/>
        </w:rPr>
      </w:pPr>
      <w:r w:rsidRPr="00C348CC">
        <w:rPr>
          <w:rFonts w:eastAsia="Times New Roman" w:cs="Arial"/>
          <w:color w:val="auto"/>
          <w:lang w:eastAsia="en-GB"/>
        </w:rPr>
        <w:t>Work with your LPC, business intelligence and digital teams to ensure pharmacy activity data is incorporated into your population health management tools.</w:t>
      </w:r>
    </w:p>
    <w:p w14:paraId="4069852A" w14:textId="77777777" w:rsidR="00F817F2" w:rsidRPr="00C348CC" w:rsidRDefault="00F817F2" w:rsidP="00C348CC">
      <w:pPr>
        <w:numPr>
          <w:ilvl w:val="0"/>
          <w:numId w:val="26"/>
        </w:numPr>
        <w:spacing w:before="100" w:beforeAutospacing="1" w:after="100" w:afterAutospacing="1"/>
        <w:ind w:left="714" w:hanging="357"/>
        <w:rPr>
          <w:rFonts w:eastAsia="Times New Roman" w:cs="Arial"/>
          <w:color w:val="auto"/>
          <w:lang w:eastAsia="en-GB"/>
        </w:rPr>
      </w:pPr>
      <w:r w:rsidRPr="00C348CC">
        <w:rPr>
          <w:rFonts w:eastAsia="Times New Roman" w:cs="Arial"/>
          <w:color w:val="auto"/>
          <w:lang w:eastAsia="en-GB"/>
        </w:rPr>
        <w:t>Use this data to identify opportunities for targeted interventions; for example, improving cardiovascular outcomes or tackling unwarranted variation in minor illness presentations and service redesign.</w:t>
      </w:r>
    </w:p>
    <w:p w14:paraId="2B2678B9" w14:textId="77777777" w:rsidR="00F817F2" w:rsidRPr="00C348CC" w:rsidRDefault="00F817F2" w:rsidP="00C348CC">
      <w:pPr>
        <w:numPr>
          <w:ilvl w:val="0"/>
          <w:numId w:val="26"/>
        </w:numPr>
        <w:spacing w:before="100" w:beforeAutospacing="1" w:after="100" w:afterAutospacing="1"/>
        <w:ind w:left="714" w:hanging="357"/>
        <w:rPr>
          <w:rFonts w:eastAsia="Times New Roman" w:cs="Arial"/>
          <w:color w:val="auto"/>
          <w:lang w:eastAsia="en-GB"/>
        </w:rPr>
      </w:pPr>
      <w:r w:rsidRPr="00C348CC">
        <w:rPr>
          <w:rFonts w:eastAsia="Times New Roman" w:cs="Arial"/>
          <w:color w:val="auto"/>
          <w:lang w:eastAsia="en-GB"/>
        </w:rPr>
        <w:t>Consider how pharmacy data can support your strategic goals.</w:t>
      </w:r>
    </w:p>
    <w:p w14:paraId="7DF20A39" w14:textId="77777777" w:rsidR="00F817F2" w:rsidRPr="00C348CC" w:rsidRDefault="00F817F2" w:rsidP="00F817F2">
      <w:pPr>
        <w:spacing w:before="100" w:beforeAutospacing="1" w:after="100" w:afterAutospacing="1" w:line="240" w:lineRule="auto"/>
        <w:outlineLvl w:val="2"/>
        <w:rPr>
          <w:rFonts w:eastAsia="Times New Roman" w:cs="Arial"/>
          <w:b/>
          <w:bCs/>
          <w:lang w:eastAsia="en-GB"/>
        </w:rPr>
      </w:pPr>
      <w:r w:rsidRPr="00C348CC">
        <w:rPr>
          <w:rFonts w:eastAsia="Times New Roman" w:cs="Arial"/>
          <w:b/>
          <w:bCs/>
          <w:lang w:eastAsia="en-GB"/>
        </w:rPr>
        <w:t>3. Involve LPCs in pathway redesign and neighbourhood planning</w:t>
      </w:r>
    </w:p>
    <w:p w14:paraId="497F35AD" w14:textId="77777777" w:rsidR="00F817F2" w:rsidRPr="00C348CC" w:rsidRDefault="00F817F2" w:rsidP="00C348CC">
      <w:pPr>
        <w:spacing w:before="100" w:beforeAutospacing="1" w:after="100" w:afterAutospacing="1"/>
        <w:rPr>
          <w:rFonts w:eastAsia="Times New Roman" w:cs="Arial"/>
          <w:color w:val="auto"/>
          <w:lang w:eastAsia="en-GB"/>
        </w:rPr>
      </w:pPr>
      <w:r w:rsidRPr="00C348CC">
        <w:rPr>
          <w:rFonts w:eastAsia="Times New Roman" w:cs="Arial"/>
          <w:color w:val="auto"/>
          <w:lang w:eastAsia="en-GB"/>
        </w:rPr>
        <w:t>Community pharmacy teams are embedded in every neighbourhood, often acting as first points of contact for healthcare advice. They must be included in service transformation efforts, not treated as an afterthought.</w:t>
      </w:r>
    </w:p>
    <w:p w14:paraId="303B0930" w14:textId="77777777" w:rsidR="00F817F2" w:rsidRPr="00C348CC" w:rsidRDefault="00F817F2" w:rsidP="00F817F2">
      <w:pPr>
        <w:spacing w:before="100" w:beforeAutospacing="1" w:after="100" w:afterAutospacing="1" w:line="240" w:lineRule="auto"/>
        <w:rPr>
          <w:rFonts w:eastAsia="Times New Roman" w:cs="Arial"/>
          <w:lang w:eastAsia="en-GB"/>
        </w:rPr>
      </w:pPr>
      <w:r w:rsidRPr="00C348CC">
        <w:rPr>
          <w:rFonts w:eastAsia="Times New Roman" w:cs="Arial"/>
          <w:b/>
          <w:bCs/>
          <w:lang w:eastAsia="en-GB"/>
        </w:rPr>
        <w:t>What you can do:</w:t>
      </w:r>
    </w:p>
    <w:p w14:paraId="63DC3A05" w14:textId="77777777" w:rsidR="00F817F2" w:rsidRPr="00C348CC" w:rsidRDefault="00F817F2" w:rsidP="00C348CC">
      <w:pPr>
        <w:numPr>
          <w:ilvl w:val="0"/>
          <w:numId w:val="28"/>
        </w:numPr>
        <w:spacing w:before="100" w:beforeAutospacing="1" w:after="100" w:afterAutospacing="1"/>
        <w:ind w:left="714" w:hanging="357"/>
        <w:rPr>
          <w:rFonts w:eastAsia="Times New Roman" w:cs="Arial"/>
          <w:color w:val="auto"/>
          <w:lang w:eastAsia="en-GB"/>
        </w:rPr>
      </w:pPr>
      <w:r w:rsidRPr="00C348CC">
        <w:rPr>
          <w:rFonts w:eastAsia="Times New Roman" w:cs="Arial"/>
          <w:color w:val="auto"/>
          <w:lang w:eastAsia="en-GB"/>
        </w:rPr>
        <w:t>Ensure pharmacy is represented via the LPC in Place and neighbourhood planning and transformation discussions.</w:t>
      </w:r>
    </w:p>
    <w:p w14:paraId="12AACBE1" w14:textId="77777777" w:rsidR="00F817F2" w:rsidRPr="00C348CC" w:rsidRDefault="00F817F2" w:rsidP="00C348CC">
      <w:pPr>
        <w:numPr>
          <w:ilvl w:val="0"/>
          <w:numId w:val="28"/>
        </w:numPr>
        <w:spacing w:before="100" w:beforeAutospacing="1" w:after="100" w:afterAutospacing="1"/>
        <w:ind w:left="714" w:hanging="357"/>
        <w:rPr>
          <w:rFonts w:eastAsia="Times New Roman" w:cs="Arial"/>
          <w:color w:val="auto"/>
          <w:lang w:eastAsia="en-GB"/>
        </w:rPr>
      </w:pPr>
      <w:r w:rsidRPr="00C348CC">
        <w:rPr>
          <w:rFonts w:cs="Arial"/>
          <w:color w:val="auto"/>
        </w:rPr>
        <w:t>Embed community pharmacy in multidisciplinary neighbourhood teams</w:t>
      </w:r>
      <w:r w:rsidRPr="00C348CC">
        <w:rPr>
          <w:rFonts w:eastAsia="Times New Roman" w:cs="Arial"/>
          <w:color w:val="auto"/>
          <w:lang w:eastAsia="en-GB"/>
        </w:rPr>
        <w:t xml:space="preserve"> and encourage multidisciplinary working that includes community pharmacy as a routine part of service delivery and improvement in primary care.</w:t>
      </w:r>
    </w:p>
    <w:p w14:paraId="3D5C2618" w14:textId="77777777" w:rsidR="00F817F2" w:rsidRPr="00C348CC" w:rsidRDefault="00F817F2" w:rsidP="00C348CC">
      <w:pPr>
        <w:numPr>
          <w:ilvl w:val="0"/>
          <w:numId w:val="28"/>
        </w:numPr>
        <w:spacing w:before="100" w:beforeAutospacing="1" w:after="100" w:afterAutospacing="1"/>
        <w:ind w:left="714" w:hanging="357"/>
        <w:rPr>
          <w:rFonts w:eastAsia="Times New Roman" w:cs="Arial"/>
          <w:color w:val="auto"/>
          <w:lang w:eastAsia="en-GB"/>
        </w:rPr>
      </w:pPr>
      <w:r w:rsidRPr="00C348CC">
        <w:rPr>
          <w:rFonts w:eastAsia="Times New Roman" w:cs="Arial"/>
          <w:color w:val="auto"/>
          <w:lang w:eastAsia="en-GB"/>
        </w:rPr>
        <w:t>Invite the LPC to participate in local care pathway redesign activity; particularly in areas such as cardiovascular disease, long-term conditions, prevention and other medicine-related pathways.</w:t>
      </w:r>
    </w:p>
    <w:p w14:paraId="132E38C5" w14:textId="77777777" w:rsidR="00F817F2" w:rsidRPr="00C348CC" w:rsidRDefault="00F817F2" w:rsidP="00F817F2">
      <w:pPr>
        <w:spacing w:before="100" w:beforeAutospacing="1" w:after="100" w:afterAutospacing="1" w:line="240" w:lineRule="auto"/>
        <w:outlineLvl w:val="2"/>
        <w:rPr>
          <w:rFonts w:eastAsia="Times New Roman" w:cs="Arial"/>
          <w:b/>
          <w:bCs/>
          <w:lang w:eastAsia="en-GB"/>
        </w:rPr>
      </w:pPr>
      <w:r w:rsidRPr="00C348CC">
        <w:rPr>
          <w:rFonts w:eastAsia="Times New Roman" w:cs="Arial"/>
          <w:b/>
          <w:bCs/>
          <w:lang w:eastAsia="en-GB"/>
        </w:rPr>
        <w:lastRenderedPageBreak/>
        <w:t>Let’s Work Together</w:t>
      </w:r>
    </w:p>
    <w:p w14:paraId="6F448D12" w14:textId="77777777" w:rsidR="00F817F2" w:rsidRPr="00C348CC" w:rsidRDefault="00F817F2" w:rsidP="00C348CC">
      <w:pPr>
        <w:rPr>
          <w:rFonts w:cs="Arial"/>
          <w:color w:val="auto"/>
        </w:rPr>
      </w:pPr>
      <w:r w:rsidRPr="00C348CC">
        <w:rPr>
          <w:rFonts w:eastAsia="Times New Roman" w:cs="Arial"/>
          <w:color w:val="auto"/>
          <w:lang w:eastAsia="en-GB"/>
        </w:rPr>
        <w:t xml:space="preserve">Whatever your neighbourhood priorities and/or current stage of development community pharmacy is ready to support your ambitions and become an integral partner. </w:t>
      </w:r>
      <w:r w:rsidRPr="00C348CC">
        <w:rPr>
          <w:rFonts w:cs="Arial"/>
          <w:color w:val="auto"/>
        </w:rPr>
        <w:t>Their ability to deliver high-quality, high-volume services at the point of need within their local community makes them an invaluable asset in any integrated care model.</w:t>
      </w:r>
    </w:p>
    <w:p w14:paraId="33E4CB86" w14:textId="77777777" w:rsidR="00F817F2" w:rsidRPr="00C348CC" w:rsidRDefault="00F817F2" w:rsidP="00F817F2">
      <w:pPr>
        <w:spacing w:before="100" w:beforeAutospacing="1" w:after="100" w:afterAutospacing="1" w:line="240" w:lineRule="auto"/>
        <w:rPr>
          <w:rFonts w:eastAsia="Times New Roman" w:cs="Arial"/>
          <w:b/>
          <w:bCs/>
          <w:lang w:eastAsia="en-GB"/>
        </w:rPr>
      </w:pPr>
      <w:r w:rsidRPr="00C348CC">
        <w:rPr>
          <w:rFonts w:eastAsia="Times New Roman" w:cs="Arial"/>
          <w:b/>
          <w:bCs/>
          <w:lang w:eastAsia="en-GB"/>
        </w:rPr>
        <w:t>To explore opportunities for collaboration, service development or integration, please contact your LPC:</w:t>
      </w:r>
    </w:p>
    <w:p w14:paraId="6B60A161" w14:textId="77777777" w:rsidR="00F817F2" w:rsidRPr="00C348CC" w:rsidRDefault="00F817F2" w:rsidP="00F817F2">
      <w:pPr>
        <w:spacing w:before="100" w:beforeAutospacing="1" w:after="100" w:afterAutospacing="1" w:line="240" w:lineRule="auto"/>
        <w:rPr>
          <w:rFonts w:eastAsia="Times New Roman" w:cs="Arial"/>
          <w:lang w:eastAsia="en-GB"/>
        </w:rPr>
      </w:pPr>
      <w:r w:rsidRPr="00C348CC">
        <w:rPr>
          <w:rFonts w:eastAsia="Times New Roman" w:cs="Arial"/>
          <w:b/>
          <w:bCs/>
          <w:highlight w:val="yellow"/>
          <w:lang w:eastAsia="en-GB"/>
        </w:rPr>
        <w:t>[Insert LPC contact details here]</w:t>
      </w:r>
    </w:p>
    <w:p w14:paraId="76BE82C4" w14:textId="77777777" w:rsidR="003D2CB9" w:rsidRPr="002B7B4A" w:rsidRDefault="003D2CB9" w:rsidP="002B7B4A">
      <w:pPr>
        <w:spacing w:before="0" w:line="278" w:lineRule="auto"/>
        <w:rPr>
          <w:rFonts w:eastAsia="Aptos" w:cs="Arial"/>
          <w:color w:val="auto"/>
          <w:kern w:val="2"/>
          <w:sz w:val="24"/>
          <w:szCs w:val="24"/>
          <w14:ligatures w14:val="standardContextual"/>
        </w:rPr>
      </w:pPr>
    </w:p>
    <w:sectPr w:rsidR="003D2CB9" w:rsidRPr="002B7B4A" w:rsidSect="003218F3">
      <w:headerReference w:type="default" r:id="rId21"/>
      <w:headerReference w:type="first" r:id="rId22"/>
      <w:type w:val="continuous"/>
      <w:pgSz w:w="11906" w:h="16838"/>
      <w:pgMar w:top="1021" w:right="1021" w:bottom="709"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488F" w14:textId="77777777" w:rsidR="00B67E5A" w:rsidRDefault="00B67E5A" w:rsidP="00630E66">
      <w:r>
        <w:separator/>
      </w:r>
    </w:p>
  </w:endnote>
  <w:endnote w:type="continuationSeparator" w:id="0">
    <w:p w14:paraId="059DD3D1" w14:textId="77777777" w:rsidR="00B67E5A" w:rsidRDefault="00B67E5A"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20FC" w14:textId="77777777" w:rsidR="00B67E5A" w:rsidRDefault="00B67E5A" w:rsidP="00630E66">
      <w:r>
        <w:separator/>
      </w:r>
    </w:p>
  </w:footnote>
  <w:footnote w:type="continuationSeparator" w:id="0">
    <w:p w14:paraId="151FA0D2" w14:textId="77777777" w:rsidR="00B67E5A" w:rsidRDefault="00B67E5A"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B55C" w14:textId="376158C9" w:rsidR="003218F3" w:rsidRDefault="003218F3">
    <w:pPr>
      <w:pStyle w:val="Header"/>
    </w:pPr>
    <w:r>
      <w:rPr>
        <w:noProof/>
      </w:rPr>
      <w:drawing>
        <wp:anchor distT="0" distB="0" distL="114300" distR="114300" simplePos="0" relativeHeight="251659264" behindDoc="0" locked="0" layoutInCell="1" allowOverlap="1" wp14:anchorId="678F5375" wp14:editId="463F9F6F">
          <wp:simplePos x="0" y="0"/>
          <wp:positionH relativeFrom="column">
            <wp:posOffset>-67310</wp:posOffset>
          </wp:positionH>
          <wp:positionV relativeFrom="paragraph">
            <wp:posOffset>57150</wp:posOffset>
          </wp:positionV>
          <wp:extent cx="2867025" cy="615950"/>
          <wp:effectExtent l="0" t="0" r="9525" b="0"/>
          <wp:wrapThrough wrapText="bothSides">
            <wp:wrapPolygon edited="0">
              <wp:start x="861" y="0"/>
              <wp:lineTo x="0" y="6012"/>
              <wp:lineTo x="0" y="20041"/>
              <wp:lineTo x="9616" y="20709"/>
              <wp:lineTo x="12773" y="20709"/>
              <wp:lineTo x="21528" y="20041"/>
              <wp:lineTo x="21528" y="13361"/>
              <wp:lineTo x="13204" y="10689"/>
              <wp:lineTo x="14496" y="4008"/>
              <wp:lineTo x="14496" y="1336"/>
              <wp:lineTo x="12917" y="0"/>
              <wp:lineTo x="861" y="0"/>
            </wp:wrapPolygon>
          </wp:wrapThrough>
          <wp:docPr id="348144889" name="Picture 2" descr="A blu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33681" name="Picture 2" descr="A blue and orang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67025" cy="615950"/>
                  </a:xfrm>
                  <a:prstGeom prst="rect">
                    <a:avLst/>
                  </a:prstGeom>
                </pic:spPr>
              </pic:pic>
            </a:graphicData>
          </a:graphic>
        </wp:anchor>
      </w:drawing>
    </w:r>
  </w:p>
  <w:p w14:paraId="468449E0" w14:textId="4088E0B9" w:rsidR="003218F3" w:rsidRDefault="003218F3">
    <w:pPr>
      <w:pStyle w:val="Header"/>
    </w:pPr>
  </w:p>
  <w:p w14:paraId="5BCD8808" w14:textId="4A0B87B0" w:rsidR="00721E34" w:rsidRDefault="008463CD">
    <w:pPr>
      <w:pStyle w:val="Header"/>
    </w:pPr>
    <w:r>
      <w:rPr>
        <w:noProof/>
      </w:rPr>
      <w:drawing>
        <wp:anchor distT="0" distB="0" distL="114300" distR="114300" simplePos="0" relativeHeight="251658240" behindDoc="0" locked="0" layoutInCell="1" allowOverlap="1" wp14:anchorId="6D79E243" wp14:editId="1EF05250">
          <wp:simplePos x="0" y="0"/>
          <wp:positionH relativeFrom="column">
            <wp:posOffset>3708400</wp:posOffset>
          </wp:positionH>
          <wp:positionV relativeFrom="page">
            <wp:posOffset>241300</wp:posOffset>
          </wp:positionV>
          <wp:extent cx="3186000" cy="1170000"/>
          <wp:effectExtent l="0" t="0" r="0" b="0"/>
          <wp:wrapNone/>
          <wp:docPr id="1004724002"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DC9E" w14:textId="77777777" w:rsidR="00A06961" w:rsidRDefault="00A06961">
    <w:pPr>
      <w:pStyle w:val="Header"/>
    </w:pPr>
    <w:r>
      <w:rPr>
        <w:noProof/>
      </w:rPr>
      <w:drawing>
        <wp:inline distT="0" distB="0" distL="0" distR="0" wp14:anchorId="07D1A05D" wp14:editId="1001CA9C">
          <wp:extent cx="1917700" cy="609600"/>
          <wp:effectExtent l="0" t="0" r="0" b="0"/>
          <wp:docPr id="2112434935" name="Picture 211243493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F0F84"/>
    <w:multiLevelType w:val="hybridMultilevel"/>
    <w:tmpl w:val="262E2618"/>
    <w:lvl w:ilvl="0" w:tplc="08090005">
      <w:start w:val="1"/>
      <w:numFmt w:val="bullet"/>
      <w:lvlText w:val=""/>
      <w:lvlJc w:val="left"/>
      <w:pPr>
        <w:ind w:left="780" w:hanging="360"/>
      </w:pPr>
      <w:rPr>
        <w:rFonts w:ascii="Wingdings" w:hAnsi="Wingdings" w:hint="default"/>
        <w:color w:val="FF6D3A" w:themeColor="accen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09E3EE7"/>
    <w:multiLevelType w:val="hybridMultilevel"/>
    <w:tmpl w:val="A9EE8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14882"/>
    <w:multiLevelType w:val="multilevel"/>
    <w:tmpl w:val="3BAC9146"/>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CE5107"/>
    <w:multiLevelType w:val="hybridMultilevel"/>
    <w:tmpl w:val="8CAE7F8E"/>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31153"/>
    <w:multiLevelType w:val="multilevel"/>
    <w:tmpl w:val="7F7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91060"/>
    <w:multiLevelType w:val="hybridMultilevel"/>
    <w:tmpl w:val="66124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95EC2"/>
    <w:multiLevelType w:val="hybridMultilevel"/>
    <w:tmpl w:val="D8F234A2"/>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9D6012"/>
    <w:multiLevelType w:val="multilevel"/>
    <w:tmpl w:val="9F84FA7E"/>
    <w:lvl w:ilvl="0">
      <w:start w:val="1"/>
      <w:numFmt w:val="bullet"/>
      <w:lvlText w:val=""/>
      <w:lvlJc w:val="left"/>
      <w:pPr>
        <w:tabs>
          <w:tab w:val="num" w:pos="720"/>
        </w:tabs>
        <w:ind w:left="720" w:hanging="360"/>
      </w:pPr>
      <w:rPr>
        <w:rFonts w:ascii="Symbol" w:hAnsi="Symbol" w:hint="default"/>
        <w:color w:val="CB00BA"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C0A25"/>
    <w:multiLevelType w:val="multilevel"/>
    <w:tmpl w:val="C3681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72401"/>
    <w:multiLevelType w:val="hybridMultilevel"/>
    <w:tmpl w:val="EB66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A488A"/>
    <w:multiLevelType w:val="multilevel"/>
    <w:tmpl w:val="DF0C6C1A"/>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D5DEC"/>
    <w:multiLevelType w:val="hybridMultilevel"/>
    <w:tmpl w:val="C770BA44"/>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843F3"/>
    <w:multiLevelType w:val="multilevel"/>
    <w:tmpl w:val="018CCB62"/>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D3047"/>
    <w:multiLevelType w:val="multilevel"/>
    <w:tmpl w:val="9C6C6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32E52"/>
    <w:multiLevelType w:val="hybridMultilevel"/>
    <w:tmpl w:val="8ACE6624"/>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B96809"/>
    <w:multiLevelType w:val="hybridMultilevel"/>
    <w:tmpl w:val="2CDE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E93A0B"/>
    <w:multiLevelType w:val="multilevel"/>
    <w:tmpl w:val="133E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11691">
    <w:abstractNumId w:val="1"/>
  </w:num>
  <w:num w:numId="2" w16cid:durableId="1241326829">
    <w:abstractNumId w:val="0"/>
  </w:num>
  <w:num w:numId="3" w16cid:durableId="1484003500">
    <w:abstractNumId w:val="5"/>
  </w:num>
  <w:num w:numId="4" w16cid:durableId="1777670013">
    <w:abstractNumId w:val="10"/>
  </w:num>
  <w:num w:numId="5" w16cid:durableId="1190334263">
    <w:abstractNumId w:val="11"/>
  </w:num>
  <w:num w:numId="6" w16cid:durableId="131293759">
    <w:abstractNumId w:val="12"/>
  </w:num>
  <w:num w:numId="7" w16cid:durableId="1042482638">
    <w:abstractNumId w:val="5"/>
  </w:num>
  <w:num w:numId="8" w16cid:durableId="131751348">
    <w:abstractNumId w:val="5"/>
  </w:num>
  <w:num w:numId="9" w16cid:durableId="1098870071">
    <w:abstractNumId w:val="5"/>
  </w:num>
  <w:num w:numId="10" w16cid:durableId="1634755302">
    <w:abstractNumId w:val="13"/>
  </w:num>
  <w:num w:numId="11" w16cid:durableId="1188640022">
    <w:abstractNumId w:val="14"/>
  </w:num>
  <w:num w:numId="12" w16cid:durableId="1852992899">
    <w:abstractNumId w:val="5"/>
  </w:num>
  <w:num w:numId="13" w16cid:durableId="1016348709">
    <w:abstractNumId w:val="5"/>
  </w:num>
  <w:num w:numId="14" w16cid:durableId="1328942679">
    <w:abstractNumId w:val="5"/>
  </w:num>
  <w:num w:numId="15" w16cid:durableId="1875341427">
    <w:abstractNumId w:val="8"/>
  </w:num>
  <w:num w:numId="16" w16cid:durableId="962007067">
    <w:abstractNumId w:val="6"/>
  </w:num>
  <w:num w:numId="17" w16cid:durableId="1569073195">
    <w:abstractNumId w:val="9"/>
  </w:num>
  <w:num w:numId="18" w16cid:durableId="1656253968">
    <w:abstractNumId w:val="15"/>
  </w:num>
  <w:num w:numId="19" w16cid:durableId="452291073">
    <w:abstractNumId w:val="16"/>
  </w:num>
  <w:num w:numId="20" w16cid:durableId="1057899223">
    <w:abstractNumId w:val="18"/>
  </w:num>
  <w:num w:numId="21" w16cid:durableId="1276447223">
    <w:abstractNumId w:val="2"/>
  </w:num>
  <w:num w:numId="22" w16cid:durableId="2050177177">
    <w:abstractNumId w:val="20"/>
  </w:num>
  <w:num w:numId="23" w16cid:durableId="1856992889">
    <w:abstractNumId w:val="3"/>
  </w:num>
  <w:num w:numId="24" w16cid:durableId="598417192">
    <w:abstractNumId w:val="19"/>
  </w:num>
  <w:num w:numId="25" w16cid:durableId="1230000776">
    <w:abstractNumId w:val="4"/>
  </w:num>
  <w:num w:numId="26" w16cid:durableId="894389593">
    <w:abstractNumId w:val="21"/>
  </w:num>
  <w:num w:numId="27" w16cid:durableId="43599314">
    <w:abstractNumId w:val="7"/>
  </w:num>
  <w:num w:numId="28" w16cid:durableId="197460162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F7"/>
    <w:rsid w:val="0000022F"/>
    <w:rsid w:val="00002EBD"/>
    <w:rsid w:val="000076FE"/>
    <w:rsid w:val="00011577"/>
    <w:rsid w:val="000124D2"/>
    <w:rsid w:val="000277CC"/>
    <w:rsid w:val="00032918"/>
    <w:rsid w:val="000329D1"/>
    <w:rsid w:val="00043D85"/>
    <w:rsid w:val="0004574C"/>
    <w:rsid w:val="0005563F"/>
    <w:rsid w:val="000958B8"/>
    <w:rsid w:val="000A16C3"/>
    <w:rsid w:val="000B1C5C"/>
    <w:rsid w:val="000C36F2"/>
    <w:rsid w:val="000C6CD4"/>
    <w:rsid w:val="000D399C"/>
    <w:rsid w:val="000D4ADA"/>
    <w:rsid w:val="000E40C9"/>
    <w:rsid w:val="000E5951"/>
    <w:rsid w:val="000F33AF"/>
    <w:rsid w:val="000F7F2B"/>
    <w:rsid w:val="00110686"/>
    <w:rsid w:val="001119F0"/>
    <w:rsid w:val="0011715D"/>
    <w:rsid w:val="00123787"/>
    <w:rsid w:val="00133063"/>
    <w:rsid w:val="00136D77"/>
    <w:rsid w:val="00142F9A"/>
    <w:rsid w:val="00144C83"/>
    <w:rsid w:val="00147A4B"/>
    <w:rsid w:val="001623A2"/>
    <w:rsid w:val="0016610D"/>
    <w:rsid w:val="0016781F"/>
    <w:rsid w:val="0019126D"/>
    <w:rsid w:val="00192EB4"/>
    <w:rsid w:val="001B10D5"/>
    <w:rsid w:val="001B4751"/>
    <w:rsid w:val="001B6C92"/>
    <w:rsid w:val="001D42F9"/>
    <w:rsid w:val="001D5152"/>
    <w:rsid w:val="001E7FF1"/>
    <w:rsid w:val="001F6A21"/>
    <w:rsid w:val="00214FBD"/>
    <w:rsid w:val="002154C2"/>
    <w:rsid w:val="00215C37"/>
    <w:rsid w:val="00223C88"/>
    <w:rsid w:val="002336C6"/>
    <w:rsid w:val="002339EC"/>
    <w:rsid w:val="00236C06"/>
    <w:rsid w:val="0024593D"/>
    <w:rsid w:val="0025070A"/>
    <w:rsid w:val="00256F2E"/>
    <w:rsid w:val="00261A6C"/>
    <w:rsid w:val="00263144"/>
    <w:rsid w:val="00263A40"/>
    <w:rsid w:val="002747DC"/>
    <w:rsid w:val="002765A8"/>
    <w:rsid w:val="00282703"/>
    <w:rsid w:val="0028295A"/>
    <w:rsid w:val="00286B9E"/>
    <w:rsid w:val="0029378A"/>
    <w:rsid w:val="002B376A"/>
    <w:rsid w:val="002B5772"/>
    <w:rsid w:val="002B7B4A"/>
    <w:rsid w:val="002C300F"/>
    <w:rsid w:val="002C51E8"/>
    <w:rsid w:val="002D1E87"/>
    <w:rsid w:val="002E1ACD"/>
    <w:rsid w:val="002E4C67"/>
    <w:rsid w:val="002F0508"/>
    <w:rsid w:val="002F2B12"/>
    <w:rsid w:val="002F6DD0"/>
    <w:rsid w:val="003025D1"/>
    <w:rsid w:val="003032FD"/>
    <w:rsid w:val="0030587C"/>
    <w:rsid w:val="00314F05"/>
    <w:rsid w:val="00315973"/>
    <w:rsid w:val="003218F3"/>
    <w:rsid w:val="00325DE9"/>
    <w:rsid w:val="0032645E"/>
    <w:rsid w:val="00335928"/>
    <w:rsid w:val="00335E89"/>
    <w:rsid w:val="0033629C"/>
    <w:rsid w:val="00337834"/>
    <w:rsid w:val="00347ADE"/>
    <w:rsid w:val="00352C36"/>
    <w:rsid w:val="00360154"/>
    <w:rsid w:val="00372304"/>
    <w:rsid w:val="00380BB6"/>
    <w:rsid w:val="00391057"/>
    <w:rsid w:val="003949FD"/>
    <w:rsid w:val="003A226A"/>
    <w:rsid w:val="003A40B3"/>
    <w:rsid w:val="003A5044"/>
    <w:rsid w:val="003B540B"/>
    <w:rsid w:val="003C1EBE"/>
    <w:rsid w:val="003C346A"/>
    <w:rsid w:val="003C5AAF"/>
    <w:rsid w:val="003D038E"/>
    <w:rsid w:val="003D2CB9"/>
    <w:rsid w:val="003D3DAE"/>
    <w:rsid w:val="003D4534"/>
    <w:rsid w:val="003E12A7"/>
    <w:rsid w:val="003E71B3"/>
    <w:rsid w:val="003F5677"/>
    <w:rsid w:val="004016FF"/>
    <w:rsid w:val="00416918"/>
    <w:rsid w:val="00423239"/>
    <w:rsid w:val="00423905"/>
    <w:rsid w:val="0044019D"/>
    <w:rsid w:val="00454680"/>
    <w:rsid w:val="0046334D"/>
    <w:rsid w:val="0047521E"/>
    <w:rsid w:val="004A469E"/>
    <w:rsid w:val="004A5586"/>
    <w:rsid w:val="004E20F8"/>
    <w:rsid w:val="004E2107"/>
    <w:rsid w:val="004E677A"/>
    <w:rsid w:val="00501023"/>
    <w:rsid w:val="00501B6C"/>
    <w:rsid w:val="00513F77"/>
    <w:rsid w:val="00527CAB"/>
    <w:rsid w:val="00542AD6"/>
    <w:rsid w:val="00542F07"/>
    <w:rsid w:val="005669C2"/>
    <w:rsid w:val="0057135D"/>
    <w:rsid w:val="00585997"/>
    <w:rsid w:val="00590A51"/>
    <w:rsid w:val="00596E83"/>
    <w:rsid w:val="005A26E7"/>
    <w:rsid w:val="005C3ED7"/>
    <w:rsid w:val="005D1090"/>
    <w:rsid w:val="005E4283"/>
    <w:rsid w:val="005F03FB"/>
    <w:rsid w:val="005F1BDB"/>
    <w:rsid w:val="005F2D4F"/>
    <w:rsid w:val="00604467"/>
    <w:rsid w:val="00605E19"/>
    <w:rsid w:val="00605F2F"/>
    <w:rsid w:val="0061342D"/>
    <w:rsid w:val="00621801"/>
    <w:rsid w:val="00624FF2"/>
    <w:rsid w:val="00630E66"/>
    <w:rsid w:val="0064337B"/>
    <w:rsid w:val="00655317"/>
    <w:rsid w:val="006679BB"/>
    <w:rsid w:val="006C0571"/>
    <w:rsid w:val="006C1880"/>
    <w:rsid w:val="006C7905"/>
    <w:rsid w:val="006E02C6"/>
    <w:rsid w:val="006E718C"/>
    <w:rsid w:val="006F1E48"/>
    <w:rsid w:val="006F3723"/>
    <w:rsid w:val="007075C4"/>
    <w:rsid w:val="00713312"/>
    <w:rsid w:val="007147FF"/>
    <w:rsid w:val="007218FA"/>
    <w:rsid w:val="00721E34"/>
    <w:rsid w:val="0072740E"/>
    <w:rsid w:val="00730A97"/>
    <w:rsid w:val="0073241F"/>
    <w:rsid w:val="00737119"/>
    <w:rsid w:val="00737B61"/>
    <w:rsid w:val="007418E1"/>
    <w:rsid w:val="00743BB5"/>
    <w:rsid w:val="0075244A"/>
    <w:rsid w:val="00760D94"/>
    <w:rsid w:val="00766C75"/>
    <w:rsid w:val="00767D48"/>
    <w:rsid w:val="0077768F"/>
    <w:rsid w:val="00791525"/>
    <w:rsid w:val="00791D18"/>
    <w:rsid w:val="00792A9B"/>
    <w:rsid w:val="007B377A"/>
    <w:rsid w:val="007B4955"/>
    <w:rsid w:val="007B5C73"/>
    <w:rsid w:val="007C0A73"/>
    <w:rsid w:val="007C15A6"/>
    <w:rsid w:val="007C2878"/>
    <w:rsid w:val="007C530C"/>
    <w:rsid w:val="007C6669"/>
    <w:rsid w:val="007D3E71"/>
    <w:rsid w:val="007D591A"/>
    <w:rsid w:val="007E068C"/>
    <w:rsid w:val="007E15AE"/>
    <w:rsid w:val="007E7EDD"/>
    <w:rsid w:val="007E7F4F"/>
    <w:rsid w:val="007F01F0"/>
    <w:rsid w:val="007F0682"/>
    <w:rsid w:val="007F5437"/>
    <w:rsid w:val="00803904"/>
    <w:rsid w:val="00815C17"/>
    <w:rsid w:val="008166D8"/>
    <w:rsid w:val="00820750"/>
    <w:rsid w:val="00831A6F"/>
    <w:rsid w:val="008359FA"/>
    <w:rsid w:val="008463CD"/>
    <w:rsid w:val="0085104A"/>
    <w:rsid w:val="00865151"/>
    <w:rsid w:val="0087477A"/>
    <w:rsid w:val="00880F3E"/>
    <w:rsid w:val="008B7C20"/>
    <w:rsid w:val="008D3B45"/>
    <w:rsid w:val="008D58F9"/>
    <w:rsid w:val="008E25F3"/>
    <w:rsid w:val="008F0CB0"/>
    <w:rsid w:val="008F4E48"/>
    <w:rsid w:val="008F54F8"/>
    <w:rsid w:val="008F7AB3"/>
    <w:rsid w:val="0090409F"/>
    <w:rsid w:val="00904981"/>
    <w:rsid w:val="0091020E"/>
    <w:rsid w:val="00917B65"/>
    <w:rsid w:val="00947383"/>
    <w:rsid w:val="00956968"/>
    <w:rsid w:val="00962E11"/>
    <w:rsid w:val="00964EA6"/>
    <w:rsid w:val="009652F2"/>
    <w:rsid w:val="00976687"/>
    <w:rsid w:val="009778F0"/>
    <w:rsid w:val="00987557"/>
    <w:rsid w:val="009879EA"/>
    <w:rsid w:val="009948E4"/>
    <w:rsid w:val="009C3F6E"/>
    <w:rsid w:val="009C6D70"/>
    <w:rsid w:val="009C7E6C"/>
    <w:rsid w:val="009E349E"/>
    <w:rsid w:val="009E459C"/>
    <w:rsid w:val="009E5B04"/>
    <w:rsid w:val="009E6430"/>
    <w:rsid w:val="00A0399C"/>
    <w:rsid w:val="00A06961"/>
    <w:rsid w:val="00A12466"/>
    <w:rsid w:val="00A15CDD"/>
    <w:rsid w:val="00A24E9C"/>
    <w:rsid w:val="00A317DF"/>
    <w:rsid w:val="00A36F03"/>
    <w:rsid w:val="00A4421C"/>
    <w:rsid w:val="00A760B4"/>
    <w:rsid w:val="00A855C7"/>
    <w:rsid w:val="00A8567C"/>
    <w:rsid w:val="00AA215B"/>
    <w:rsid w:val="00AA4606"/>
    <w:rsid w:val="00AA65F6"/>
    <w:rsid w:val="00AB1908"/>
    <w:rsid w:val="00AB546A"/>
    <w:rsid w:val="00AC2ABE"/>
    <w:rsid w:val="00AD565F"/>
    <w:rsid w:val="00AD6129"/>
    <w:rsid w:val="00AD73DB"/>
    <w:rsid w:val="00AE266D"/>
    <w:rsid w:val="00AF5F23"/>
    <w:rsid w:val="00B01F36"/>
    <w:rsid w:val="00B1007C"/>
    <w:rsid w:val="00B116CB"/>
    <w:rsid w:val="00B14590"/>
    <w:rsid w:val="00B15934"/>
    <w:rsid w:val="00B336EA"/>
    <w:rsid w:val="00B35B59"/>
    <w:rsid w:val="00B5711B"/>
    <w:rsid w:val="00B67E5A"/>
    <w:rsid w:val="00B800CB"/>
    <w:rsid w:val="00B821E7"/>
    <w:rsid w:val="00B8338F"/>
    <w:rsid w:val="00B873FA"/>
    <w:rsid w:val="00B935E0"/>
    <w:rsid w:val="00BA0AC4"/>
    <w:rsid w:val="00BA35B5"/>
    <w:rsid w:val="00BA3678"/>
    <w:rsid w:val="00BA789B"/>
    <w:rsid w:val="00BB1464"/>
    <w:rsid w:val="00BB1625"/>
    <w:rsid w:val="00BB4302"/>
    <w:rsid w:val="00BD1256"/>
    <w:rsid w:val="00BE0BB6"/>
    <w:rsid w:val="00BE26EF"/>
    <w:rsid w:val="00BE4235"/>
    <w:rsid w:val="00BE67A6"/>
    <w:rsid w:val="00BF4FF3"/>
    <w:rsid w:val="00C0313C"/>
    <w:rsid w:val="00C0500F"/>
    <w:rsid w:val="00C22C5E"/>
    <w:rsid w:val="00C24F07"/>
    <w:rsid w:val="00C348CC"/>
    <w:rsid w:val="00C67B5F"/>
    <w:rsid w:val="00CA1658"/>
    <w:rsid w:val="00CB50B5"/>
    <w:rsid w:val="00CC2590"/>
    <w:rsid w:val="00CE1B2A"/>
    <w:rsid w:val="00D012A1"/>
    <w:rsid w:val="00D027E4"/>
    <w:rsid w:val="00D06A80"/>
    <w:rsid w:val="00D06C3F"/>
    <w:rsid w:val="00D23F61"/>
    <w:rsid w:val="00D30F73"/>
    <w:rsid w:val="00D30FBF"/>
    <w:rsid w:val="00D356CE"/>
    <w:rsid w:val="00D37431"/>
    <w:rsid w:val="00D568C9"/>
    <w:rsid w:val="00D622CB"/>
    <w:rsid w:val="00D7062F"/>
    <w:rsid w:val="00D728CB"/>
    <w:rsid w:val="00D75E4D"/>
    <w:rsid w:val="00D770CD"/>
    <w:rsid w:val="00D8057B"/>
    <w:rsid w:val="00D87C44"/>
    <w:rsid w:val="00D95A29"/>
    <w:rsid w:val="00DA2693"/>
    <w:rsid w:val="00DA2CEC"/>
    <w:rsid w:val="00DA5703"/>
    <w:rsid w:val="00DB1621"/>
    <w:rsid w:val="00DB7BA8"/>
    <w:rsid w:val="00DC626C"/>
    <w:rsid w:val="00DD1986"/>
    <w:rsid w:val="00DD3386"/>
    <w:rsid w:val="00E02D58"/>
    <w:rsid w:val="00E06895"/>
    <w:rsid w:val="00E20191"/>
    <w:rsid w:val="00E21304"/>
    <w:rsid w:val="00E32B65"/>
    <w:rsid w:val="00E338D7"/>
    <w:rsid w:val="00E55800"/>
    <w:rsid w:val="00E55EBA"/>
    <w:rsid w:val="00E65B82"/>
    <w:rsid w:val="00E66245"/>
    <w:rsid w:val="00E71B4A"/>
    <w:rsid w:val="00E80B9B"/>
    <w:rsid w:val="00E92C9B"/>
    <w:rsid w:val="00EB011B"/>
    <w:rsid w:val="00EC23F8"/>
    <w:rsid w:val="00EC4AFF"/>
    <w:rsid w:val="00EC5568"/>
    <w:rsid w:val="00ED6EA3"/>
    <w:rsid w:val="00EF00C8"/>
    <w:rsid w:val="00EF2381"/>
    <w:rsid w:val="00EF3ECE"/>
    <w:rsid w:val="00F02EA0"/>
    <w:rsid w:val="00F15C19"/>
    <w:rsid w:val="00F32309"/>
    <w:rsid w:val="00F36075"/>
    <w:rsid w:val="00F51F9D"/>
    <w:rsid w:val="00F560D8"/>
    <w:rsid w:val="00F776AD"/>
    <w:rsid w:val="00F817F2"/>
    <w:rsid w:val="00F86640"/>
    <w:rsid w:val="00F87777"/>
    <w:rsid w:val="00F90D7E"/>
    <w:rsid w:val="00F929B4"/>
    <w:rsid w:val="00FA02F7"/>
    <w:rsid w:val="00FB0705"/>
    <w:rsid w:val="00FC2E97"/>
    <w:rsid w:val="00FD3BA0"/>
    <w:rsid w:val="00FE33E0"/>
    <w:rsid w:val="00FF33EF"/>
    <w:rsid w:val="00FF4DB3"/>
    <w:rsid w:val="00FF5C6E"/>
    <w:rsid w:val="00FF6D9A"/>
    <w:rsid w:val="3049624A"/>
    <w:rsid w:val="7337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FC7C"/>
  <w15:chartTrackingRefBased/>
  <w15:docId w15:val="{FC157C30-BA9A-4FC9-93F1-51B453C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69"/>
    <w:pPr>
      <w:spacing w:before="120" w:after="160" w:line="336" w:lineRule="auto"/>
    </w:pPr>
    <w:rPr>
      <w:rFonts w:ascii="DM Sans" w:eastAsia="Calibri" w:hAnsi="DM Sans" w:cs="Times New Roman"/>
      <w:color w:val="0072CE"/>
      <w:sz w:val="22"/>
      <w:szCs w:val="2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rsid w:val="00D87C44"/>
    <w:rPr>
      <w:color w:val="FF6D3A" w:themeColor="hyperlink"/>
      <w:u w:val="single"/>
    </w:rPr>
  </w:style>
  <w:style w:type="paragraph" w:styleId="FootnoteText">
    <w:name w:val="footnote text"/>
    <w:basedOn w:val="Normal"/>
    <w:link w:val="FootnoteTextChar"/>
    <w:uiPriority w:val="99"/>
    <w:semiHidden/>
    <w:unhideWhenUsed/>
    <w:rsid w:val="00D87C44"/>
    <w:pPr>
      <w:spacing w:before="0" w:after="0" w:line="240" w:lineRule="auto"/>
    </w:pPr>
    <w:rPr>
      <w:rFonts w:asciiTheme="minorHAnsi" w:eastAsiaTheme="minorHAnsi" w:hAnsiTheme="minorHAnsi" w:cstheme="minorBidi"/>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D87C44"/>
    <w:rPr>
      <w:kern w:val="2"/>
      <w:sz w:val="20"/>
      <w:szCs w:val="20"/>
      <w14:ligatures w14:val="standardContextual"/>
    </w:rPr>
  </w:style>
  <w:style w:type="character" w:styleId="FootnoteReference">
    <w:name w:val="footnote reference"/>
    <w:basedOn w:val="DefaultParagraphFont"/>
    <w:uiPriority w:val="99"/>
    <w:semiHidden/>
    <w:unhideWhenUsed/>
    <w:rsid w:val="00D87C44"/>
    <w:rPr>
      <w:vertAlign w:val="superscript"/>
    </w:rPr>
  </w:style>
  <w:style w:type="character" w:styleId="CommentReference">
    <w:name w:val="annotation reference"/>
    <w:basedOn w:val="DefaultParagraphFont"/>
    <w:uiPriority w:val="99"/>
    <w:semiHidden/>
    <w:unhideWhenUsed/>
    <w:rsid w:val="008B7C20"/>
    <w:rPr>
      <w:sz w:val="16"/>
      <w:szCs w:val="16"/>
    </w:rPr>
  </w:style>
  <w:style w:type="paragraph" w:styleId="CommentText">
    <w:name w:val="annotation text"/>
    <w:basedOn w:val="Normal"/>
    <w:link w:val="CommentTextChar"/>
    <w:uiPriority w:val="99"/>
    <w:unhideWhenUsed/>
    <w:rsid w:val="008B7C20"/>
    <w:pPr>
      <w:spacing w:before="0" w:line="240" w:lineRule="auto"/>
    </w:pPr>
    <w:rPr>
      <w:rFonts w:asciiTheme="minorHAnsi" w:eastAsiaTheme="minorHAnsi"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8B7C2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B7C20"/>
    <w:pPr>
      <w:spacing w:before="120"/>
    </w:pPr>
    <w:rPr>
      <w:rFonts w:ascii="DM Sans" w:eastAsia="Calibri" w:hAnsi="DM Sans" w:cs="Times New Roman"/>
      <w:b/>
      <w:bCs/>
      <w:color w:val="0072CE"/>
      <w:kern w:val="0"/>
      <w14:ligatures w14:val="none"/>
    </w:rPr>
  </w:style>
  <w:style w:type="character" w:customStyle="1" w:styleId="CommentSubjectChar">
    <w:name w:val="Comment Subject Char"/>
    <w:basedOn w:val="CommentTextChar"/>
    <w:link w:val="CommentSubject"/>
    <w:uiPriority w:val="99"/>
    <w:semiHidden/>
    <w:rsid w:val="008B7C20"/>
    <w:rPr>
      <w:rFonts w:ascii="DM Sans" w:eastAsia="Calibri" w:hAnsi="DM Sans" w:cs="Times New Roman"/>
      <w:b/>
      <w:bCs/>
      <w:color w:val="0072CE"/>
      <w:kern w:val="2"/>
      <w:sz w:val="20"/>
      <w:szCs w:val="20"/>
      <w14:ligatures w14:val="standardContextual"/>
    </w:rPr>
  </w:style>
  <w:style w:type="character" w:styleId="UnresolvedMention">
    <w:name w:val="Unresolved Mention"/>
    <w:basedOn w:val="DefaultParagraphFont"/>
    <w:uiPriority w:val="99"/>
    <w:semiHidden/>
    <w:unhideWhenUsed/>
    <w:rsid w:val="007075C4"/>
    <w:rPr>
      <w:color w:val="605E5C"/>
      <w:shd w:val="clear" w:color="auto" w:fill="E1DFDD"/>
    </w:rPr>
  </w:style>
  <w:style w:type="paragraph" w:styleId="Revision">
    <w:name w:val="Revision"/>
    <w:hidden/>
    <w:uiPriority w:val="99"/>
    <w:semiHidden/>
    <w:rsid w:val="007F5437"/>
    <w:rPr>
      <w:rFonts w:ascii="DM Sans" w:eastAsia="Calibri" w:hAnsi="DM Sans" w:cs="Times New Roman"/>
      <w:color w:val="0072CE"/>
      <w:sz w:val="22"/>
      <w:szCs w:val="22"/>
    </w:rPr>
  </w:style>
  <w:style w:type="paragraph" w:styleId="ListParagraph">
    <w:name w:val="List Paragraph"/>
    <w:basedOn w:val="Normal"/>
    <w:uiPriority w:val="34"/>
    <w:qFormat/>
    <w:rsid w:val="000C36F2"/>
    <w:pPr>
      <w:spacing w:before="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customStyle="1" w:styleId="uv3um">
    <w:name w:val="uv3um"/>
    <w:basedOn w:val="DefaultParagraphFont"/>
    <w:rsid w:val="000C36F2"/>
  </w:style>
  <w:style w:type="character" w:styleId="FollowedHyperlink">
    <w:name w:val="FollowedHyperlink"/>
    <w:basedOn w:val="DefaultParagraphFont"/>
    <w:uiPriority w:val="99"/>
    <w:semiHidden/>
    <w:unhideWhenUsed/>
    <w:rsid w:val="000A16C3"/>
    <w:rPr>
      <w:color w:val="CB00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org.uk/national-pharmacy-services/advanced-services/hypertension-case-finding-service/" TargetMode="External"/><Relationship Id="rId13" Type="http://schemas.openxmlformats.org/officeDocument/2006/relationships/hyperlink" Target="https://cpe.org.uk/national-pharmacy-services/national-enhanced-services/covid-19-vaccination-service/" TargetMode="External"/><Relationship Id="rId18" Type="http://schemas.openxmlformats.org/officeDocument/2006/relationships/hyperlink" Target="https://cpe.org.uk/national-pharmacy-services/advanced-services/nm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pe.org.uk/national-pharmacy-services/advanced-services/flu-vaccination-service/" TargetMode="External"/><Relationship Id="rId17" Type="http://schemas.openxmlformats.org/officeDocument/2006/relationships/hyperlink" Target="https://cpe.org.uk/national-pharmacy-services/advanced-services/pharmacy-first-service/" TargetMode="External"/><Relationship Id="rId2" Type="http://schemas.openxmlformats.org/officeDocument/2006/relationships/numbering" Target="numbering.xml"/><Relationship Id="rId16" Type="http://schemas.openxmlformats.org/officeDocument/2006/relationships/hyperlink" Target="https://cpe.org.uk/national-pharmacy-services/advanced-services/pharmacy-contraception-service/" TargetMode="External"/><Relationship Id="rId20" Type="http://schemas.openxmlformats.org/officeDocument/2006/relationships/hyperlink" Target="https://cpe.org.uk/national-pharmacy-services/essential-services/discharge-medicines-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london.ac.uk/projects/outputs/hiding-plain-sight-treating-tobacco-dependency-nh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pe.org.uk/national-pharmacy-services/national-enhanced-services/rsv-and-pertussis-vaccination-service/" TargetMode="External"/><Relationship Id="rId23" Type="http://schemas.openxmlformats.org/officeDocument/2006/relationships/fontTable" Target="fontTable.xml"/><Relationship Id="rId10" Type="http://schemas.openxmlformats.org/officeDocument/2006/relationships/hyperlink" Target="https://tobaccocontrol.bmj.com/content/26/3/293" TargetMode="External"/><Relationship Id="rId19" Type="http://schemas.openxmlformats.org/officeDocument/2006/relationships/hyperlink" Target="https://www.england.nhs.uk/primary-care/pharmacy/pharmacy-services/nhs-new-medicine-service/" TargetMode="External"/><Relationship Id="rId4" Type="http://schemas.openxmlformats.org/officeDocument/2006/relationships/settings" Target="settings.xml"/><Relationship Id="rId9" Type="http://schemas.openxmlformats.org/officeDocument/2006/relationships/hyperlink" Target="https://cpe.org.uk/national-pharmacy-services/advanced-services/smoking-cessation-service/" TargetMode="External"/><Relationship Id="rId14" Type="http://schemas.openxmlformats.org/officeDocument/2006/relationships/hyperlink" Target="https://cpe.org.uk/national-pharmacy-services/advanced-services/childhood-flu-vaccination-servic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3511</Words>
  <Characters>21035</Characters>
  <Application>Microsoft Office Word</Application>
  <DocSecurity>0</DocSecurity>
  <Lines>382</Lines>
  <Paragraphs>175</Paragraphs>
  <ScaleCrop>false</ScaleCrop>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Vicki Roberts</dc:creator>
  <cp:keywords/>
  <dc:description/>
  <cp:lastModifiedBy>Vicki Roberts</cp:lastModifiedBy>
  <cp:revision>60</cp:revision>
  <cp:lastPrinted>2022-06-09T11:49:00Z</cp:lastPrinted>
  <dcterms:created xsi:type="dcterms:W3CDTF">2025-11-04T15:09:00Z</dcterms:created>
  <dcterms:modified xsi:type="dcterms:W3CDTF">2025-11-05T10:56:00Z</dcterms:modified>
</cp:coreProperties>
</file>