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C544" w14:textId="4D1C79EE" w:rsidR="008B7C20" w:rsidRPr="00360154" w:rsidRDefault="00C0500F" w:rsidP="008B7C20">
      <w:pPr>
        <w:pStyle w:val="BodyText"/>
        <w:rPr>
          <w:color w:val="auto"/>
        </w:rPr>
      </w:pPr>
      <w:r>
        <w:rPr>
          <w:color w:val="auto"/>
        </w:rPr>
        <w:tab/>
      </w:r>
      <w:r>
        <w:rPr>
          <w:color w:val="auto"/>
        </w:rPr>
        <w:tab/>
      </w:r>
      <w:r w:rsidR="008B7C20" w:rsidRPr="00360154">
        <w:rPr>
          <w:color w:val="auto"/>
        </w:rPr>
        <w:tab/>
      </w:r>
      <w:r w:rsidR="008B7C20" w:rsidRPr="00360154">
        <w:rPr>
          <w:color w:val="auto"/>
        </w:rPr>
        <w:tab/>
      </w:r>
      <w:r w:rsidR="008B7C20" w:rsidRPr="00360154">
        <w:rPr>
          <w:color w:val="auto"/>
        </w:rPr>
        <w:tab/>
      </w:r>
      <w:r w:rsidR="008B7C20" w:rsidRPr="00360154">
        <w:rPr>
          <w:color w:val="auto"/>
        </w:rPr>
        <w:tab/>
      </w:r>
      <w:r w:rsidR="003218F3">
        <w:rPr>
          <w:color w:val="auto"/>
        </w:rPr>
        <w:tab/>
      </w:r>
      <w:r w:rsidR="008B7C20" w:rsidRPr="00360154">
        <w:rPr>
          <w:color w:val="auto"/>
        </w:rPr>
        <w:tab/>
      </w:r>
      <w:r w:rsidR="008B7C20" w:rsidRPr="00360154">
        <w:rPr>
          <w:color w:val="auto"/>
        </w:rPr>
        <w:tab/>
      </w:r>
      <w:r w:rsidR="008B7C20" w:rsidRPr="00360154">
        <w:rPr>
          <w:color w:val="auto"/>
        </w:rPr>
        <w:tab/>
      </w:r>
      <w:r w:rsidR="00815C17">
        <w:rPr>
          <w:color w:val="auto"/>
        </w:rPr>
        <w:tab/>
      </w:r>
      <w:r w:rsidR="00AA65F6">
        <w:rPr>
          <w:color w:val="auto"/>
        </w:rPr>
        <w:t xml:space="preserve">November </w:t>
      </w:r>
      <w:r w:rsidR="008B7C20" w:rsidRPr="00360154">
        <w:rPr>
          <w:color w:val="auto"/>
        </w:rPr>
        <w:t xml:space="preserve"> 2025</w:t>
      </w:r>
    </w:p>
    <w:p w14:paraId="5E0E4A74" w14:textId="77777777" w:rsidR="00AA65F6" w:rsidRDefault="00AA65F6" w:rsidP="00AA65F6">
      <w:pPr>
        <w:pStyle w:val="BodyText"/>
        <w:spacing w:line="240" w:lineRule="auto"/>
        <w:rPr>
          <w:rFonts w:ascii="Mokoko Medium" w:eastAsia="Calibri" w:hAnsi="Mokoko Medium" w:cs="Mokoko Medium"/>
          <w:sz w:val="46"/>
          <w:szCs w:val="46"/>
        </w:rPr>
      </w:pPr>
      <w:r w:rsidRPr="00AA65F6">
        <w:rPr>
          <w:rFonts w:ascii="Mokoko Medium" w:eastAsia="Calibri" w:hAnsi="Mokoko Medium" w:cs="Mokoko Medium"/>
          <w:sz w:val="46"/>
          <w:szCs w:val="46"/>
        </w:rPr>
        <w:t>Community Pharmacy: A vital partner in Neighbourhood Health - Supporting Integrated Neighbourhood Teams to deliver local health priorities</w:t>
      </w:r>
    </w:p>
    <w:p w14:paraId="317F06A2" w14:textId="77777777" w:rsidR="00A0399C" w:rsidRDefault="00A0399C" w:rsidP="00A0399C">
      <w:pPr>
        <w:pStyle w:val="CPE-Heading2"/>
        <w:spacing w:before="0"/>
      </w:pPr>
    </w:p>
    <w:p w14:paraId="39CBA8F6" w14:textId="64371DCC" w:rsidR="00A0399C" w:rsidRPr="00A0399C" w:rsidRDefault="00A0399C" w:rsidP="00286B9E">
      <w:pPr>
        <w:pStyle w:val="CPE-Heading2"/>
        <w:spacing w:before="0"/>
      </w:pPr>
      <w:r w:rsidRPr="00A0399C">
        <w:t>Introduction: A readily available health resource in every community</w:t>
      </w:r>
    </w:p>
    <w:p w14:paraId="2B887B97" w14:textId="229290C8" w:rsidR="00E63C87" w:rsidRPr="006F68DB" w:rsidRDefault="006F68DB" w:rsidP="006F68DB">
      <w:pPr>
        <w:pStyle w:val="BodyText"/>
        <w:spacing w:after="0"/>
        <w:rPr>
          <w:color w:val="auto"/>
        </w:rPr>
      </w:pPr>
      <w:r w:rsidRPr="006F68DB">
        <w:rPr>
          <w:color w:val="auto"/>
        </w:rPr>
        <w:t>Community pharmacies are an underutilised but essential partner in tackling local health challenges. Embedded in every neighbourhood, they offer walk-in access to clinical and preventative care services and are staffed by regulated healthcare professionals. They bring care closer to home and are critical to delivering the 'left shift' ambitions outlined in the 10 Year Health Plan by reducing reliance on hospital and GP services and improving care in the community.</w:t>
      </w:r>
    </w:p>
    <w:p w14:paraId="7C6392D6" w14:textId="60049143" w:rsidR="00F36075" w:rsidRDefault="006F68DB" w:rsidP="006F68DB">
      <w:pPr>
        <w:pStyle w:val="BodyText"/>
        <w:spacing w:after="0"/>
        <w:rPr>
          <w:color w:val="auto"/>
        </w:rPr>
      </w:pPr>
      <w:r w:rsidRPr="006F68DB">
        <w:rPr>
          <w:color w:val="auto"/>
        </w:rPr>
        <w:t xml:space="preserve">This document will help </w:t>
      </w:r>
      <w:r w:rsidRPr="00E63C87">
        <w:rPr>
          <w:b/>
          <w:bCs/>
          <w:color w:val="auto"/>
        </w:rPr>
        <w:t>local NHS systems</w:t>
      </w:r>
      <w:r w:rsidRPr="006F68DB">
        <w:rPr>
          <w:color w:val="auto"/>
        </w:rPr>
        <w:t xml:space="preserve"> – including </w:t>
      </w:r>
      <w:r w:rsidRPr="00E63C87">
        <w:rPr>
          <w:b/>
          <w:bCs/>
          <w:color w:val="auto"/>
        </w:rPr>
        <w:t>ICBs, Place partnerships, and Neighbourhood Teams</w:t>
      </w:r>
      <w:r w:rsidRPr="006F68DB">
        <w:rPr>
          <w:color w:val="auto"/>
        </w:rPr>
        <w:t xml:space="preserve"> – understand the full potential of community pharmacy as a </w:t>
      </w:r>
      <w:r w:rsidRPr="00E63C87">
        <w:rPr>
          <w:b/>
          <w:bCs/>
          <w:color w:val="auto"/>
        </w:rPr>
        <w:t>proactive partner in integrated care</w:t>
      </w:r>
      <w:r w:rsidRPr="006F68DB">
        <w:rPr>
          <w:color w:val="auto"/>
        </w:rPr>
        <w:t xml:space="preserve">, especially in relation to </w:t>
      </w:r>
      <w:r w:rsidRPr="004C6A0E">
        <w:rPr>
          <w:b/>
          <w:bCs/>
          <w:color w:val="auto"/>
        </w:rPr>
        <w:t>prevention, early intervention, medicines optimisation</w:t>
      </w:r>
      <w:r w:rsidRPr="006F68DB">
        <w:rPr>
          <w:color w:val="auto"/>
        </w:rPr>
        <w:t xml:space="preserve">, and </w:t>
      </w:r>
      <w:r w:rsidRPr="004C6A0E">
        <w:rPr>
          <w:b/>
          <w:bCs/>
          <w:color w:val="auto"/>
        </w:rPr>
        <w:t>reducing health inequalities</w:t>
      </w:r>
      <w:r w:rsidRPr="006F68DB">
        <w:rPr>
          <w:color w:val="auto"/>
        </w:rPr>
        <w:t>.</w:t>
      </w:r>
    </w:p>
    <w:p w14:paraId="5CD3D4E7" w14:textId="77777777" w:rsidR="00EF00C8" w:rsidRDefault="00EF00C8" w:rsidP="00EF00C8">
      <w:pPr>
        <w:pStyle w:val="BodyText"/>
        <w:spacing w:after="0" w:line="288" w:lineRule="auto"/>
        <w:rPr>
          <w:color w:val="auto"/>
        </w:rPr>
      </w:pPr>
    </w:p>
    <w:p w14:paraId="30ACC410" w14:textId="764DAA96" w:rsidR="006F3723" w:rsidRDefault="00E32B65" w:rsidP="00E32B65">
      <w:pPr>
        <w:pStyle w:val="CPE-Heading2"/>
        <w:spacing w:before="0"/>
      </w:pPr>
      <w:r w:rsidRPr="00E32B65">
        <w:t>The value of community pharmacy in meeting local health needs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4"/>
        <w:gridCol w:w="5030"/>
      </w:tblGrid>
      <w:tr w:rsidR="00F32309" w:rsidRPr="00F32309" w14:paraId="32B1C2EA" w14:textId="77777777" w:rsidTr="000A3BBC">
        <w:trPr>
          <w:tblHeader/>
          <w:tblCellSpacing w:w="15" w:type="dxa"/>
          <w:jc w:val="center"/>
        </w:trPr>
        <w:tc>
          <w:tcPr>
            <w:tcW w:w="0" w:type="auto"/>
            <w:vAlign w:val="center"/>
            <w:hideMark/>
          </w:tcPr>
          <w:p w14:paraId="34002794" w14:textId="77777777" w:rsidR="00F32309" w:rsidRPr="00F32309" w:rsidRDefault="00F32309" w:rsidP="000A3BBC">
            <w:pPr>
              <w:ind w:left="82"/>
              <w:rPr>
                <w:rFonts w:cs="Arial"/>
                <w:b/>
                <w:bCs/>
                <w:color w:val="auto"/>
              </w:rPr>
            </w:pPr>
            <w:r w:rsidRPr="00F32309">
              <w:rPr>
                <w:rFonts w:cs="Arial"/>
                <w:b/>
                <w:bCs/>
                <w:color w:val="auto"/>
              </w:rPr>
              <w:t>Pharmacy strength</w:t>
            </w:r>
          </w:p>
        </w:tc>
        <w:tc>
          <w:tcPr>
            <w:tcW w:w="0" w:type="auto"/>
            <w:vAlign w:val="center"/>
            <w:hideMark/>
          </w:tcPr>
          <w:p w14:paraId="04FB2B1E" w14:textId="77777777" w:rsidR="00F32309" w:rsidRPr="00F32309" w:rsidRDefault="00F32309" w:rsidP="000A3BBC">
            <w:pPr>
              <w:ind w:left="82"/>
              <w:rPr>
                <w:rFonts w:cs="Arial"/>
                <w:b/>
                <w:bCs/>
                <w:color w:val="auto"/>
              </w:rPr>
            </w:pPr>
            <w:r w:rsidRPr="00F32309">
              <w:rPr>
                <w:rFonts w:cs="Arial"/>
                <w:b/>
                <w:bCs/>
                <w:color w:val="auto"/>
              </w:rPr>
              <w:t>How it supports local NHS priorities</w:t>
            </w:r>
          </w:p>
        </w:tc>
      </w:tr>
      <w:tr w:rsidR="00F32309" w:rsidRPr="00F32309" w14:paraId="54D0DB57" w14:textId="77777777" w:rsidTr="000A3BBC">
        <w:trPr>
          <w:tblCellSpacing w:w="15" w:type="dxa"/>
          <w:jc w:val="center"/>
        </w:trPr>
        <w:tc>
          <w:tcPr>
            <w:tcW w:w="0" w:type="auto"/>
            <w:vAlign w:val="center"/>
            <w:hideMark/>
          </w:tcPr>
          <w:p w14:paraId="688F5A81" w14:textId="77777777" w:rsidR="00F32309" w:rsidRPr="00F32309" w:rsidRDefault="00F32309" w:rsidP="000A3BBC">
            <w:pPr>
              <w:ind w:left="82"/>
              <w:rPr>
                <w:rFonts w:cs="Arial"/>
                <w:color w:val="auto"/>
              </w:rPr>
            </w:pPr>
            <w:r w:rsidRPr="00F32309">
              <w:rPr>
                <w:rFonts w:cs="Arial"/>
                <w:color w:val="auto"/>
              </w:rPr>
              <w:t>Walk-in access, no appointment needed, often evening and weekend opening.</w:t>
            </w:r>
          </w:p>
        </w:tc>
        <w:tc>
          <w:tcPr>
            <w:tcW w:w="0" w:type="auto"/>
            <w:vAlign w:val="center"/>
            <w:hideMark/>
          </w:tcPr>
          <w:p w14:paraId="5E8FFC59" w14:textId="77777777" w:rsidR="00F32309" w:rsidRPr="00F32309" w:rsidRDefault="00F32309" w:rsidP="000A3BBC">
            <w:pPr>
              <w:ind w:left="82"/>
              <w:rPr>
                <w:rFonts w:cs="Arial"/>
                <w:color w:val="auto"/>
              </w:rPr>
            </w:pPr>
            <w:r w:rsidRPr="00F32309">
              <w:rPr>
                <w:rFonts w:cs="Arial"/>
                <w:color w:val="auto"/>
              </w:rPr>
              <w:t>Reduces pressure on GPs and A&amp;E; enables same-day care and early intervention.</w:t>
            </w:r>
          </w:p>
        </w:tc>
      </w:tr>
      <w:tr w:rsidR="00F32309" w:rsidRPr="00F32309" w14:paraId="15899CE3" w14:textId="77777777" w:rsidTr="000A3BBC">
        <w:trPr>
          <w:tblCellSpacing w:w="15" w:type="dxa"/>
          <w:jc w:val="center"/>
        </w:trPr>
        <w:tc>
          <w:tcPr>
            <w:tcW w:w="0" w:type="auto"/>
            <w:vAlign w:val="center"/>
            <w:hideMark/>
          </w:tcPr>
          <w:p w14:paraId="6B7B7FDB" w14:textId="77777777" w:rsidR="00F32309" w:rsidRPr="00F32309" w:rsidRDefault="00F32309" w:rsidP="000A3BBC">
            <w:pPr>
              <w:ind w:left="82"/>
              <w:rPr>
                <w:rFonts w:cs="Arial"/>
                <w:color w:val="auto"/>
              </w:rPr>
            </w:pPr>
            <w:r w:rsidRPr="00F32309">
              <w:rPr>
                <w:rFonts w:cs="Arial"/>
                <w:color w:val="auto"/>
              </w:rPr>
              <w:t>Located in the heart of communities supported by staff from within the community.</w:t>
            </w:r>
          </w:p>
        </w:tc>
        <w:tc>
          <w:tcPr>
            <w:tcW w:w="0" w:type="auto"/>
            <w:vAlign w:val="center"/>
            <w:hideMark/>
          </w:tcPr>
          <w:p w14:paraId="7BE4D9EF" w14:textId="77777777" w:rsidR="00F32309" w:rsidRPr="00F32309" w:rsidRDefault="00F32309" w:rsidP="000A3BBC">
            <w:pPr>
              <w:ind w:left="82"/>
              <w:rPr>
                <w:rFonts w:cs="Arial"/>
                <w:color w:val="auto"/>
              </w:rPr>
            </w:pPr>
            <w:r w:rsidRPr="00F32309">
              <w:rPr>
                <w:rFonts w:cs="Arial"/>
                <w:color w:val="auto"/>
              </w:rPr>
              <w:t>Ideal for tackling health inequalities and engaging underserved populations.</w:t>
            </w:r>
          </w:p>
        </w:tc>
      </w:tr>
      <w:tr w:rsidR="00F32309" w:rsidRPr="00F32309" w14:paraId="534022E4" w14:textId="77777777" w:rsidTr="000A3BBC">
        <w:trPr>
          <w:tblCellSpacing w:w="15" w:type="dxa"/>
          <w:jc w:val="center"/>
        </w:trPr>
        <w:tc>
          <w:tcPr>
            <w:tcW w:w="0" w:type="auto"/>
            <w:vAlign w:val="center"/>
            <w:hideMark/>
          </w:tcPr>
          <w:p w14:paraId="5B547C11" w14:textId="77777777" w:rsidR="00F32309" w:rsidRPr="00F32309" w:rsidRDefault="00F32309" w:rsidP="000A3BBC">
            <w:pPr>
              <w:ind w:left="82"/>
              <w:rPr>
                <w:rFonts w:cs="Arial"/>
                <w:color w:val="auto"/>
              </w:rPr>
            </w:pPr>
            <w:r w:rsidRPr="00F32309">
              <w:rPr>
                <w:rFonts w:cs="Arial"/>
                <w:color w:val="auto"/>
              </w:rPr>
              <w:t>Skilled, regulated healthcare teams comprising pharmacists and pharmacy technicians.</w:t>
            </w:r>
          </w:p>
        </w:tc>
        <w:tc>
          <w:tcPr>
            <w:tcW w:w="0" w:type="auto"/>
            <w:vAlign w:val="center"/>
            <w:hideMark/>
          </w:tcPr>
          <w:p w14:paraId="53287C94" w14:textId="77777777" w:rsidR="00F32309" w:rsidRPr="00F32309" w:rsidRDefault="00F32309" w:rsidP="000A3BBC">
            <w:pPr>
              <w:ind w:left="82"/>
              <w:rPr>
                <w:rFonts w:cs="Arial"/>
                <w:color w:val="auto"/>
              </w:rPr>
            </w:pPr>
            <w:r w:rsidRPr="00F32309">
              <w:rPr>
                <w:rFonts w:cs="Arial"/>
                <w:color w:val="auto"/>
              </w:rPr>
              <w:t>Enhance clinical capacity and support multi-disciplinary team working.</w:t>
            </w:r>
          </w:p>
        </w:tc>
      </w:tr>
      <w:tr w:rsidR="00F32309" w:rsidRPr="00F32309" w14:paraId="134F9EFF" w14:textId="77777777" w:rsidTr="000A3BBC">
        <w:trPr>
          <w:tblCellSpacing w:w="15" w:type="dxa"/>
          <w:jc w:val="center"/>
        </w:trPr>
        <w:tc>
          <w:tcPr>
            <w:tcW w:w="0" w:type="auto"/>
            <w:vAlign w:val="center"/>
            <w:hideMark/>
          </w:tcPr>
          <w:p w14:paraId="5E875899" w14:textId="77777777" w:rsidR="00F32309" w:rsidRPr="00F32309" w:rsidRDefault="00F32309" w:rsidP="000A3BBC">
            <w:pPr>
              <w:ind w:left="82"/>
              <w:rPr>
                <w:rFonts w:cs="Arial"/>
                <w:color w:val="auto"/>
              </w:rPr>
            </w:pPr>
            <w:r w:rsidRPr="00F32309">
              <w:rPr>
                <w:rFonts w:cs="Arial"/>
                <w:color w:val="auto"/>
              </w:rPr>
              <w:t>Trusted by the public.</w:t>
            </w:r>
          </w:p>
        </w:tc>
        <w:tc>
          <w:tcPr>
            <w:tcW w:w="0" w:type="auto"/>
            <w:vAlign w:val="center"/>
            <w:hideMark/>
          </w:tcPr>
          <w:p w14:paraId="095EC246" w14:textId="77777777" w:rsidR="00F32309" w:rsidRPr="00F32309" w:rsidRDefault="00F32309" w:rsidP="000A3BBC">
            <w:pPr>
              <w:ind w:left="82"/>
              <w:rPr>
                <w:rFonts w:cs="Arial"/>
                <w:color w:val="auto"/>
              </w:rPr>
            </w:pPr>
            <w:r w:rsidRPr="00F32309">
              <w:rPr>
                <w:rFonts w:cs="Arial"/>
                <w:color w:val="auto"/>
              </w:rPr>
              <w:t>Support behaviour change, adherence, and self-care through long-standing relationships.</w:t>
            </w:r>
          </w:p>
        </w:tc>
      </w:tr>
      <w:tr w:rsidR="00F32309" w:rsidRPr="00F32309" w14:paraId="2513020B" w14:textId="77777777" w:rsidTr="000A3BBC">
        <w:trPr>
          <w:tblCellSpacing w:w="15" w:type="dxa"/>
          <w:jc w:val="center"/>
        </w:trPr>
        <w:tc>
          <w:tcPr>
            <w:tcW w:w="0" w:type="auto"/>
            <w:vAlign w:val="center"/>
            <w:hideMark/>
          </w:tcPr>
          <w:p w14:paraId="70934C83" w14:textId="77777777" w:rsidR="00F32309" w:rsidRPr="00F32309" w:rsidRDefault="00F32309" w:rsidP="000A3BBC">
            <w:pPr>
              <w:ind w:left="82"/>
              <w:rPr>
                <w:rFonts w:cs="Arial"/>
                <w:color w:val="auto"/>
              </w:rPr>
            </w:pPr>
            <w:r w:rsidRPr="00F32309">
              <w:rPr>
                <w:rFonts w:cs="Arial"/>
                <w:color w:val="auto"/>
              </w:rPr>
              <w:t>Strong in prevention and early detection.</w:t>
            </w:r>
          </w:p>
        </w:tc>
        <w:tc>
          <w:tcPr>
            <w:tcW w:w="0" w:type="auto"/>
            <w:vAlign w:val="center"/>
            <w:hideMark/>
          </w:tcPr>
          <w:p w14:paraId="5DEB406A" w14:textId="77777777" w:rsidR="00F32309" w:rsidRPr="00F32309" w:rsidRDefault="00F32309" w:rsidP="000A3BBC">
            <w:pPr>
              <w:ind w:left="82"/>
              <w:rPr>
                <w:rFonts w:cs="Arial"/>
                <w:color w:val="auto"/>
              </w:rPr>
            </w:pPr>
            <w:r w:rsidRPr="00F32309">
              <w:rPr>
                <w:rFonts w:cs="Arial"/>
                <w:color w:val="auto"/>
              </w:rPr>
              <w:t>Vital partner for cardiovascular, respiratory and sexual health priorities.</w:t>
            </w:r>
          </w:p>
        </w:tc>
      </w:tr>
      <w:tr w:rsidR="00F32309" w:rsidRPr="00F32309" w14:paraId="08B480C1" w14:textId="77777777" w:rsidTr="000A3BBC">
        <w:trPr>
          <w:tblCellSpacing w:w="15" w:type="dxa"/>
          <w:jc w:val="center"/>
        </w:trPr>
        <w:tc>
          <w:tcPr>
            <w:tcW w:w="0" w:type="auto"/>
            <w:vAlign w:val="center"/>
            <w:hideMark/>
          </w:tcPr>
          <w:p w14:paraId="65422A2C" w14:textId="77777777" w:rsidR="00F32309" w:rsidRPr="00F32309" w:rsidRDefault="00F32309" w:rsidP="000A3BBC">
            <w:pPr>
              <w:ind w:left="82"/>
              <w:rPr>
                <w:rFonts w:cs="Arial"/>
                <w:color w:val="auto"/>
              </w:rPr>
            </w:pPr>
            <w:r w:rsidRPr="00F32309">
              <w:rPr>
                <w:rFonts w:cs="Arial"/>
                <w:color w:val="auto"/>
              </w:rPr>
              <w:t>Expert in medicines safety and optimisation.</w:t>
            </w:r>
          </w:p>
        </w:tc>
        <w:tc>
          <w:tcPr>
            <w:tcW w:w="0" w:type="auto"/>
            <w:vAlign w:val="center"/>
            <w:hideMark/>
          </w:tcPr>
          <w:p w14:paraId="3658D372" w14:textId="77777777" w:rsidR="00F32309" w:rsidRPr="00F32309" w:rsidRDefault="00F32309" w:rsidP="000A3BBC">
            <w:pPr>
              <w:ind w:left="82"/>
              <w:rPr>
                <w:rFonts w:cs="Arial"/>
                <w:color w:val="auto"/>
              </w:rPr>
            </w:pPr>
            <w:r w:rsidRPr="00F32309">
              <w:rPr>
                <w:rFonts w:cs="Arial"/>
                <w:color w:val="auto"/>
              </w:rPr>
              <w:t>Reduces admissions and supports safer prescribing and use of medicines.</w:t>
            </w:r>
          </w:p>
        </w:tc>
      </w:tr>
    </w:tbl>
    <w:p w14:paraId="6EAE297F" w14:textId="3AA33EC4" w:rsidR="008B7C20" w:rsidRDefault="008B7C20" w:rsidP="003218F3">
      <w:pPr>
        <w:pStyle w:val="CPE-Heading2"/>
        <w:spacing w:before="0"/>
        <w:rPr>
          <w:b w:val="0"/>
          <w:bCs w:val="0"/>
          <w:sz w:val="6"/>
          <w:szCs w:val="8"/>
        </w:rPr>
      </w:pPr>
    </w:p>
    <w:p w14:paraId="7D62A824" w14:textId="4D34B7D5" w:rsidR="006C0571" w:rsidRPr="00FF33EF" w:rsidRDefault="006C0571" w:rsidP="006C0571">
      <w:pPr>
        <w:rPr>
          <w:rFonts w:cs="Arial"/>
          <w:b/>
          <w:bCs/>
          <w:color w:val="auto"/>
        </w:rPr>
      </w:pPr>
      <w:r w:rsidRPr="00FF33EF">
        <w:rPr>
          <w:rFonts w:cs="Arial"/>
          <w:b/>
          <w:bCs/>
          <w:color w:val="auto"/>
          <w:highlight w:val="yellow"/>
        </w:rPr>
        <w:t>[LPC to insert local information about number of pharmacies, services provided, any IP pathfinder models in operation]</w:t>
      </w:r>
    </w:p>
    <w:p w14:paraId="51C43C5D" w14:textId="46E43961" w:rsidR="002B376A" w:rsidRDefault="002B376A">
      <w:pPr>
        <w:spacing w:before="0" w:after="0" w:line="240" w:lineRule="auto"/>
        <w:rPr>
          <w:rFonts w:eastAsiaTheme="minorHAnsi" w:cs="Azo Sans"/>
        </w:rPr>
      </w:pPr>
      <w:r>
        <w:rPr>
          <w:b/>
          <w:bCs/>
        </w:rPr>
        <w:br w:type="page"/>
      </w:r>
    </w:p>
    <w:p w14:paraId="756B2F65" w14:textId="77777777" w:rsidR="000C36F2" w:rsidRPr="00F86640" w:rsidRDefault="000C36F2" w:rsidP="00F86640">
      <w:pPr>
        <w:pStyle w:val="CPE-Heading2"/>
        <w:spacing w:before="0"/>
      </w:pPr>
      <w:r w:rsidRPr="00F86640">
        <w:lastRenderedPageBreak/>
        <w:t>Pharmacies in action: core services that support your priorities</w:t>
      </w:r>
    </w:p>
    <w:p w14:paraId="2C062C62" w14:textId="77777777" w:rsidR="000C36F2" w:rsidRPr="00FF33EF" w:rsidRDefault="000C36F2" w:rsidP="000C36F2">
      <w:pPr>
        <w:rPr>
          <w:rFonts w:cs="Arial"/>
          <w:color w:val="auto"/>
        </w:rPr>
      </w:pPr>
      <w:r w:rsidRPr="00FF33EF">
        <w:rPr>
          <w:rFonts w:cs="Arial"/>
          <w:color w:val="auto"/>
          <w:highlight w:val="yellow"/>
        </w:rPr>
        <w:t>[Where available include local data if appropriate]</w:t>
      </w:r>
    </w:p>
    <w:p w14:paraId="03E16B5F" w14:textId="6B554B79" w:rsidR="000C36F2" w:rsidRPr="000958B8" w:rsidRDefault="000C36F2" w:rsidP="00EF3ECE">
      <w:pPr>
        <w:pStyle w:val="ListParagraph"/>
        <w:numPr>
          <w:ilvl w:val="0"/>
          <w:numId w:val="23"/>
        </w:numPr>
        <w:ind w:left="284" w:hanging="284"/>
        <w:rPr>
          <w:rFonts w:ascii="DM Sans" w:hAnsi="DM Sans" w:cs="Arial"/>
          <w:b/>
          <w:bCs/>
          <w:color w:val="0072CE" w:themeColor="text1"/>
        </w:rPr>
      </w:pPr>
      <w:r w:rsidRPr="000958B8">
        <w:rPr>
          <w:rFonts w:ascii="DM Sans" w:hAnsi="DM Sans" w:cs="Arial"/>
          <w:b/>
          <w:bCs/>
          <w:color w:val="0072CE" w:themeColor="text1"/>
        </w:rPr>
        <w:t>Prevention and Early Detection</w:t>
      </w:r>
    </w:p>
    <w:p w14:paraId="704D741C" w14:textId="77777777" w:rsidR="00E9311D" w:rsidRPr="00E9311D" w:rsidRDefault="00E9311D" w:rsidP="000A2247">
      <w:pPr>
        <w:rPr>
          <w:rFonts w:cs="Arial"/>
          <w:color w:val="auto"/>
        </w:rPr>
      </w:pPr>
      <w:r w:rsidRPr="00E9311D">
        <w:rPr>
          <w:rFonts w:cs="Arial"/>
          <w:color w:val="auto"/>
        </w:rPr>
        <w:t xml:space="preserve">Community pharmacies already deliver high-impact NHS services that contribute to </w:t>
      </w:r>
      <w:r w:rsidRPr="00E9311D">
        <w:rPr>
          <w:rFonts w:cs="Arial"/>
          <w:b/>
          <w:bCs/>
          <w:color w:val="auto"/>
        </w:rPr>
        <w:t>population health goals</w:t>
      </w:r>
      <w:r w:rsidRPr="00E9311D">
        <w:rPr>
          <w:rFonts w:cs="Arial"/>
          <w:color w:val="auto"/>
        </w:rPr>
        <w:t>, such as:</w:t>
      </w:r>
    </w:p>
    <w:p w14:paraId="666C4E48" w14:textId="131556C5" w:rsidR="00E9311D" w:rsidRPr="00E9311D" w:rsidRDefault="00B21703" w:rsidP="000A2247">
      <w:pPr>
        <w:numPr>
          <w:ilvl w:val="0"/>
          <w:numId w:val="29"/>
        </w:numPr>
        <w:spacing w:before="0"/>
        <w:rPr>
          <w:rFonts w:cs="Arial"/>
          <w:color w:val="auto"/>
        </w:rPr>
      </w:pPr>
      <w:hyperlink r:id="rId8" w:history="1">
        <w:r w:rsidRPr="00AC2ABE">
          <w:rPr>
            <w:rStyle w:val="Hyperlink"/>
            <w:rFonts w:cs="Arial"/>
            <w:b/>
            <w:bCs/>
            <w:color w:val="FF6D3A" w:themeColor="accent1"/>
          </w:rPr>
          <w:t>Hypertension Care-Finding Service</w:t>
        </w:r>
      </w:hyperlink>
      <w:r>
        <w:t xml:space="preserve"> </w:t>
      </w:r>
      <w:r w:rsidR="00E9311D" w:rsidRPr="00E9311D">
        <w:rPr>
          <w:rFonts w:cs="Arial"/>
          <w:color w:val="auto"/>
        </w:rPr>
        <w:t>– Identifies undiagnosed high blood pressure and refers for GP follow-up.</w:t>
      </w:r>
    </w:p>
    <w:p w14:paraId="64040096" w14:textId="0A298665" w:rsidR="00E9311D" w:rsidRPr="00E9311D" w:rsidRDefault="00723A06" w:rsidP="000A2247">
      <w:pPr>
        <w:numPr>
          <w:ilvl w:val="0"/>
          <w:numId w:val="29"/>
        </w:numPr>
        <w:spacing w:before="0"/>
        <w:rPr>
          <w:rFonts w:cs="Arial"/>
          <w:color w:val="auto"/>
        </w:rPr>
      </w:pPr>
      <w:hyperlink r:id="rId9" w:history="1">
        <w:r w:rsidRPr="00AC2ABE">
          <w:rPr>
            <w:rStyle w:val="Hyperlink"/>
            <w:rFonts w:cs="Arial"/>
            <w:b/>
            <w:bCs/>
            <w:color w:val="FF6D3A" w:themeColor="accent1"/>
          </w:rPr>
          <w:t>Smoking Cessation Service</w:t>
        </w:r>
      </w:hyperlink>
      <w:r>
        <w:t xml:space="preserve"> </w:t>
      </w:r>
      <w:r w:rsidR="00E9311D" w:rsidRPr="00E9311D">
        <w:rPr>
          <w:rFonts w:cs="Arial"/>
          <w:color w:val="auto"/>
        </w:rPr>
        <w:t>– Seamless transfer of care from secondary to community settings.</w:t>
      </w:r>
    </w:p>
    <w:p w14:paraId="089771EE" w14:textId="06C757E9" w:rsidR="00E9311D" w:rsidRPr="00E9311D" w:rsidRDefault="00E9311D" w:rsidP="000A2247">
      <w:pPr>
        <w:numPr>
          <w:ilvl w:val="0"/>
          <w:numId w:val="29"/>
        </w:numPr>
        <w:spacing w:before="0"/>
        <w:rPr>
          <w:rFonts w:cs="Arial"/>
          <w:color w:val="auto"/>
        </w:rPr>
      </w:pPr>
      <w:r w:rsidRPr="00E9311D">
        <w:rPr>
          <w:rFonts w:cs="Arial"/>
          <w:b/>
          <w:bCs/>
          <w:color w:val="auto"/>
        </w:rPr>
        <w:t>Vaccinations</w:t>
      </w:r>
      <w:r w:rsidRPr="00E9311D">
        <w:rPr>
          <w:rFonts w:cs="Arial"/>
          <w:color w:val="auto"/>
        </w:rPr>
        <w:t xml:space="preserve"> – </w:t>
      </w:r>
      <w:hyperlink r:id="rId10" w:history="1">
        <w:r w:rsidR="00502887">
          <w:rPr>
            <w:rStyle w:val="Hyperlink"/>
            <w:rFonts w:cs="Arial"/>
            <w:b/>
            <w:bCs/>
            <w:color w:val="FF6D3A" w:themeColor="accent1"/>
          </w:rPr>
          <w:t>A</w:t>
        </w:r>
        <w:r w:rsidR="00502887" w:rsidRPr="008D58F9">
          <w:rPr>
            <w:rStyle w:val="Hyperlink"/>
            <w:rFonts w:cs="Arial"/>
            <w:b/>
            <w:bCs/>
            <w:color w:val="FF6D3A" w:themeColor="accent1"/>
          </w:rPr>
          <w:t>dult flu</w:t>
        </w:r>
      </w:hyperlink>
      <w:r w:rsidRPr="00E9311D">
        <w:rPr>
          <w:rFonts w:cs="Arial"/>
          <w:color w:val="auto"/>
        </w:rPr>
        <w:t xml:space="preserve">, </w:t>
      </w:r>
      <w:hyperlink r:id="rId11" w:history="1">
        <w:r w:rsidR="00D36361" w:rsidRPr="008D58F9">
          <w:rPr>
            <w:rStyle w:val="Hyperlink"/>
            <w:rFonts w:cs="Arial"/>
            <w:b/>
            <w:bCs/>
            <w:color w:val="FF6D3A" w:themeColor="accent1"/>
          </w:rPr>
          <w:t>COVID-19</w:t>
        </w:r>
      </w:hyperlink>
      <w:r w:rsidRPr="00E9311D">
        <w:rPr>
          <w:rFonts w:cs="Arial"/>
          <w:color w:val="auto"/>
        </w:rPr>
        <w:t xml:space="preserve">, </w:t>
      </w:r>
      <w:hyperlink r:id="rId12" w:history="1">
        <w:r w:rsidRPr="00B4033D">
          <w:rPr>
            <w:rStyle w:val="Hyperlink"/>
            <w:rFonts w:cs="Arial"/>
            <w:b/>
            <w:bCs/>
          </w:rPr>
          <w:t>children’s flu</w:t>
        </w:r>
      </w:hyperlink>
      <w:r w:rsidRPr="00E9311D">
        <w:rPr>
          <w:rFonts w:cs="Arial"/>
          <w:color w:val="auto"/>
        </w:rPr>
        <w:t xml:space="preserve">, </w:t>
      </w:r>
      <w:hyperlink r:id="rId13" w:history="1">
        <w:r w:rsidR="000D67C9" w:rsidRPr="008D58F9">
          <w:rPr>
            <w:rStyle w:val="Hyperlink"/>
            <w:rFonts w:cs="Arial"/>
            <w:b/>
            <w:bCs/>
            <w:color w:val="FF6D3A" w:themeColor="accent1"/>
          </w:rPr>
          <w:t>RSV and pertussis vaccination</w:t>
        </w:r>
      </w:hyperlink>
      <w:r w:rsidRPr="00E9311D">
        <w:rPr>
          <w:rFonts w:cs="Arial"/>
          <w:color w:val="auto"/>
        </w:rPr>
        <w:t>, with HPV catch-up to be commissioned soon.</w:t>
      </w:r>
    </w:p>
    <w:p w14:paraId="34FA7F78" w14:textId="5FB636AE" w:rsidR="00E9311D" w:rsidRPr="00E9311D" w:rsidRDefault="00775580" w:rsidP="000A2247">
      <w:pPr>
        <w:numPr>
          <w:ilvl w:val="0"/>
          <w:numId w:val="29"/>
        </w:numPr>
        <w:spacing w:before="0"/>
        <w:rPr>
          <w:rFonts w:cs="Arial"/>
          <w:color w:val="auto"/>
        </w:rPr>
      </w:pPr>
      <w:hyperlink r:id="rId14" w:history="1">
        <w:r w:rsidRPr="00FC2E97">
          <w:rPr>
            <w:rStyle w:val="Hyperlink"/>
            <w:rFonts w:cs="Arial"/>
            <w:b/>
            <w:bCs/>
            <w:color w:val="FF6D3A" w:themeColor="accent1"/>
          </w:rPr>
          <w:t>Pharmacy Contraception Service</w:t>
        </w:r>
      </w:hyperlink>
      <w:r w:rsidR="00E9311D" w:rsidRPr="00E9311D">
        <w:rPr>
          <w:rFonts w:cs="Arial"/>
          <w:color w:val="auto"/>
        </w:rPr>
        <w:t>– Expands access to oral emergency and regular contraception and supports women’s health.</w:t>
      </w:r>
    </w:p>
    <w:p w14:paraId="08F8E76E" w14:textId="77777777" w:rsidR="00E9311D" w:rsidRPr="00E9311D" w:rsidRDefault="00E9311D" w:rsidP="000A2247">
      <w:pPr>
        <w:numPr>
          <w:ilvl w:val="0"/>
          <w:numId w:val="29"/>
        </w:numPr>
        <w:spacing w:before="0"/>
        <w:rPr>
          <w:rFonts w:cs="Arial"/>
          <w:color w:val="auto"/>
        </w:rPr>
      </w:pPr>
      <w:r w:rsidRPr="00E9311D">
        <w:rPr>
          <w:rFonts w:cs="Arial"/>
          <w:b/>
          <w:bCs/>
          <w:color w:val="auto"/>
        </w:rPr>
        <w:t>Locally Commissioned Services</w:t>
      </w:r>
      <w:r w:rsidRPr="00E9311D">
        <w:rPr>
          <w:rFonts w:cs="Arial"/>
          <w:color w:val="auto"/>
        </w:rPr>
        <w:t xml:space="preserve"> – typically commissioned by the ICB or local authority, tailored to local population health needs </w:t>
      </w:r>
      <w:r w:rsidRPr="00E9311D">
        <w:rPr>
          <w:rFonts w:cs="Arial"/>
          <w:color w:val="auto"/>
          <w:highlight w:val="yellow"/>
        </w:rPr>
        <w:t>[LPC to insert locally commissioned</w:t>
      </w:r>
      <w:r w:rsidRPr="00E9311D">
        <w:rPr>
          <w:rFonts w:cs="Arial"/>
          <w:color w:val="auto"/>
        </w:rPr>
        <w:t xml:space="preserve"> </w:t>
      </w:r>
      <w:r w:rsidRPr="00E9311D">
        <w:rPr>
          <w:rFonts w:cs="Arial"/>
          <w:color w:val="auto"/>
          <w:highlight w:val="yellow"/>
        </w:rPr>
        <w:t>services]</w:t>
      </w:r>
    </w:p>
    <w:p w14:paraId="4FD3095A" w14:textId="77777777" w:rsidR="00E9311D" w:rsidRPr="00E9311D" w:rsidRDefault="00E9311D" w:rsidP="000A2247">
      <w:pPr>
        <w:rPr>
          <w:rFonts w:cs="Arial"/>
          <w:color w:val="auto"/>
        </w:rPr>
      </w:pPr>
      <w:r w:rsidRPr="00E9311D">
        <w:rPr>
          <w:rFonts w:cs="Arial"/>
          <w:color w:val="auto"/>
        </w:rPr>
        <w:t xml:space="preserve">All pharmacies meet </w:t>
      </w:r>
      <w:r w:rsidRPr="00E9311D">
        <w:rPr>
          <w:rFonts w:cs="Arial"/>
          <w:b/>
          <w:bCs/>
          <w:color w:val="auto"/>
        </w:rPr>
        <w:t>Healthy Living Pharmacy (HLP)</w:t>
      </w:r>
      <w:r w:rsidRPr="00E9311D">
        <w:rPr>
          <w:rFonts w:cs="Arial"/>
          <w:color w:val="auto"/>
        </w:rPr>
        <w:t xml:space="preserve"> standards, ensuring patient interventions support behaviour change and health promotion.</w:t>
      </w:r>
    </w:p>
    <w:p w14:paraId="7A3C2467" w14:textId="77777777" w:rsidR="00E9311D" w:rsidRDefault="00E9311D" w:rsidP="00A760B4">
      <w:pPr>
        <w:tabs>
          <w:tab w:val="left" w:pos="426"/>
        </w:tabs>
        <w:spacing w:after="0"/>
        <w:rPr>
          <w:rFonts w:cs="Arial"/>
          <w:color w:val="auto"/>
        </w:rPr>
      </w:pPr>
    </w:p>
    <w:p w14:paraId="46298315" w14:textId="6A4389E5" w:rsidR="000C36F2" w:rsidRPr="000958B8" w:rsidRDefault="000C36F2" w:rsidP="005D1090">
      <w:pPr>
        <w:pStyle w:val="ListParagraph"/>
        <w:numPr>
          <w:ilvl w:val="0"/>
          <w:numId w:val="23"/>
        </w:numPr>
        <w:ind w:left="284" w:hanging="284"/>
        <w:rPr>
          <w:rFonts w:ascii="DM Sans" w:hAnsi="DM Sans" w:cs="Arial"/>
          <w:b/>
          <w:bCs/>
          <w:color w:val="0072CE" w:themeColor="text1"/>
        </w:rPr>
      </w:pPr>
      <w:r w:rsidRPr="000958B8">
        <w:rPr>
          <w:rFonts w:ascii="DM Sans" w:hAnsi="DM Sans" w:cs="Arial"/>
          <w:b/>
          <w:bCs/>
          <w:color w:val="0072CE" w:themeColor="text1"/>
        </w:rPr>
        <w:t>Access to Medicines and Same-Day Care</w:t>
      </w:r>
    </w:p>
    <w:p w14:paraId="2B779985" w14:textId="77777777" w:rsidR="000A2247" w:rsidRPr="000A2247" w:rsidRDefault="000A2247" w:rsidP="000A2247">
      <w:pPr>
        <w:rPr>
          <w:rFonts w:cs="Arial"/>
          <w:color w:val="auto"/>
        </w:rPr>
      </w:pPr>
      <w:r w:rsidRPr="000A2247">
        <w:rPr>
          <w:rFonts w:cs="Arial"/>
          <w:color w:val="auto"/>
        </w:rPr>
        <w:t>Pharmacies help streamline access and reduce system burden through:</w:t>
      </w:r>
    </w:p>
    <w:p w14:paraId="2649421C" w14:textId="77777777" w:rsidR="000A2247" w:rsidRPr="000A2247" w:rsidRDefault="000A2247" w:rsidP="000A2247">
      <w:pPr>
        <w:numPr>
          <w:ilvl w:val="0"/>
          <w:numId w:val="30"/>
        </w:numPr>
        <w:spacing w:before="0"/>
        <w:ind w:left="714" w:hanging="357"/>
        <w:rPr>
          <w:rFonts w:cs="Arial"/>
          <w:color w:val="auto"/>
        </w:rPr>
      </w:pPr>
      <w:r w:rsidRPr="000A2247">
        <w:rPr>
          <w:rFonts w:cs="Arial"/>
          <w:b/>
          <w:bCs/>
          <w:color w:val="auto"/>
        </w:rPr>
        <w:t>Dispensing and electronic Repeat Dispensing</w:t>
      </w:r>
      <w:r w:rsidRPr="000A2247">
        <w:rPr>
          <w:rFonts w:cs="Arial"/>
          <w:color w:val="auto"/>
        </w:rPr>
        <w:t xml:space="preserve"> – Ensures safe and efficient supply of medicines, freeing up general practice time.</w:t>
      </w:r>
    </w:p>
    <w:p w14:paraId="6379E7E3" w14:textId="0070CAF2" w:rsidR="000A2247" w:rsidRPr="000A2247" w:rsidRDefault="00874A29" w:rsidP="000A2247">
      <w:pPr>
        <w:numPr>
          <w:ilvl w:val="0"/>
          <w:numId w:val="30"/>
        </w:numPr>
        <w:spacing w:before="0"/>
        <w:ind w:left="714" w:hanging="357"/>
        <w:rPr>
          <w:rFonts w:cs="Arial"/>
          <w:color w:val="auto"/>
        </w:rPr>
      </w:pPr>
      <w:hyperlink r:id="rId15" w:history="1">
        <w:r w:rsidR="00EA6DD8" w:rsidRPr="00874A29">
          <w:rPr>
            <w:rStyle w:val="Hyperlink"/>
            <w:rFonts w:cs="Arial"/>
            <w:b/>
            <w:bCs/>
          </w:rPr>
          <w:t>Pharmacy First service</w:t>
        </w:r>
      </w:hyperlink>
      <w:r w:rsidR="00EA6DD8" w:rsidRPr="00EA6DD8">
        <w:rPr>
          <w:rFonts w:cs="Arial"/>
          <w:b/>
          <w:bCs/>
          <w:color w:val="auto"/>
        </w:rPr>
        <w:t xml:space="preserve"> </w:t>
      </w:r>
      <w:r w:rsidR="000A2247" w:rsidRPr="000A2247">
        <w:rPr>
          <w:rFonts w:cs="Arial"/>
          <w:color w:val="auto"/>
        </w:rPr>
        <w:t>– Over 95% of pharmacies now offer consultations and NHS supply for seven common conditions (e.g. sore throat, sinusitis, UTIs), as well as minor illnesses referred via NHS 111, UEC or GP practices.</w:t>
      </w:r>
    </w:p>
    <w:p w14:paraId="56C1E6C0" w14:textId="77777777" w:rsidR="000A2247" w:rsidRPr="000A2247" w:rsidRDefault="000A2247" w:rsidP="000A2247">
      <w:pPr>
        <w:numPr>
          <w:ilvl w:val="0"/>
          <w:numId w:val="30"/>
        </w:numPr>
        <w:spacing w:before="0"/>
        <w:ind w:left="714" w:hanging="357"/>
        <w:rPr>
          <w:rFonts w:cs="Arial"/>
          <w:color w:val="auto"/>
        </w:rPr>
      </w:pPr>
      <w:r w:rsidRPr="000A2247">
        <w:rPr>
          <w:rFonts w:cs="Arial"/>
          <w:b/>
          <w:bCs/>
          <w:color w:val="auto"/>
        </w:rPr>
        <w:t>Independent Prescribing</w:t>
      </w:r>
      <w:r w:rsidRPr="000A2247">
        <w:rPr>
          <w:rFonts w:cs="Arial"/>
          <w:color w:val="auto"/>
        </w:rPr>
        <w:t>: Currently a pathfinder programme is testing pharmacist-led prescribing for acute and long-term conditions. Responsibility is being transferred from NHS England to ICB management from January 2026.</w:t>
      </w:r>
    </w:p>
    <w:p w14:paraId="67BE342E" w14:textId="77777777" w:rsidR="000A2247" w:rsidRPr="000A2247" w:rsidRDefault="000A2247" w:rsidP="000A2247">
      <w:pPr>
        <w:numPr>
          <w:ilvl w:val="0"/>
          <w:numId w:val="30"/>
        </w:numPr>
        <w:spacing w:before="0"/>
        <w:ind w:left="714" w:hanging="357"/>
        <w:rPr>
          <w:rFonts w:cs="Arial"/>
          <w:color w:val="auto"/>
        </w:rPr>
      </w:pPr>
      <w:r w:rsidRPr="000A2247">
        <w:rPr>
          <w:rFonts w:cs="Arial"/>
          <w:b/>
          <w:bCs/>
          <w:color w:val="auto"/>
        </w:rPr>
        <w:t>Palliative and End-of-Life Support</w:t>
      </w:r>
      <w:r w:rsidRPr="000A2247">
        <w:rPr>
          <w:rFonts w:cs="Arial"/>
          <w:color w:val="auto"/>
        </w:rPr>
        <w:t xml:space="preserve"> – Ensures readily available access to essential medicines and support to patients and carers in community settings, helping patients remain at home.</w:t>
      </w:r>
    </w:p>
    <w:p w14:paraId="06E4C027" w14:textId="77777777" w:rsidR="000A2247" w:rsidRPr="000A2247" w:rsidRDefault="000A2247" w:rsidP="000A2247">
      <w:pPr>
        <w:numPr>
          <w:ilvl w:val="0"/>
          <w:numId w:val="30"/>
        </w:numPr>
        <w:spacing w:before="0" w:line="278" w:lineRule="auto"/>
        <w:rPr>
          <w:rFonts w:cs="Arial"/>
          <w:color w:val="auto"/>
        </w:rPr>
      </w:pPr>
      <w:r w:rsidRPr="000A2247">
        <w:rPr>
          <w:rFonts w:cs="Arial"/>
          <w:b/>
          <w:bCs/>
          <w:color w:val="auto"/>
        </w:rPr>
        <w:t>Self-Care and OTC Support</w:t>
      </w:r>
      <w:r w:rsidRPr="000A2247">
        <w:rPr>
          <w:rFonts w:cs="Arial"/>
          <w:color w:val="auto"/>
        </w:rPr>
        <w:t xml:space="preserve"> – Enables people to manage minor illnesses, often as first contact or via NHS 111 referrals.</w:t>
      </w:r>
    </w:p>
    <w:p w14:paraId="76E55978" w14:textId="77777777" w:rsidR="000C36F2" w:rsidRPr="00F86640" w:rsidRDefault="000C36F2" w:rsidP="000C36F2">
      <w:pPr>
        <w:tabs>
          <w:tab w:val="left" w:pos="426"/>
        </w:tabs>
        <w:spacing w:after="0"/>
        <w:rPr>
          <w:rFonts w:cs="Arial"/>
          <w:color w:val="auto"/>
        </w:rPr>
      </w:pPr>
    </w:p>
    <w:p w14:paraId="5463A263" w14:textId="4D4581AB" w:rsidR="000C36F2" w:rsidRPr="00DB1621" w:rsidRDefault="000C36F2" w:rsidP="00DB1621">
      <w:pPr>
        <w:pStyle w:val="ListParagraph"/>
        <w:numPr>
          <w:ilvl w:val="0"/>
          <w:numId w:val="23"/>
        </w:numPr>
        <w:ind w:left="284" w:hanging="284"/>
        <w:rPr>
          <w:rFonts w:ascii="DM Sans" w:hAnsi="DM Sans" w:cs="Arial"/>
          <w:b/>
          <w:bCs/>
          <w:color w:val="0072CE" w:themeColor="text1"/>
        </w:rPr>
      </w:pPr>
      <w:r w:rsidRPr="00DB1621">
        <w:rPr>
          <w:rFonts w:ascii="DM Sans" w:hAnsi="DM Sans" w:cs="Arial"/>
          <w:b/>
          <w:bCs/>
          <w:color w:val="0072CE" w:themeColor="text1"/>
        </w:rPr>
        <w:t>Living Well with Medicines</w:t>
      </w:r>
    </w:p>
    <w:p w14:paraId="6017DBAB" w14:textId="77777777" w:rsidR="00FE6B27" w:rsidRPr="00FE6B27" w:rsidRDefault="00FE6B27" w:rsidP="00FE6B27">
      <w:pPr>
        <w:rPr>
          <w:rFonts w:cs="Arial"/>
          <w:color w:val="auto"/>
        </w:rPr>
      </w:pPr>
      <w:r w:rsidRPr="00FE6B27">
        <w:rPr>
          <w:rFonts w:cs="Arial"/>
          <w:color w:val="auto"/>
        </w:rPr>
        <w:t>Pharmacies help people make the most of their medicines – essential for long-term condition management and medicines safety:</w:t>
      </w:r>
    </w:p>
    <w:p w14:paraId="0E531B3F" w14:textId="7CB7AFE4" w:rsidR="00FE6B27" w:rsidRPr="00FE6B27" w:rsidRDefault="00F571F3" w:rsidP="00FE6B27">
      <w:pPr>
        <w:numPr>
          <w:ilvl w:val="0"/>
          <w:numId w:val="31"/>
        </w:numPr>
        <w:spacing w:before="0"/>
        <w:rPr>
          <w:rFonts w:cs="Arial"/>
          <w:color w:val="auto"/>
        </w:rPr>
      </w:pPr>
      <w:hyperlink r:id="rId16" w:history="1">
        <w:r w:rsidR="00FE6B27" w:rsidRPr="00F571F3">
          <w:rPr>
            <w:rStyle w:val="Hyperlink"/>
            <w:rFonts w:cs="Arial"/>
            <w:b/>
            <w:bCs/>
          </w:rPr>
          <w:t>Discharge Medicines Service (DMS)</w:t>
        </w:r>
      </w:hyperlink>
      <w:r w:rsidR="00FE6B27" w:rsidRPr="00FE6B27">
        <w:rPr>
          <w:rFonts w:cs="Arial"/>
          <w:color w:val="auto"/>
        </w:rPr>
        <w:t xml:space="preserve"> – Reduces readmissions and improves transitions of care.</w:t>
      </w:r>
    </w:p>
    <w:p w14:paraId="2548F77C" w14:textId="69B97493" w:rsidR="00FE6B27" w:rsidRPr="00FE6B27" w:rsidRDefault="003C2579" w:rsidP="00FE6B27">
      <w:pPr>
        <w:numPr>
          <w:ilvl w:val="0"/>
          <w:numId w:val="31"/>
        </w:numPr>
        <w:spacing w:before="0"/>
        <w:rPr>
          <w:rFonts w:cs="Arial"/>
          <w:color w:val="auto"/>
        </w:rPr>
      </w:pPr>
      <w:hyperlink r:id="rId17" w:history="1">
        <w:r w:rsidR="00FE6B27" w:rsidRPr="003C2579">
          <w:rPr>
            <w:rStyle w:val="Hyperlink"/>
            <w:rFonts w:cs="Arial"/>
            <w:b/>
            <w:bCs/>
          </w:rPr>
          <w:t>New Medicine Service (NMS)</w:t>
        </w:r>
      </w:hyperlink>
      <w:r w:rsidR="00FE6B27" w:rsidRPr="00FE6B27">
        <w:rPr>
          <w:rFonts w:cs="Arial"/>
          <w:color w:val="auto"/>
        </w:rPr>
        <w:t xml:space="preserve"> – Supports patients starting treatments for long-term conditions.</w:t>
      </w:r>
    </w:p>
    <w:p w14:paraId="7B4B2157" w14:textId="03B6F124" w:rsidR="00FE6B27" w:rsidRPr="00FE6B27" w:rsidRDefault="00FE6B27" w:rsidP="00FE6B27">
      <w:pPr>
        <w:rPr>
          <w:rFonts w:cs="Arial"/>
          <w:color w:val="auto"/>
        </w:rPr>
      </w:pPr>
      <w:r w:rsidRPr="00FE6B27">
        <w:rPr>
          <w:rFonts w:cs="Arial"/>
          <w:b/>
          <w:bCs/>
          <w:color w:val="auto"/>
        </w:rPr>
        <w:t>Population Health Link:</w:t>
      </w:r>
      <w:r w:rsidRPr="00FE6B27">
        <w:rPr>
          <w:rFonts w:cs="Arial"/>
          <w:color w:val="auto"/>
        </w:rPr>
        <w:t xml:space="preserve"> Medicines optimisation and adherence support contribute to reducing avoidable admissions and improving outcomes for people with long-term conditions such as CVD, asthma and diabetes.</w:t>
      </w:r>
    </w:p>
    <w:p w14:paraId="49C52C42" w14:textId="7ED7F73F" w:rsidR="000C36F2" w:rsidRPr="00B336EA" w:rsidRDefault="000C36F2" w:rsidP="000C36F2">
      <w:pPr>
        <w:rPr>
          <w:rFonts w:cs="Arial"/>
          <w:b/>
          <w:bCs/>
          <w:color w:val="0072CE" w:themeColor="text1"/>
          <w:sz w:val="24"/>
          <w:szCs w:val="24"/>
        </w:rPr>
      </w:pPr>
      <w:r w:rsidRPr="00B336EA">
        <w:rPr>
          <w:rFonts w:cs="Arial"/>
          <w:b/>
          <w:bCs/>
          <w:color w:val="0072CE" w:themeColor="text1"/>
          <w:sz w:val="24"/>
          <w:szCs w:val="24"/>
          <w:highlight w:val="yellow"/>
        </w:rPr>
        <w:t>4. [LPC to insert any other local pharmacy services information not included elsewhere]</w:t>
      </w:r>
      <w:r w:rsidRPr="00B336EA">
        <w:rPr>
          <w:rFonts w:cs="Arial"/>
          <w:b/>
          <w:bCs/>
          <w:color w:val="0072CE" w:themeColor="text1"/>
          <w:sz w:val="24"/>
          <w:szCs w:val="24"/>
        </w:rPr>
        <w:t xml:space="preserve"> </w:t>
      </w:r>
    </w:p>
    <w:p w14:paraId="2C3FB1CD" w14:textId="77777777" w:rsidR="000C36F2" w:rsidRDefault="000C36F2" w:rsidP="000C36F2">
      <w:pPr>
        <w:rPr>
          <w:rFonts w:ascii="Arial" w:hAnsi="Arial" w:cs="Arial"/>
        </w:rPr>
      </w:pPr>
      <w:r>
        <w:rPr>
          <w:rFonts w:ascii="Arial" w:hAnsi="Arial" w:cs="Arial"/>
        </w:rPr>
        <w:br w:type="page"/>
      </w:r>
    </w:p>
    <w:p w14:paraId="5066AFD9" w14:textId="77777777" w:rsidR="00F817F2" w:rsidRPr="00CA1658" w:rsidRDefault="00F817F2" w:rsidP="00CA1658">
      <w:pPr>
        <w:pStyle w:val="CPE-Heading2"/>
        <w:spacing w:before="0"/>
      </w:pPr>
      <w:r w:rsidRPr="00CA1658">
        <w:lastRenderedPageBreak/>
        <w:t>Enabling population health through community pharmacy</w:t>
      </w:r>
    </w:p>
    <w:p w14:paraId="71409F78" w14:textId="77777777" w:rsidR="005F232F" w:rsidRPr="005F232F" w:rsidRDefault="005F232F" w:rsidP="005F232F">
      <w:pPr>
        <w:rPr>
          <w:rFonts w:cs="Arial"/>
          <w:color w:val="auto"/>
        </w:rPr>
      </w:pPr>
      <w:r w:rsidRPr="005F232F">
        <w:rPr>
          <w:rFonts w:cs="Arial"/>
          <w:color w:val="auto"/>
        </w:rPr>
        <w:t xml:space="preserve">Community pharmacies are ideally positioned to </w:t>
      </w:r>
      <w:r w:rsidRPr="005F232F">
        <w:rPr>
          <w:rFonts w:cs="Arial"/>
          <w:b/>
          <w:bCs/>
          <w:color w:val="auto"/>
        </w:rPr>
        <w:t>support neighbourhood-level population health goals</w:t>
      </w:r>
      <w:r w:rsidRPr="005F232F">
        <w:rPr>
          <w:rFonts w:cs="Arial"/>
          <w:color w:val="auto"/>
        </w:rPr>
        <w:t>, particularly in:</w:t>
      </w:r>
    </w:p>
    <w:p w14:paraId="5732A9BD" w14:textId="77777777" w:rsidR="005F232F" w:rsidRPr="005F232F" w:rsidRDefault="005F232F" w:rsidP="005F232F">
      <w:pPr>
        <w:numPr>
          <w:ilvl w:val="0"/>
          <w:numId w:val="32"/>
        </w:numPr>
        <w:spacing w:before="0"/>
        <w:rPr>
          <w:rFonts w:cs="Arial"/>
          <w:color w:val="auto"/>
        </w:rPr>
      </w:pPr>
      <w:r w:rsidRPr="005F232F">
        <w:rPr>
          <w:rFonts w:cs="Arial"/>
          <w:color w:val="auto"/>
        </w:rPr>
        <w:t>Reducing health inequalities</w:t>
      </w:r>
    </w:p>
    <w:p w14:paraId="4DA6AE45" w14:textId="77777777" w:rsidR="005F232F" w:rsidRPr="005F232F" w:rsidRDefault="005F232F" w:rsidP="005F232F">
      <w:pPr>
        <w:numPr>
          <w:ilvl w:val="0"/>
          <w:numId w:val="32"/>
        </w:numPr>
        <w:spacing w:before="0"/>
        <w:rPr>
          <w:rFonts w:cs="Arial"/>
          <w:color w:val="auto"/>
        </w:rPr>
      </w:pPr>
      <w:r w:rsidRPr="005F232F">
        <w:rPr>
          <w:rFonts w:cs="Arial"/>
          <w:color w:val="auto"/>
        </w:rPr>
        <w:t>Improving prevention and early diagnosis</w:t>
      </w:r>
    </w:p>
    <w:p w14:paraId="0E787B84" w14:textId="77777777" w:rsidR="005F232F" w:rsidRPr="005F232F" w:rsidRDefault="005F232F" w:rsidP="005F232F">
      <w:pPr>
        <w:numPr>
          <w:ilvl w:val="0"/>
          <w:numId w:val="32"/>
        </w:numPr>
        <w:spacing w:before="0"/>
        <w:rPr>
          <w:rFonts w:cs="Arial"/>
          <w:color w:val="auto"/>
        </w:rPr>
      </w:pPr>
      <w:r w:rsidRPr="005F232F">
        <w:rPr>
          <w:rFonts w:cs="Arial"/>
          <w:color w:val="auto"/>
        </w:rPr>
        <w:t>Managing long-term conditions</w:t>
      </w:r>
    </w:p>
    <w:p w14:paraId="3F272064" w14:textId="77777777" w:rsidR="005F232F" w:rsidRPr="005F232F" w:rsidRDefault="005F232F" w:rsidP="005F232F">
      <w:pPr>
        <w:numPr>
          <w:ilvl w:val="0"/>
          <w:numId w:val="32"/>
        </w:numPr>
        <w:spacing w:before="0"/>
        <w:rPr>
          <w:rFonts w:cs="Arial"/>
          <w:color w:val="auto"/>
        </w:rPr>
      </w:pPr>
      <w:r w:rsidRPr="005F232F">
        <w:rPr>
          <w:rFonts w:cs="Arial"/>
          <w:color w:val="auto"/>
        </w:rPr>
        <w:t>Avoiding unnecessary admissions</w:t>
      </w:r>
    </w:p>
    <w:p w14:paraId="5B1260F6" w14:textId="77777777" w:rsidR="005F232F" w:rsidRPr="005F232F" w:rsidRDefault="005F232F" w:rsidP="005F232F">
      <w:pPr>
        <w:numPr>
          <w:ilvl w:val="0"/>
          <w:numId w:val="32"/>
        </w:numPr>
        <w:spacing w:before="0"/>
        <w:rPr>
          <w:rFonts w:cs="Arial"/>
          <w:color w:val="auto"/>
        </w:rPr>
      </w:pPr>
      <w:r w:rsidRPr="005F232F">
        <w:rPr>
          <w:rFonts w:cs="Arial"/>
          <w:color w:val="auto"/>
        </w:rPr>
        <w:t>Enhancing medicines safety</w:t>
      </w:r>
    </w:p>
    <w:p w14:paraId="2B2BDAAC" w14:textId="77777777" w:rsidR="00F817F2" w:rsidRPr="00976687" w:rsidRDefault="00F817F2" w:rsidP="00976687">
      <w:pPr>
        <w:pStyle w:val="CPE-Heading2"/>
        <w:spacing w:before="0"/>
      </w:pPr>
      <w:r w:rsidRPr="00976687">
        <w:t>Strengthening collaboration with community pharmacies – next steps</w:t>
      </w:r>
    </w:p>
    <w:p w14:paraId="6BB4F5CA" w14:textId="77777777" w:rsidR="0082267F" w:rsidRPr="003D6312" w:rsidRDefault="0082267F" w:rsidP="0082267F">
      <w:pPr>
        <w:rPr>
          <w:rFonts w:cs="Arial"/>
          <w:color w:val="auto"/>
        </w:rPr>
      </w:pPr>
      <w:r w:rsidRPr="003D6312">
        <w:rPr>
          <w:rFonts w:cs="Arial"/>
          <w:color w:val="auto"/>
        </w:rPr>
        <w:t>To unlock the full potential of community pharmacy in your [</w:t>
      </w:r>
      <w:r w:rsidRPr="003D6312">
        <w:rPr>
          <w:rFonts w:cs="Arial"/>
          <w:color w:val="auto"/>
          <w:highlight w:val="yellow"/>
        </w:rPr>
        <w:t>system / place / neighbourhood]</w:t>
      </w:r>
      <w:r w:rsidRPr="003D6312">
        <w:rPr>
          <w:rFonts w:cs="Arial"/>
          <w:color w:val="auto"/>
        </w:rPr>
        <w:t>, we recommend three immediate actions:</w:t>
      </w:r>
    </w:p>
    <w:p w14:paraId="1846428B" w14:textId="77777777" w:rsidR="0082267F" w:rsidRPr="00A208E7" w:rsidRDefault="0082267F" w:rsidP="0082267F">
      <w:pPr>
        <w:rPr>
          <w:rFonts w:cs="Arial"/>
          <w:b/>
          <w:bCs/>
        </w:rPr>
      </w:pPr>
      <w:r w:rsidRPr="00A208E7">
        <w:rPr>
          <w:rFonts w:cs="Arial"/>
          <w:b/>
          <w:bCs/>
        </w:rPr>
        <w:t>1. Engage with your Local Pharmaceutical Committee (LPC)</w:t>
      </w:r>
    </w:p>
    <w:p w14:paraId="5A738139" w14:textId="77777777" w:rsidR="0082267F" w:rsidRPr="00041F31" w:rsidRDefault="0082267F" w:rsidP="0082267F">
      <w:pPr>
        <w:rPr>
          <w:rFonts w:cs="Arial"/>
          <w:color w:val="auto"/>
        </w:rPr>
      </w:pPr>
      <w:r w:rsidRPr="00041F31">
        <w:rPr>
          <w:rFonts w:cs="Arial"/>
          <w:color w:val="auto"/>
        </w:rPr>
        <w:t>The LPC is your expert local partner for pharmacy integration. Work with the LPC to:</w:t>
      </w:r>
    </w:p>
    <w:p w14:paraId="1C31406D" w14:textId="77777777" w:rsidR="0082267F" w:rsidRPr="00041F31" w:rsidRDefault="0082267F" w:rsidP="003D6312">
      <w:pPr>
        <w:numPr>
          <w:ilvl w:val="0"/>
          <w:numId w:val="33"/>
        </w:numPr>
        <w:spacing w:before="0"/>
        <w:ind w:left="714" w:hanging="357"/>
        <w:rPr>
          <w:rFonts w:cs="Arial"/>
          <w:color w:val="auto"/>
        </w:rPr>
      </w:pPr>
      <w:r w:rsidRPr="00041F31">
        <w:rPr>
          <w:rFonts w:cs="Arial"/>
          <w:color w:val="auto"/>
        </w:rPr>
        <w:t>Map existing pharmacy service provision.</w:t>
      </w:r>
    </w:p>
    <w:p w14:paraId="28814B79" w14:textId="77777777" w:rsidR="0082267F" w:rsidRPr="00041F31" w:rsidRDefault="0082267F" w:rsidP="003D6312">
      <w:pPr>
        <w:numPr>
          <w:ilvl w:val="0"/>
          <w:numId w:val="33"/>
        </w:numPr>
        <w:spacing w:before="0"/>
        <w:ind w:left="714" w:hanging="357"/>
        <w:rPr>
          <w:rFonts w:cs="Arial"/>
          <w:color w:val="auto"/>
        </w:rPr>
      </w:pPr>
      <w:r w:rsidRPr="00041F31">
        <w:rPr>
          <w:rFonts w:cs="Arial"/>
          <w:color w:val="auto"/>
        </w:rPr>
        <w:t>Identify quick wins to relieve GP or urgent care pressures, for example optimising Pharmacy First referrals from GP practices.</w:t>
      </w:r>
    </w:p>
    <w:p w14:paraId="03392B71" w14:textId="77777777" w:rsidR="0082267F" w:rsidRPr="00041F31" w:rsidRDefault="0082267F" w:rsidP="003D6312">
      <w:pPr>
        <w:numPr>
          <w:ilvl w:val="0"/>
          <w:numId w:val="33"/>
        </w:numPr>
        <w:spacing w:before="100" w:beforeAutospacing="1" w:after="100" w:afterAutospacing="1"/>
        <w:ind w:left="714" w:hanging="357"/>
        <w:rPr>
          <w:rFonts w:eastAsia="Times New Roman" w:cs="Arial"/>
          <w:color w:val="auto"/>
          <w:lang w:eastAsia="en-GB"/>
        </w:rPr>
      </w:pPr>
      <w:r w:rsidRPr="00041F31">
        <w:rPr>
          <w:rFonts w:eastAsia="Times New Roman" w:cs="Arial"/>
          <w:color w:val="auto"/>
          <w:lang w:eastAsia="en-GB"/>
        </w:rPr>
        <w:t>Explore opportunities to co-design and commission innovative local services that align with your population health priorities</w:t>
      </w:r>
    </w:p>
    <w:p w14:paraId="4344304B" w14:textId="77777777" w:rsidR="0082267F" w:rsidRPr="00A208E7" w:rsidRDefault="0082267F" w:rsidP="0082267F">
      <w:pPr>
        <w:rPr>
          <w:rFonts w:cs="Arial"/>
          <w:b/>
          <w:bCs/>
        </w:rPr>
      </w:pPr>
      <w:r w:rsidRPr="00A208E7">
        <w:rPr>
          <w:rFonts w:cs="Arial"/>
          <w:b/>
          <w:bCs/>
        </w:rPr>
        <w:t>2. Include pharmacy data in population health analytics</w:t>
      </w:r>
    </w:p>
    <w:p w14:paraId="29FD8777" w14:textId="77777777" w:rsidR="0082267F" w:rsidRPr="00041F31" w:rsidRDefault="0082267F" w:rsidP="003D6312">
      <w:pPr>
        <w:numPr>
          <w:ilvl w:val="0"/>
          <w:numId w:val="34"/>
        </w:numPr>
        <w:spacing w:before="0"/>
        <w:ind w:left="714" w:hanging="357"/>
        <w:rPr>
          <w:rFonts w:cs="Arial"/>
          <w:color w:val="auto"/>
        </w:rPr>
      </w:pPr>
      <w:r w:rsidRPr="00041F31">
        <w:rPr>
          <w:rFonts w:cs="Arial"/>
          <w:color w:val="auto"/>
        </w:rPr>
        <w:t>Integrate pharmacy activity data into your BI tools and dashboards.</w:t>
      </w:r>
    </w:p>
    <w:p w14:paraId="7E429F04" w14:textId="77777777" w:rsidR="0082267F" w:rsidRPr="00041F31" w:rsidRDefault="0082267F" w:rsidP="003D6312">
      <w:pPr>
        <w:numPr>
          <w:ilvl w:val="0"/>
          <w:numId w:val="34"/>
        </w:numPr>
        <w:spacing w:before="0"/>
        <w:ind w:left="714" w:hanging="357"/>
        <w:rPr>
          <w:rFonts w:cs="Arial"/>
          <w:color w:val="auto"/>
        </w:rPr>
      </w:pPr>
      <w:r w:rsidRPr="00041F31">
        <w:rPr>
          <w:rFonts w:cs="Arial"/>
          <w:color w:val="auto"/>
        </w:rPr>
        <w:t xml:space="preserve">Use this data to target prevention, early intervention, addressing unwarranted variation and service redesign. </w:t>
      </w:r>
    </w:p>
    <w:p w14:paraId="5CDB64E5" w14:textId="77777777" w:rsidR="0082267F" w:rsidRPr="00041F31" w:rsidRDefault="0082267F" w:rsidP="003D6312">
      <w:pPr>
        <w:numPr>
          <w:ilvl w:val="0"/>
          <w:numId w:val="34"/>
        </w:numPr>
        <w:spacing w:before="0"/>
        <w:ind w:left="714" w:hanging="357"/>
        <w:rPr>
          <w:rFonts w:cs="Arial"/>
          <w:color w:val="auto"/>
        </w:rPr>
      </w:pPr>
      <w:r w:rsidRPr="00041F31">
        <w:rPr>
          <w:rFonts w:cs="Arial"/>
          <w:color w:val="auto"/>
        </w:rPr>
        <w:t>Understand uptake and variation in service delivery across neighbourhoods.</w:t>
      </w:r>
    </w:p>
    <w:p w14:paraId="67BA9C8D" w14:textId="77777777" w:rsidR="0082267F" w:rsidRPr="00A208E7" w:rsidRDefault="0082267F" w:rsidP="003D6312">
      <w:pPr>
        <w:numPr>
          <w:ilvl w:val="0"/>
          <w:numId w:val="34"/>
        </w:numPr>
        <w:spacing w:before="100" w:beforeAutospacing="1" w:after="100" w:afterAutospacing="1"/>
        <w:ind w:left="714" w:hanging="357"/>
        <w:rPr>
          <w:rFonts w:eastAsia="Times New Roman" w:cs="Arial"/>
          <w:lang w:eastAsia="en-GB"/>
        </w:rPr>
      </w:pPr>
      <w:r w:rsidRPr="00041F31">
        <w:rPr>
          <w:rFonts w:eastAsia="Times New Roman" w:cs="Arial"/>
          <w:color w:val="auto"/>
          <w:lang w:eastAsia="en-GB"/>
        </w:rPr>
        <w:t>Consider how pharmacy data can support your strategic goals</w:t>
      </w:r>
      <w:r w:rsidRPr="00A208E7">
        <w:rPr>
          <w:rFonts w:eastAsia="Times New Roman" w:cs="Arial"/>
          <w:lang w:eastAsia="en-GB"/>
        </w:rPr>
        <w:t>.</w:t>
      </w:r>
    </w:p>
    <w:p w14:paraId="7D14B49F" w14:textId="77777777" w:rsidR="0082267F" w:rsidRPr="00A208E7" w:rsidRDefault="0082267F" w:rsidP="0082267F">
      <w:pPr>
        <w:rPr>
          <w:rFonts w:cs="Arial"/>
          <w:b/>
          <w:bCs/>
        </w:rPr>
      </w:pPr>
      <w:r w:rsidRPr="00A208E7">
        <w:rPr>
          <w:rFonts w:cs="Arial"/>
          <w:b/>
          <w:bCs/>
        </w:rPr>
        <w:t>3. Involve community pharmacy in pathway redesign</w:t>
      </w:r>
    </w:p>
    <w:p w14:paraId="1E622B14" w14:textId="77777777" w:rsidR="0082267F" w:rsidRPr="00041F31" w:rsidRDefault="0082267F" w:rsidP="003D6312">
      <w:pPr>
        <w:numPr>
          <w:ilvl w:val="0"/>
          <w:numId w:val="35"/>
        </w:numPr>
        <w:spacing w:before="0"/>
        <w:ind w:left="714" w:hanging="357"/>
        <w:rPr>
          <w:rFonts w:cs="Arial"/>
          <w:color w:val="auto"/>
        </w:rPr>
      </w:pPr>
      <w:r w:rsidRPr="00041F31">
        <w:rPr>
          <w:rFonts w:cs="Arial"/>
          <w:color w:val="auto"/>
        </w:rPr>
        <w:t>Include LPC and other pharmacy leaders in Place and neighbourhood planning and transformation discussions.</w:t>
      </w:r>
    </w:p>
    <w:p w14:paraId="371B66B9" w14:textId="77777777" w:rsidR="0082267F" w:rsidRPr="00041F31" w:rsidRDefault="0082267F" w:rsidP="003D6312">
      <w:pPr>
        <w:numPr>
          <w:ilvl w:val="0"/>
          <w:numId w:val="35"/>
        </w:numPr>
        <w:spacing w:before="0"/>
        <w:ind w:left="714" w:hanging="357"/>
        <w:rPr>
          <w:rFonts w:cs="Arial"/>
          <w:color w:val="auto"/>
        </w:rPr>
      </w:pPr>
      <w:r w:rsidRPr="00041F31">
        <w:rPr>
          <w:rFonts w:cs="Arial"/>
          <w:color w:val="auto"/>
        </w:rPr>
        <w:t xml:space="preserve">Embed community pharmacy in multidisciplinary neighbourhood teams </w:t>
      </w:r>
      <w:r w:rsidRPr="00041F31">
        <w:rPr>
          <w:rFonts w:eastAsia="Times New Roman" w:cs="Arial"/>
          <w:color w:val="auto"/>
          <w:lang w:eastAsia="en-GB"/>
        </w:rPr>
        <w:t>and encourage multidisciplinary working that routinely includes community pharmacy.</w:t>
      </w:r>
    </w:p>
    <w:p w14:paraId="3140937C" w14:textId="77777777" w:rsidR="0082267F" w:rsidRPr="00041F31" w:rsidRDefault="0082267F" w:rsidP="003D6312">
      <w:pPr>
        <w:numPr>
          <w:ilvl w:val="0"/>
          <w:numId w:val="35"/>
        </w:numPr>
        <w:spacing w:before="0"/>
        <w:ind w:left="714" w:hanging="357"/>
        <w:rPr>
          <w:rFonts w:cs="Arial"/>
          <w:color w:val="auto"/>
        </w:rPr>
      </w:pPr>
      <w:r w:rsidRPr="00041F31">
        <w:rPr>
          <w:rFonts w:cs="Arial"/>
          <w:color w:val="auto"/>
        </w:rPr>
        <w:t>Invite the LPC to participate in local care pathway redesign activity; particularly in areas such as cardiovascular disease, long-term conditions, prevention and other medicine-related pathways.</w:t>
      </w:r>
    </w:p>
    <w:p w14:paraId="1566D271" w14:textId="77777777" w:rsidR="0082267F" w:rsidRPr="00A208E7" w:rsidRDefault="0082267F" w:rsidP="0082267F">
      <w:pPr>
        <w:rPr>
          <w:rFonts w:cs="Arial"/>
          <w:b/>
          <w:bCs/>
        </w:rPr>
      </w:pPr>
      <w:r w:rsidRPr="00A208E7">
        <w:rPr>
          <w:rFonts w:cs="Arial"/>
          <w:b/>
          <w:bCs/>
        </w:rPr>
        <w:t>Let’s Work Together</w:t>
      </w:r>
    </w:p>
    <w:p w14:paraId="24A3FD16" w14:textId="77777777" w:rsidR="0082267F" w:rsidRPr="00CE76AF" w:rsidRDefault="0082267F" w:rsidP="0082267F">
      <w:pPr>
        <w:rPr>
          <w:rFonts w:cs="Arial"/>
          <w:color w:val="auto"/>
        </w:rPr>
      </w:pPr>
      <w:r w:rsidRPr="00CE76AF">
        <w:rPr>
          <w:rFonts w:cs="Arial"/>
          <w:color w:val="auto"/>
        </w:rPr>
        <w:t>No matter your neighbourhood's current development stage, community pharmacies are ready to support your ambitions. Their ability to deliver high-quality, high-volume services at the point of need within their local community makes them an invaluable asset in any integrated care model.</w:t>
      </w:r>
    </w:p>
    <w:p w14:paraId="42310C22" w14:textId="77777777" w:rsidR="0082267F" w:rsidRPr="00A208E7" w:rsidRDefault="0082267F" w:rsidP="0082267F">
      <w:pPr>
        <w:rPr>
          <w:rFonts w:cs="Arial"/>
          <w:b/>
          <w:bCs/>
        </w:rPr>
      </w:pPr>
      <w:r w:rsidRPr="00A208E7">
        <w:rPr>
          <w:rFonts w:cs="Arial"/>
          <w:b/>
          <w:bCs/>
        </w:rPr>
        <w:t>To explore how community pharmacy can support your neighbourhood priorities, contact your LPC:</w:t>
      </w:r>
    </w:p>
    <w:p w14:paraId="6EAB57B4" w14:textId="77777777" w:rsidR="0082267F" w:rsidRPr="00A208E7" w:rsidRDefault="0082267F" w:rsidP="0082267F">
      <w:pPr>
        <w:rPr>
          <w:rFonts w:cs="Arial"/>
        </w:rPr>
      </w:pPr>
      <w:r w:rsidRPr="00A208E7">
        <w:rPr>
          <w:rFonts w:cs="Arial"/>
        </w:rPr>
        <w:br/>
      </w:r>
      <w:r w:rsidRPr="00A208E7">
        <w:rPr>
          <w:rFonts w:cs="Arial"/>
          <w:b/>
          <w:bCs/>
        </w:rPr>
        <w:t>[</w:t>
      </w:r>
      <w:r w:rsidRPr="00A208E7">
        <w:rPr>
          <w:rFonts w:cs="Arial"/>
          <w:b/>
          <w:bCs/>
          <w:highlight w:val="yellow"/>
        </w:rPr>
        <w:t>Insert LPC contact details here</w:t>
      </w:r>
      <w:r w:rsidRPr="00A208E7">
        <w:rPr>
          <w:rFonts w:cs="Arial"/>
          <w:b/>
          <w:bCs/>
        </w:rPr>
        <w:t>]</w:t>
      </w:r>
    </w:p>
    <w:p w14:paraId="72011D13" w14:textId="77777777" w:rsidR="005F232F" w:rsidRDefault="005F232F" w:rsidP="00F817F2">
      <w:pPr>
        <w:rPr>
          <w:rFonts w:cs="Arial"/>
          <w:color w:val="auto"/>
        </w:rPr>
      </w:pPr>
    </w:p>
    <w:sectPr w:rsidR="005F232F" w:rsidSect="003218F3">
      <w:headerReference w:type="default" r:id="rId18"/>
      <w:headerReference w:type="first" r:id="rId19"/>
      <w:type w:val="continuous"/>
      <w:pgSz w:w="11906" w:h="16838"/>
      <w:pgMar w:top="1021" w:right="1021" w:bottom="709"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F2F4" w14:textId="77777777" w:rsidR="00803904" w:rsidRDefault="00803904" w:rsidP="00630E66">
      <w:r>
        <w:separator/>
      </w:r>
    </w:p>
  </w:endnote>
  <w:endnote w:type="continuationSeparator" w:id="0">
    <w:p w14:paraId="10BB2F09" w14:textId="77777777" w:rsidR="00803904" w:rsidRDefault="00803904"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90F3" w14:textId="77777777" w:rsidR="00803904" w:rsidRDefault="00803904" w:rsidP="00630E66">
      <w:r>
        <w:separator/>
      </w:r>
    </w:p>
  </w:footnote>
  <w:footnote w:type="continuationSeparator" w:id="0">
    <w:p w14:paraId="5FF9FBA0" w14:textId="77777777" w:rsidR="00803904" w:rsidRDefault="00803904"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B55C" w14:textId="376158C9" w:rsidR="003218F3" w:rsidRDefault="003218F3">
    <w:pPr>
      <w:pStyle w:val="Header"/>
    </w:pPr>
    <w:r>
      <w:rPr>
        <w:noProof/>
      </w:rPr>
      <w:drawing>
        <wp:anchor distT="0" distB="0" distL="114300" distR="114300" simplePos="0" relativeHeight="251658240" behindDoc="0" locked="0" layoutInCell="1" allowOverlap="1" wp14:anchorId="678F5375" wp14:editId="463F9F6F">
          <wp:simplePos x="0" y="0"/>
          <wp:positionH relativeFrom="column">
            <wp:posOffset>-67310</wp:posOffset>
          </wp:positionH>
          <wp:positionV relativeFrom="paragraph">
            <wp:posOffset>57150</wp:posOffset>
          </wp:positionV>
          <wp:extent cx="2867025" cy="615950"/>
          <wp:effectExtent l="0" t="0" r="9525" b="0"/>
          <wp:wrapThrough wrapText="bothSides">
            <wp:wrapPolygon edited="0">
              <wp:start x="861" y="0"/>
              <wp:lineTo x="0" y="6012"/>
              <wp:lineTo x="0" y="20041"/>
              <wp:lineTo x="9616" y="20709"/>
              <wp:lineTo x="12773" y="20709"/>
              <wp:lineTo x="21528" y="20041"/>
              <wp:lineTo x="21528" y="13361"/>
              <wp:lineTo x="13204" y="10689"/>
              <wp:lineTo x="14496" y="4008"/>
              <wp:lineTo x="14496" y="1336"/>
              <wp:lineTo x="12917" y="0"/>
              <wp:lineTo x="861" y="0"/>
            </wp:wrapPolygon>
          </wp:wrapThrough>
          <wp:docPr id="348144889" name="Picture 2" descr="A blue and orang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33681" name="Picture 2" descr="A blue and orang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67025" cy="615950"/>
                  </a:xfrm>
                  <a:prstGeom prst="rect">
                    <a:avLst/>
                  </a:prstGeom>
                </pic:spPr>
              </pic:pic>
            </a:graphicData>
          </a:graphic>
        </wp:anchor>
      </w:drawing>
    </w:r>
  </w:p>
  <w:p w14:paraId="468449E0" w14:textId="4088E0B9" w:rsidR="003218F3" w:rsidRDefault="003218F3">
    <w:pPr>
      <w:pStyle w:val="Header"/>
    </w:pPr>
  </w:p>
  <w:p w14:paraId="5BCD8808" w14:textId="4A0B87B0" w:rsidR="00721E34" w:rsidRDefault="008463CD">
    <w:pPr>
      <w:pStyle w:val="Header"/>
    </w:pPr>
    <w:r>
      <w:rPr>
        <w:noProof/>
      </w:rPr>
      <w:drawing>
        <wp:anchor distT="0" distB="0" distL="114300" distR="114300" simplePos="0" relativeHeight="251657216" behindDoc="0" locked="0" layoutInCell="1" allowOverlap="1" wp14:anchorId="6D79E243" wp14:editId="1EF05250">
          <wp:simplePos x="0" y="0"/>
          <wp:positionH relativeFrom="column">
            <wp:posOffset>3708400</wp:posOffset>
          </wp:positionH>
          <wp:positionV relativeFrom="page">
            <wp:posOffset>241300</wp:posOffset>
          </wp:positionV>
          <wp:extent cx="3186000" cy="1170000"/>
          <wp:effectExtent l="0" t="0" r="0" b="0"/>
          <wp:wrapNone/>
          <wp:docPr id="1004724002"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DC9E" w14:textId="77777777" w:rsidR="00A06961" w:rsidRDefault="00A06961">
    <w:pPr>
      <w:pStyle w:val="Header"/>
    </w:pPr>
    <w:r>
      <w:rPr>
        <w:noProof/>
      </w:rPr>
      <w:drawing>
        <wp:inline distT="0" distB="0" distL="0" distR="0" wp14:anchorId="07D1A05D" wp14:editId="1001CA9C">
          <wp:extent cx="1917700" cy="609600"/>
          <wp:effectExtent l="0" t="0" r="0" b="0"/>
          <wp:docPr id="2112434935" name="Picture 211243493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E14124"/>
    <w:multiLevelType w:val="multilevel"/>
    <w:tmpl w:val="BD5E3E14"/>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F0F84"/>
    <w:multiLevelType w:val="hybridMultilevel"/>
    <w:tmpl w:val="262E2618"/>
    <w:lvl w:ilvl="0" w:tplc="08090005">
      <w:start w:val="1"/>
      <w:numFmt w:val="bullet"/>
      <w:lvlText w:val=""/>
      <w:lvlJc w:val="left"/>
      <w:pPr>
        <w:ind w:left="780" w:hanging="360"/>
      </w:pPr>
      <w:rPr>
        <w:rFonts w:ascii="Wingdings" w:hAnsi="Wingdings" w:hint="default"/>
        <w:color w:val="FF6D3A" w:themeColor="accen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9E3EE7"/>
    <w:multiLevelType w:val="hybridMultilevel"/>
    <w:tmpl w:val="A9EE8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814882"/>
    <w:multiLevelType w:val="multilevel"/>
    <w:tmpl w:val="3BAC9146"/>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CE5107"/>
    <w:multiLevelType w:val="hybridMultilevel"/>
    <w:tmpl w:val="8CAE7F8E"/>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31153"/>
    <w:multiLevelType w:val="multilevel"/>
    <w:tmpl w:val="7F7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91060"/>
    <w:multiLevelType w:val="hybridMultilevel"/>
    <w:tmpl w:val="66124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95EC2"/>
    <w:multiLevelType w:val="hybridMultilevel"/>
    <w:tmpl w:val="D8F234A2"/>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40CB0"/>
    <w:multiLevelType w:val="multilevel"/>
    <w:tmpl w:val="FC6A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19D6012"/>
    <w:multiLevelType w:val="multilevel"/>
    <w:tmpl w:val="9F84FA7E"/>
    <w:lvl w:ilvl="0">
      <w:start w:val="1"/>
      <w:numFmt w:val="bullet"/>
      <w:lvlText w:val=""/>
      <w:lvlJc w:val="left"/>
      <w:pPr>
        <w:tabs>
          <w:tab w:val="num" w:pos="720"/>
        </w:tabs>
        <w:ind w:left="720" w:hanging="360"/>
      </w:pPr>
      <w:rPr>
        <w:rFonts w:ascii="Symbol" w:hAnsi="Symbol" w:hint="default"/>
        <w:color w:val="CB00BA"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14AAC"/>
    <w:multiLevelType w:val="multilevel"/>
    <w:tmpl w:val="2CDA2832"/>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0A25"/>
    <w:multiLevelType w:val="multilevel"/>
    <w:tmpl w:val="C3681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72401"/>
    <w:multiLevelType w:val="hybridMultilevel"/>
    <w:tmpl w:val="EB66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A084A"/>
    <w:multiLevelType w:val="multilevel"/>
    <w:tmpl w:val="38520226"/>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A488A"/>
    <w:multiLevelType w:val="multilevel"/>
    <w:tmpl w:val="DF0C6C1A"/>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D5DEC"/>
    <w:multiLevelType w:val="hybridMultilevel"/>
    <w:tmpl w:val="C770BA44"/>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843F3"/>
    <w:multiLevelType w:val="multilevel"/>
    <w:tmpl w:val="018CCB62"/>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B0A59"/>
    <w:multiLevelType w:val="multilevel"/>
    <w:tmpl w:val="AD04EF20"/>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D3047"/>
    <w:multiLevelType w:val="multilevel"/>
    <w:tmpl w:val="9C6C6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E4DDB"/>
    <w:multiLevelType w:val="multilevel"/>
    <w:tmpl w:val="E4F4FC78"/>
    <w:lvl w:ilvl="0">
      <w:start w:val="1"/>
      <w:numFmt w:val="bullet"/>
      <w:lvlText w:val=""/>
      <w:lvlJc w:val="left"/>
      <w:pPr>
        <w:tabs>
          <w:tab w:val="num" w:pos="720"/>
        </w:tabs>
        <w:ind w:left="720" w:hanging="360"/>
      </w:pPr>
      <w:rPr>
        <w:rFonts w:ascii="Wingdings" w:hAnsi="Wingdings" w:hint="default"/>
        <w:color w:val="FF6D3A"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32E52"/>
    <w:multiLevelType w:val="hybridMultilevel"/>
    <w:tmpl w:val="8ACE6624"/>
    <w:lvl w:ilvl="0" w:tplc="08090005">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96809"/>
    <w:multiLevelType w:val="hybridMultilevel"/>
    <w:tmpl w:val="2CDE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93A0B"/>
    <w:multiLevelType w:val="multilevel"/>
    <w:tmpl w:val="133E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A1CC2"/>
    <w:multiLevelType w:val="multilevel"/>
    <w:tmpl w:val="55D06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11691">
    <w:abstractNumId w:val="1"/>
  </w:num>
  <w:num w:numId="2" w16cid:durableId="1241326829">
    <w:abstractNumId w:val="0"/>
  </w:num>
  <w:num w:numId="3" w16cid:durableId="1484003500">
    <w:abstractNumId w:val="6"/>
  </w:num>
  <w:num w:numId="4" w16cid:durableId="1777670013">
    <w:abstractNumId w:val="12"/>
  </w:num>
  <w:num w:numId="5" w16cid:durableId="1190334263">
    <w:abstractNumId w:val="13"/>
  </w:num>
  <w:num w:numId="6" w16cid:durableId="131293759">
    <w:abstractNumId w:val="14"/>
  </w:num>
  <w:num w:numId="7" w16cid:durableId="1042482638">
    <w:abstractNumId w:val="6"/>
  </w:num>
  <w:num w:numId="8" w16cid:durableId="131751348">
    <w:abstractNumId w:val="6"/>
  </w:num>
  <w:num w:numId="9" w16cid:durableId="1098870071">
    <w:abstractNumId w:val="6"/>
  </w:num>
  <w:num w:numId="10" w16cid:durableId="1634755302">
    <w:abstractNumId w:val="16"/>
  </w:num>
  <w:num w:numId="11" w16cid:durableId="1188640022">
    <w:abstractNumId w:val="17"/>
  </w:num>
  <w:num w:numId="12" w16cid:durableId="1852992899">
    <w:abstractNumId w:val="6"/>
  </w:num>
  <w:num w:numId="13" w16cid:durableId="1016348709">
    <w:abstractNumId w:val="6"/>
  </w:num>
  <w:num w:numId="14" w16cid:durableId="1328942679">
    <w:abstractNumId w:val="6"/>
  </w:num>
  <w:num w:numId="15" w16cid:durableId="1875341427">
    <w:abstractNumId w:val="9"/>
  </w:num>
  <w:num w:numId="16" w16cid:durableId="962007067">
    <w:abstractNumId w:val="7"/>
  </w:num>
  <w:num w:numId="17" w16cid:durableId="1569073195">
    <w:abstractNumId w:val="10"/>
  </w:num>
  <w:num w:numId="18" w16cid:durableId="1656253968">
    <w:abstractNumId w:val="19"/>
  </w:num>
  <w:num w:numId="19" w16cid:durableId="452291073">
    <w:abstractNumId w:val="20"/>
  </w:num>
  <w:num w:numId="20" w16cid:durableId="1057899223">
    <w:abstractNumId w:val="23"/>
  </w:num>
  <w:num w:numId="21" w16cid:durableId="1276447223">
    <w:abstractNumId w:val="3"/>
  </w:num>
  <w:num w:numId="22" w16cid:durableId="2050177177">
    <w:abstractNumId w:val="26"/>
  </w:num>
  <w:num w:numId="23" w16cid:durableId="1856992889">
    <w:abstractNumId w:val="4"/>
  </w:num>
  <w:num w:numId="24" w16cid:durableId="598417192">
    <w:abstractNumId w:val="25"/>
  </w:num>
  <w:num w:numId="25" w16cid:durableId="1230000776">
    <w:abstractNumId w:val="5"/>
  </w:num>
  <w:num w:numId="26" w16cid:durableId="894389593">
    <w:abstractNumId w:val="27"/>
  </w:num>
  <w:num w:numId="27" w16cid:durableId="43599314">
    <w:abstractNumId w:val="8"/>
  </w:num>
  <w:num w:numId="28" w16cid:durableId="1974601624">
    <w:abstractNumId w:val="21"/>
  </w:num>
  <w:num w:numId="29" w16cid:durableId="77487865">
    <w:abstractNumId w:val="28"/>
  </w:num>
  <w:num w:numId="30" w16cid:durableId="1735544067">
    <w:abstractNumId w:val="15"/>
  </w:num>
  <w:num w:numId="31" w16cid:durableId="1527137651">
    <w:abstractNumId w:val="11"/>
  </w:num>
  <w:num w:numId="32" w16cid:durableId="230431550">
    <w:abstractNumId w:val="2"/>
  </w:num>
  <w:num w:numId="33" w16cid:durableId="1473447952">
    <w:abstractNumId w:val="18"/>
  </w:num>
  <w:num w:numId="34" w16cid:durableId="489834603">
    <w:abstractNumId w:val="24"/>
  </w:num>
  <w:num w:numId="35" w16cid:durableId="73003811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F7"/>
    <w:rsid w:val="0000022F"/>
    <w:rsid w:val="00002EBD"/>
    <w:rsid w:val="000076FE"/>
    <w:rsid w:val="00011577"/>
    <w:rsid w:val="000124D2"/>
    <w:rsid w:val="000277CC"/>
    <w:rsid w:val="00032918"/>
    <w:rsid w:val="000329D1"/>
    <w:rsid w:val="00041F31"/>
    <w:rsid w:val="00043D85"/>
    <w:rsid w:val="0004574C"/>
    <w:rsid w:val="0005563F"/>
    <w:rsid w:val="000958B8"/>
    <w:rsid w:val="000A16C3"/>
    <w:rsid w:val="000A2247"/>
    <w:rsid w:val="000B1C5C"/>
    <w:rsid w:val="000C36F2"/>
    <w:rsid w:val="000C6CD4"/>
    <w:rsid w:val="000D399C"/>
    <w:rsid w:val="000D4ADA"/>
    <w:rsid w:val="000D67C9"/>
    <w:rsid w:val="000E5951"/>
    <w:rsid w:val="000F33AF"/>
    <w:rsid w:val="000F7F2B"/>
    <w:rsid w:val="00110686"/>
    <w:rsid w:val="001119F0"/>
    <w:rsid w:val="0011715D"/>
    <w:rsid w:val="00123787"/>
    <w:rsid w:val="00133063"/>
    <w:rsid w:val="00136D77"/>
    <w:rsid w:val="00142F9A"/>
    <w:rsid w:val="00144C83"/>
    <w:rsid w:val="00147A4B"/>
    <w:rsid w:val="001623A2"/>
    <w:rsid w:val="0016610D"/>
    <w:rsid w:val="0016781F"/>
    <w:rsid w:val="0019126D"/>
    <w:rsid w:val="00192EB4"/>
    <w:rsid w:val="001B10D5"/>
    <w:rsid w:val="001B4751"/>
    <w:rsid w:val="001B6C92"/>
    <w:rsid w:val="001D42F9"/>
    <w:rsid w:val="001D5152"/>
    <w:rsid w:val="001E7FF1"/>
    <w:rsid w:val="001F6A21"/>
    <w:rsid w:val="00214FBD"/>
    <w:rsid w:val="002154C2"/>
    <w:rsid w:val="00215C37"/>
    <w:rsid w:val="00223C88"/>
    <w:rsid w:val="002336C6"/>
    <w:rsid w:val="002339EC"/>
    <w:rsid w:val="00236C06"/>
    <w:rsid w:val="0024593D"/>
    <w:rsid w:val="0025070A"/>
    <w:rsid w:val="00256F2E"/>
    <w:rsid w:val="00261A6C"/>
    <w:rsid w:val="00263144"/>
    <w:rsid w:val="00263A40"/>
    <w:rsid w:val="002747DC"/>
    <w:rsid w:val="002765A8"/>
    <w:rsid w:val="00282703"/>
    <w:rsid w:val="0028295A"/>
    <w:rsid w:val="00286B9E"/>
    <w:rsid w:val="0029378A"/>
    <w:rsid w:val="002B376A"/>
    <w:rsid w:val="002B5772"/>
    <w:rsid w:val="002B7B4A"/>
    <w:rsid w:val="002C300F"/>
    <w:rsid w:val="002C51E8"/>
    <w:rsid w:val="002D0BAD"/>
    <w:rsid w:val="002D1E87"/>
    <w:rsid w:val="002E1ACD"/>
    <w:rsid w:val="002E4C67"/>
    <w:rsid w:val="002F0508"/>
    <w:rsid w:val="002F2B12"/>
    <w:rsid w:val="002F6DD0"/>
    <w:rsid w:val="003025D1"/>
    <w:rsid w:val="003032FD"/>
    <w:rsid w:val="0030587C"/>
    <w:rsid w:val="00314F05"/>
    <w:rsid w:val="00315973"/>
    <w:rsid w:val="003218F3"/>
    <w:rsid w:val="00325DE9"/>
    <w:rsid w:val="0032645E"/>
    <w:rsid w:val="00335928"/>
    <w:rsid w:val="00335E89"/>
    <w:rsid w:val="0033629C"/>
    <w:rsid w:val="00337834"/>
    <w:rsid w:val="00347ADE"/>
    <w:rsid w:val="00352C36"/>
    <w:rsid w:val="00360154"/>
    <w:rsid w:val="00372304"/>
    <w:rsid w:val="00380BB6"/>
    <w:rsid w:val="00391057"/>
    <w:rsid w:val="003949FD"/>
    <w:rsid w:val="003A226A"/>
    <w:rsid w:val="003A40B3"/>
    <w:rsid w:val="003A5044"/>
    <w:rsid w:val="003B540B"/>
    <w:rsid w:val="003C1EBE"/>
    <w:rsid w:val="003C2579"/>
    <w:rsid w:val="003C346A"/>
    <w:rsid w:val="003C5AAF"/>
    <w:rsid w:val="003D038E"/>
    <w:rsid w:val="003D2CB9"/>
    <w:rsid w:val="003D3DAE"/>
    <w:rsid w:val="003D4534"/>
    <w:rsid w:val="003D6312"/>
    <w:rsid w:val="003E12A7"/>
    <w:rsid w:val="003E71B3"/>
    <w:rsid w:val="003F5677"/>
    <w:rsid w:val="004016FF"/>
    <w:rsid w:val="00416918"/>
    <w:rsid w:val="00423239"/>
    <w:rsid w:val="00423905"/>
    <w:rsid w:val="0044019D"/>
    <w:rsid w:val="00454680"/>
    <w:rsid w:val="0046334D"/>
    <w:rsid w:val="0047521E"/>
    <w:rsid w:val="004A469E"/>
    <w:rsid w:val="004A5586"/>
    <w:rsid w:val="004C6A0E"/>
    <w:rsid w:val="004E20F8"/>
    <w:rsid w:val="004E2107"/>
    <w:rsid w:val="004E677A"/>
    <w:rsid w:val="00501023"/>
    <w:rsid w:val="00501B6C"/>
    <w:rsid w:val="00502887"/>
    <w:rsid w:val="00513F77"/>
    <w:rsid w:val="00527CAB"/>
    <w:rsid w:val="00542AD6"/>
    <w:rsid w:val="00542F07"/>
    <w:rsid w:val="005669C2"/>
    <w:rsid w:val="0057135D"/>
    <w:rsid w:val="00585997"/>
    <w:rsid w:val="00590A51"/>
    <w:rsid w:val="00596E83"/>
    <w:rsid w:val="005A26E7"/>
    <w:rsid w:val="005C3ED7"/>
    <w:rsid w:val="005D1090"/>
    <w:rsid w:val="005E4283"/>
    <w:rsid w:val="005F03FB"/>
    <w:rsid w:val="005F1BDB"/>
    <w:rsid w:val="005F232F"/>
    <w:rsid w:val="005F2D4F"/>
    <w:rsid w:val="00604467"/>
    <w:rsid w:val="00605E19"/>
    <w:rsid w:val="00605F2F"/>
    <w:rsid w:val="0061342D"/>
    <w:rsid w:val="00621801"/>
    <w:rsid w:val="00624FF2"/>
    <w:rsid w:val="00630E66"/>
    <w:rsid w:val="0064337B"/>
    <w:rsid w:val="00655317"/>
    <w:rsid w:val="006679BB"/>
    <w:rsid w:val="006C0571"/>
    <w:rsid w:val="006C1880"/>
    <w:rsid w:val="006C7905"/>
    <w:rsid w:val="006E02C6"/>
    <w:rsid w:val="006E718C"/>
    <w:rsid w:val="006F1E48"/>
    <w:rsid w:val="006F3723"/>
    <w:rsid w:val="006F68DB"/>
    <w:rsid w:val="007075C4"/>
    <w:rsid w:val="00713312"/>
    <w:rsid w:val="007147FF"/>
    <w:rsid w:val="007218FA"/>
    <w:rsid w:val="00721E34"/>
    <w:rsid w:val="00723A06"/>
    <w:rsid w:val="0072740E"/>
    <w:rsid w:val="00730A97"/>
    <w:rsid w:val="0073241F"/>
    <w:rsid w:val="00737119"/>
    <w:rsid w:val="00737B61"/>
    <w:rsid w:val="007418E1"/>
    <w:rsid w:val="00743BB5"/>
    <w:rsid w:val="0075244A"/>
    <w:rsid w:val="00760D94"/>
    <w:rsid w:val="00766C75"/>
    <w:rsid w:val="00767D48"/>
    <w:rsid w:val="00775580"/>
    <w:rsid w:val="0077768F"/>
    <w:rsid w:val="00791525"/>
    <w:rsid w:val="00791D18"/>
    <w:rsid w:val="00792A9B"/>
    <w:rsid w:val="007B377A"/>
    <w:rsid w:val="007B4955"/>
    <w:rsid w:val="007B5C73"/>
    <w:rsid w:val="007C0A73"/>
    <w:rsid w:val="007C15A6"/>
    <w:rsid w:val="007C2878"/>
    <w:rsid w:val="007C530C"/>
    <w:rsid w:val="007C6669"/>
    <w:rsid w:val="007D3E71"/>
    <w:rsid w:val="007D591A"/>
    <w:rsid w:val="007E068C"/>
    <w:rsid w:val="007E15AE"/>
    <w:rsid w:val="007E7EDD"/>
    <w:rsid w:val="007E7F4F"/>
    <w:rsid w:val="007F01F0"/>
    <w:rsid w:val="007F0682"/>
    <w:rsid w:val="007F5437"/>
    <w:rsid w:val="00803904"/>
    <w:rsid w:val="00815C17"/>
    <w:rsid w:val="008166D8"/>
    <w:rsid w:val="00820750"/>
    <w:rsid w:val="0082267F"/>
    <w:rsid w:val="00831A6F"/>
    <w:rsid w:val="008359FA"/>
    <w:rsid w:val="008463CD"/>
    <w:rsid w:val="0085104A"/>
    <w:rsid w:val="00865151"/>
    <w:rsid w:val="0087477A"/>
    <w:rsid w:val="00874A29"/>
    <w:rsid w:val="00880F3E"/>
    <w:rsid w:val="008B7C20"/>
    <w:rsid w:val="008D3B45"/>
    <w:rsid w:val="008D58F9"/>
    <w:rsid w:val="008E25F3"/>
    <w:rsid w:val="008F0CB0"/>
    <w:rsid w:val="008F4E48"/>
    <w:rsid w:val="008F54F8"/>
    <w:rsid w:val="008F7AB3"/>
    <w:rsid w:val="0090409F"/>
    <w:rsid w:val="00904981"/>
    <w:rsid w:val="0091020E"/>
    <w:rsid w:val="00917B65"/>
    <w:rsid w:val="00947383"/>
    <w:rsid w:val="00956968"/>
    <w:rsid w:val="00962E11"/>
    <w:rsid w:val="00964EA6"/>
    <w:rsid w:val="009652F2"/>
    <w:rsid w:val="00976687"/>
    <w:rsid w:val="009778F0"/>
    <w:rsid w:val="00987557"/>
    <w:rsid w:val="009879EA"/>
    <w:rsid w:val="009948E4"/>
    <w:rsid w:val="009A26AE"/>
    <w:rsid w:val="009C3F6E"/>
    <w:rsid w:val="009C6D70"/>
    <w:rsid w:val="009C7E6C"/>
    <w:rsid w:val="009E349E"/>
    <w:rsid w:val="009E459C"/>
    <w:rsid w:val="009E5B04"/>
    <w:rsid w:val="009E6430"/>
    <w:rsid w:val="00A0399C"/>
    <w:rsid w:val="00A06961"/>
    <w:rsid w:val="00A12466"/>
    <w:rsid w:val="00A15CDD"/>
    <w:rsid w:val="00A208E7"/>
    <w:rsid w:val="00A2417A"/>
    <w:rsid w:val="00A24E9C"/>
    <w:rsid w:val="00A317DF"/>
    <w:rsid w:val="00A36F03"/>
    <w:rsid w:val="00A4421C"/>
    <w:rsid w:val="00A760B4"/>
    <w:rsid w:val="00A855C7"/>
    <w:rsid w:val="00A8567C"/>
    <w:rsid w:val="00AA215B"/>
    <w:rsid w:val="00AA4606"/>
    <w:rsid w:val="00AA65F6"/>
    <w:rsid w:val="00AB1908"/>
    <w:rsid w:val="00AB546A"/>
    <w:rsid w:val="00AC2ABE"/>
    <w:rsid w:val="00AD565F"/>
    <w:rsid w:val="00AD6129"/>
    <w:rsid w:val="00AD73DB"/>
    <w:rsid w:val="00AE266D"/>
    <w:rsid w:val="00AF5F23"/>
    <w:rsid w:val="00B01F36"/>
    <w:rsid w:val="00B1007C"/>
    <w:rsid w:val="00B116CB"/>
    <w:rsid w:val="00B14590"/>
    <w:rsid w:val="00B15934"/>
    <w:rsid w:val="00B21703"/>
    <w:rsid w:val="00B336EA"/>
    <w:rsid w:val="00B35B59"/>
    <w:rsid w:val="00B4033D"/>
    <w:rsid w:val="00B5711B"/>
    <w:rsid w:val="00B800CB"/>
    <w:rsid w:val="00B821E7"/>
    <w:rsid w:val="00B8338F"/>
    <w:rsid w:val="00B873FA"/>
    <w:rsid w:val="00B935E0"/>
    <w:rsid w:val="00BA0AC4"/>
    <w:rsid w:val="00BA35B5"/>
    <w:rsid w:val="00BA3678"/>
    <w:rsid w:val="00BA789B"/>
    <w:rsid w:val="00BB1464"/>
    <w:rsid w:val="00BB4302"/>
    <w:rsid w:val="00BD1256"/>
    <w:rsid w:val="00BE0BB6"/>
    <w:rsid w:val="00BE26EF"/>
    <w:rsid w:val="00BE4235"/>
    <w:rsid w:val="00BE67A6"/>
    <w:rsid w:val="00BF4FF3"/>
    <w:rsid w:val="00C0313C"/>
    <w:rsid w:val="00C0500F"/>
    <w:rsid w:val="00C22C5E"/>
    <w:rsid w:val="00C24F07"/>
    <w:rsid w:val="00C348CC"/>
    <w:rsid w:val="00C67B5F"/>
    <w:rsid w:val="00CA1658"/>
    <w:rsid w:val="00CB50B5"/>
    <w:rsid w:val="00CC2590"/>
    <w:rsid w:val="00CE1B2A"/>
    <w:rsid w:val="00CE76AF"/>
    <w:rsid w:val="00D012A1"/>
    <w:rsid w:val="00D027E4"/>
    <w:rsid w:val="00D06A80"/>
    <w:rsid w:val="00D06C3F"/>
    <w:rsid w:val="00D23F61"/>
    <w:rsid w:val="00D30F73"/>
    <w:rsid w:val="00D30FBF"/>
    <w:rsid w:val="00D356CE"/>
    <w:rsid w:val="00D36361"/>
    <w:rsid w:val="00D37431"/>
    <w:rsid w:val="00D568C9"/>
    <w:rsid w:val="00D622CB"/>
    <w:rsid w:val="00D7062F"/>
    <w:rsid w:val="00D728CB"/>
    <w:rsid w:val="00D75E4D"/>
    <w:rsid w:val="00D770CD"/>
    <w:rsid w:val="00D8057B"/>
    <w:rsid w:val="00D87C44"/>
    <w:rsid w:val="00D95A29"/>
    <w:rsid w:val="00DA2693"/>
    <w:rsid w:val="00DA2CEC"/>
    <w:rsid w:val="00DA5703"/>
    <w:rsid w:val="00DB1621"/>
    <w:rsid w:val="00DB7BA8"/>
    <w:rsid w:val="00DC626C"/>
    <w:rsid w:val="00DD1986"/>
    <w:rsid w:val="00DD3386"/>
    <w:rsid w:val="00E01D94"/>
    <w:rsid w:val="00E02D58"/>
    <w:rsid w:val="00E06895"/>
    <w:rsid w:val="00E20191"/>
    <w:rsid w:val="00E21304"/>
    <w:rsid w:val="00E32B65"/>
    <w:rsid w:val="00E338D7"/>
    <w:rsid w:val="00E55800"/>
    <w:rsid w:val="00E55EBA"/>
    <w:rsid w:val="00E63C87"/>
    <w:rsid w:val="00E65B82"/>
    <w:rsid w:val="00E66245"/>
    <w:rsid w:val="00E71B4A"/>
    <w:rsid w:val="00E80B9B"/>
    <w:rsid w:val="00E92C9B"/>
    <w:rsid w:val="00E9311D"/>
    <w:rsid w:val="00EA6DD8"/>
    <w:rsid w:val="00EB011B"/>
    <w:rsid w:val="00EC23F8"/>
    <w:rsid w:val="00EC4AFF"/>
    <w:rsid w:val="00EC5568"/>
    <w:rsid w:val="00ED6EA3"/>
    <w:rsid w:val="00EF00C8"/>
    <w:rsid w:val="00EF2381"/>
    <w:rsid w:val="00EF3ECE"/>
    <w:rsid w:val="00F02EA0"/>
    <w:rsid w:val="00F15C19"/>
    <w:rsid w:val="00F32309"/>
    <w:rsid w:val="00F36075"/>
    <w:rsid w:val="00F51F9D"/>
    <w:rsid w:val="00F560D8"/>
    <w:rsid w:val="00F571F3"/>
    <w:rsid w:val="00F776AD"/>
    <w:rsid w:val="00F817F2"/>
    <w:rsid w:val="00F86640"/>
    <w:rsid w:val="00F87777"/>
    <w:rsid w:val="00F90D7E"/>
    <w:rsid w:val="00F929B4"/>
    <w:rsid w:val="00FA02F7"/>
    <w:rsid w:val="00FB0705"/>
    <w:rsid w:val="00FC2E97"/>
    <w:rsid w:val="00FD3BA0"/>
    <w:rsid w:val="00FE33E0"/>
    <w:rsid w:val="00FE6B27"/>
    <w:rsid w:val="00FF33EF"/>
    <w:rsid w:val="00FF4DB3"/>
    <w:rsid w:val="00FF5C6E"/>
    <w:rsid w:val="00FF6D9A"/>
    <w:rsid w:val="3049624A"/>
    <w:rsid w:val="7337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FC7C"/>
  <w15:chartTrackingRefBased/>
  <w15:docId w15:val="{FC157C30-BA9A-4FC9-93F1-51B453C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69"/>
    <w:pPr>
      <w:spacing w:before="120" w:after="160" w:line="336" w:lineRule="auto"/>
    </w:pPr>
    <w:rPr>
      <w:rFonts w:ascii="DM Sans" w:eastAsia="Calibri" w:hAnsi="DM Sans" w:cs="Times New Roman"/>
      <w:color w:val="0072CE"/>
      <w:sz w:val="22"/>
      <w:szCs w:val="2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styleId="Hyperlink">
    <w:name w:val="Hyperlink"/>
    <w:basedOn w:val="DefaultParagraphFont"/>
    <w:uiPriority w:val="99"/>
    <w:unhideWhenUsed/>
    <w:rsid w:val="00D87C44"/>
    <w:rPr>
      <w:color w:val="FF6D3A" w:themeColor="hyperlink"/>
      <w:u w:val="single"/>
    </w:rPr>
  </w:style>
  <w:style w:type="paragraph" w:styleId="FootnoteText">
    <w:name w:val="footnote text"/>
    <w:basedOn w:val="Normal"/>
    <w:link w:val="FootnoteTextChar"/>
    <w:uiPriority w:val="99"/>
    <w:semiHidden/>
    <w:unhideWhenUsed/>
    <w:rsid w:val="00D87C44"/>
    <w:pPr>
      <w:spacing w:before="0" w:after="0" w:line="240" w:lineRule="auto"/>
    </w:pPr>
    <w:rPr>
      <w:rFonts w:asciiTheme="minorHAnsi" w:eastAsiaTheme="minorHAnsi" w:hAnsiTheme="minorHAnsi" w:cstheme="minorBidi"/>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D87C44"/>
    <w:rPr>
      <w:kern w:val="2"/>
      <w:sz w:val="20"/>
      <w:szCs w:val="20"/>
      <w14:ligatures w14:val="standardContextual"/>
    </w:rPr>
  </w:style>
  <w:style w:type="character" w:styleId="FootnoteReference">
    <w:name w:val="footnote reference"/>
    <w:basedOn w:val="DefaultParagraphFont"/>
    <w:uiPriority w:val="99"/>
    <w:semiHidden/>
    <w:unhideWhenUsed/>
    <w:rsid w:val="00D87C44"/>
    <w:rPr>
      <w:vertAlign w:val="superscript"/>
    </w:rPr>
  </w:style>
  <w:style w:type="character" w:styleId="CommentReference">
    <w:name w:val="annotation reference"/>
    <w:basedOn w:val="DefaultParagraphFont"/>
    <w:uiPriority w:val="99"/>
    <w:semiHidden/>
    <w:unhideWhenUsed/>
    <w:rsid w:val="008B7C20"/>
    <w:rPr>
      <w:sz w:val="16"/>
      <w:szCs w:val="16"/>
    </w:rPr>
  </w:style>
  <w:style w:type="paragraph" w:styleId="CommentText">
    <w:name w:val="annotation text"/>
    <w:basedOn w:val="Normal"/>
    <w:link w:val="CommentTextChar"/>
    <w:uiPriority w:val="99"/>
    <w:unhideWhenUsed/>
    <w:rsid w:val="008B7C20"/>
    <w:pPr>
      <w:spacing w:before="0" w:line="240" w:lineRule="auto"/>
    </w:pPr>
    <w:rPr>
      <w:rFonts w:asciiTheme="minorHAnsi" w:eastAsiaTheme="minorHAnsi"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8B7C2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B7C20"/>
    <w:pPr>
      <w:spacing w:before="120"/>
    </w:pPr>
    <w:rPr>
      <w:rFonts w:ascii="DM Sans" w:eastAsia="Calibri" w:hAnsi="DM Sans" w:cs="Times New Roman"/>
      <w:b/>
      <w:bCs/>
      <w:color w:val="0072CE"/>
      <w:kern w:val="0"/>
      <w14:ligatures w14:val="none"/>
    </w:rPr>
  </w:style>
  <w:style w:type="character" w:customStyle="1" w:styleId="CommentSubjectChar">
    <w:name w:val="Comment Subject Char"/>
    <w:basedOn w:val="CommentTextChar"/>
    <w:link w:val="CommentSubject"/>
    <w:uiPriority w:val="99"/>
    <w:semiHidden/>
    <w:rsid w:val="008B7C20"/>
    <w:rPr>
      <w:rFonts w:ascii="DM Sans" w:eastAsia="Calibri" w:hAnsi="DM Sans" w:cs="Times New Roman"/>
      <w:b/>
      <w:bCs/>
      <w:color w:val="0072CE"/>
      <w:kern w:val="2"/>
      <w:sz w:val="20"/>
      <w:szCs w:val="20"/>
      <w14:ligatures w14:val="standardContextual"/>
    </w:rPr>
  </w:style>
  <w:style w:type="character" w:styleId="UnresolvedMention">
    <w:name w:val="Unresolved Mention"/>
    <w:basedOn w:val="DefaultParagraphFont"/>
    <w:uiPriority w:val="99"/>
    <w:semiHidden/>
    <w:unhideWhenUsed/>
    <w:rsid w:val="007075C4"/>
    <w:rPr>
      <w:color w:val="605E5C"/>
      <w:shd w:val="clear" w:color="auto" w:fill="E1DFDD"/>
    </w:rPr>
  </w:style>
  <w:style w:type="paragraph" w:styleId="Revision">
    <w:name w:val="Revision"/>
    <w:hidden/>
    <w:uiPriority w:val="99"/>
    <w:semiHidden/>
    <w:rsid w:val="007F5437"/>
    <w:rPr>
      <w:rFonts w:ascii="DM Sans" w:eastAsia="Calibri" w:hAnsi="DM Sans" w:cs="Times New Roman"/>
      <w:color w:val="0072CE"/>
      <w:sz w:val="22"/>
      <w:szCs w:val="22"/>
    </w:rPr>
  </w:style>
  <w:style w:type="paragraph" w:styleId="ListParagraph">
    <w:name w:val="List Paragraph"/>
    <w:basedOn w:val="Normal"/>
    <w:uiPriority w:val="34"/>
    <w:qFormat/>
    <w:rsid w:val="000C36F2"/>
    <w:pPr>
      <w:spacing w:before="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customStyle="1" w:styleId="uv3um">
    <w:name w:val="uv3um"/>
    <w:basedOn w:val="DefaultParagraphFont"/>
    <w:rsid w:val="000C36F2"/>
  </w:style>
  <w:style w:type="character" w:styleId="FollowedHyperlink">
    <w:name w:val="FollowedHyperlink"/>
    <w:basedOn w:val="DefaultParagraphFont"/>
    <w:uiPriority w:val="99"/>
    <w:semiHidden/>
    <w:unhideWhenUsed/>
    <w:rsid w:val="000A16C3"/>
    <w:rPr>
      <w:color w:val="CB00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org.uk/national-pharmacy-services/advanced-services/hypertension-case-finding-service/" TargetMode="External"/><Relationship Id="rId13" Type="http://schemas.openxmlformats.org/officeDocument/2006/relationships/hyperlink" Target="https://cpe.org.uk/national-pharmacy-services/national-enhanced-services/rsv-and-pertussis-vaccination-servi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pe.org.uk/national-pharmacy-services/advanced-services/childhood-flu-vaccination-service/" TargetMode="External"/><Relationship Id="rId17" Type="http://schemas.openxmlformats.org/officeDocument/2006/relationships/hyperlink" Target="https://cpe.org.uk/national-pharmacy-services/advanced-services/nms/" TargetMode="External"/><Relationship Id="rId2" Type="http://schemas.openxmlformats.org/officeDocument/2006/relationships/numbering" Target="numbering.xml"/><Relationship Id="rId16" Type="http://schemas.openxmlformats.org/officeDocument/2006/relationships/hyperlink" Target="https://cpe.org.uk/national-pharmacy-services/essential-services/discharge-medicines-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e.org.uk/national-pharmacy-services/national-enhanced-services/covid-19-vaccination-service/" TargetMode="External"/><Relationship Id="rId5" Type="http://schemas.openxmlformats.org/officeDocument/2006/relationships/webSettings" Target="webSettings.xml"/><Relationship Id="rId15" Type="http://schemas.openxmlformats.org/officeDocument/2006/relationships/hyperlink" Target="https://cpe.org.uk/national-pharmacy-services/advanced-services/pharmacy-first-service/" TargetMode="External"/><Relationship Id="rId10" Type="http://schemas.openxmlformats.org/officeDocument/2006/relationships/hyperlink" Target="https://cpe.org.uk/national-pharmacy-services/advanced-services/flu-vaccination-servi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pe.org.uk/national-pharmacy-services/advanced-services/smoking-cessation-service/" TargetMode="External"/><Relationship Id="rId14" Type="http://schemas.openxmlformats.org/officeDocument/2006/relationships/hyperlink" Target="https://cpe.org.uk/national-pharmacy-services/advanced-services/pharmacy-contraception-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6931</Characters>
  <Application>Microsoft Office Word</Application>
  <DocSecurity>0</DocSecurity>
  <Lines>126</Lines>
  <Paragraphs>57</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Vicki Roberts</dc:creator>
  <cp:keywords/>
  <dc:description/>
  <cp:lastModifiedBy>Vicki Roberts</cp:lastModifiedBy>
  <cp:revision>29</cp:revision>
  <cp:lastPrinted>2022-06-09T11:49:00Z</cp:lastPrinted>
  <dcterms:created xsi:type="dcterms:W3CDTF">2025-11-05T10:35:00Z</dcterms:created>
  <dcterms:modified xsi:type="dcterms:W3CDTF">2025-11-05T10:56:00Z</dcterms:modified>
</cp:coreProperties>
</file>