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E08" w14:textId="77777777" w:rsidR="006A2C93" w:rsidRPr="006A2C93" w:rsidRDefault="006A2C93" w:rsidP="006A2C93">
      <w:pPr>
        <w:rPr>
          <w:rFonts w:ascii="Arial" w:hAnsi="Arial" w:cs="Arial"/>
          <w:b/>
          <w:bCs/>
        </w:rPr>
      </w:pPr>
      <w:r w:rsidRPr="006A2C93">
        <w:rPr>
          <w:rFonts w:ascii="Arial" w:hAnsi="Arial" w:cs="Arial"/>
          <w:b/>
          <w:bCs/>
        </w:rPr>
        <w:t>SUBJECT: Community pharmacy can become cornerstone of the Neighbourhood Health Service</w:t>
      </w:r>
    </w:p>
    <w:p w14:paraId="0B42AA6D" w14:textId="77777777" w:rsidR="006A2C93" w:rsidRPr="00D972BA" w:rsidRDefault="006A2C93" w:rsidP="006A2C93">
      <w:pPr>
        <w:rPr>
          <w:rFonts w:ascii="Arial" w:hAnsi="Arial" w:cs="Arial"/>
          <w:b/>
          <w:bCs/>
        </w:rPr>
      </w:pPr>
      <w:r w:rsidRPr="006A2C93">
        <w:rPr>
          <w:rFonts w:ascii="Arial" w:hAnsi="Arial" w:cs="Arial"/>
        </w:rPr>
        <w:t xml:space="preserve">Dear </w:t>
      </w:r>
      <w:r w:rsidRPr="00D972BA">
        <w:rPr>
          <w:rFonts w:ascii="Arial" w:hAnsi="Arial" w:cs="Arial"/>
          <w:b/>
          <w:bCs/>
        </w:rPr>
        <w:t>[ICB Leader],</w:t>
      </w:r>
    </w:p>
    <w:p w14:paraId="1790D245" w14:textId="1AA268F3" w:rsidR="006A2C93" w:rsidRPr="006A2C93" w:rsidRDefault="006A2C93" w:rsidP="006A2C93">
      <w:pPr>
        <w:rPr>
          <w:rFonts w:ascii="Arial" w:hAnsi="Arial" w:cs="Arial"/>
        </w:rPr>
      </w:pPr>
      <w:r w:rsidRPr="006A2C93">
        <w:rPr>
          <w:rFonts w:ascii="Arial" w:hAnsi="Arial" w:cs="Arial"/>
        </w:rPr>
        <w:t xml:space="preserve">I am writing to draw your attention to an important new report: </w:t>
      </w:r>
      <w:hyperlink r:id="rId4" w:history="1">
        <w:r w:rsidRPr="008A06C5">
          <w:rPr>
            <w:rStyle w:val="Hyperlink"/>
            <w:rFonts w:ascii="Arial" w:hAnsi="Arial" w:cs="Arial"/>
            <w:i/>
            <w:iCs/>
          </w:rPr>
          <w:t xml:space="preserve">A Prescription for Success – The Role of Community Pharmacy in Delivering the 10-Year Plan for </w:t>
        </w:r>
        <w:r w:rsidR="00AB0494" w:rsidRPr="008A06C5">
          <w:rPr>
            <w:rStyle w:val="Hyperlink"/>
            <w:rFonts w:ascii="Arial" w:hAnsi="Arial" w:cs="Arial"/>
            <w:i/>
            <w:iCs/>
          </w:rPr>
          <w:t>Health</w:t>
        </w:r>
      </w:hyperlink>
      <w:r w:rsidRPr="008A06C5">
        <w:rPr>
          <w:rFonts w:ascii="Arial" w:hAnsi="Arial" w:cs="Arial"/>
          <w:i/>
          <w:iCs/>
        </w:rPr>
        <w:t>.</w:t>
      </w:r>
      <w:r w:rsidRPr="006A2C93">
        <w:rPr>
          <w:rFonts w:ascii="Arial" w:hAnsi="Arial" w:cs="Arial"/>
        </w:rPr>
        <w:t xml:space="preserve"> This report sets out a clear and compelling pathway for how community pharmacies can help deliver the ambitions of the Government’s </w:t>
      </w:r>
      <w:hyperlink r:id="rId5" w:history="1">
        <w:r w:rsidRPr="00F13311">
          <w:rPr>
            <w:rStyle w:val="Hyperlink"/>
            <w:rFonts w:ascii="Arial" w:hAnsi="Arial" w:cs="Arial"/>
            <w:i/>
            <w:iCs/>
          </w:rPr>
          <w:t>10-Year Health Plan, Fit for the Future</w:t>
        </w:r>
      </w:hyperlink>
      <w:r w:rsidRPr="006A2C93">
        <w:rPr>
          <w:rFonts w:ascii="Arial" w:hAnsi="Arial" w:cs="Arial"/>
        </w:rPr>
        <w:t>, and why action from local and national system leaders is now urgently needed to enable that to happen.</w:t>
      </w:r>
    </w:p>
    <w:p w14:paraId="7905BB4B" w14:textId="77777777" w:rsidR="006A2C93" w:rsidRPr="006A2C93" w:rsidRDefault="006A2C93" w:rsidP="006A2C93">
      <w:pPr>
        <w:rPr>
          <w:rFonts w:ascii="Arial" w:hAnsi="Arial" w:cs="Arial"/>
        </w:rPr>
      </w:pPr>
      <w:r w:rsidRPr="006A2C93">
        <w:rPr>
          <w:rFonts w:ascii="Arial" w:hAnsi="Arial" w:cs="Arial"/>
        </w:rPr>
        <w:t>Community pharmacies have already demonstrated remarkable adaptability and resilience by stepping up to provide vital support for the patients during the COVID-19 pandemic and evolving through recent clinical service developments such as Pharmacy First.</w:t>
      </w:r>
    </w:p>
    <w:p w14:paraId="6BEF1E6F" w14:textId="1E34FEFE" w:rsidR="006A2C93" w:rsidRPr="006A2C93" w:rsidRDefault="006A2C93" w:rsidP="006A2C93">
      <w:pPr>
        <w:rPr>
          <w:rFonts w:ascii="Arial" w:hAnsi="Arial" w:cs="Arial"/>
        </w:rPr>
      </w:pPr>
      <w:r w:rsidRPr="006A2C93">
        <w:rPr>
          <w:rFonts w:ascii="Arial" w:hAnsi="Arial" w:cs="Arial"/>
        </w:rPr>
        <w:t xml:space="preserve">Yet significant financial pressures are putting this potential at risk. Without sustainable investment and strategic inclusion of pharmacy in system planning, the ambitions of the </w:t>
      </w:r>
      <w:r w:rsidRPr="00F13311">
        <w:rPr>
          <w:rFonts w:ascii="Arial" w:hAnsi="Arial" w:cs="Arial"/>
        </w:rPr>
        <w:t xml:space="preserve">10-Year </w:t>
      </w:r>
      <w:r w:rsidR="00DD59D0" w:rsidRPr="00F13311">
        <w:rPr>
          <w:rFonts w:ascii="Arial" w:hAnsi="Arial" w:cs="Arial"/>
        </w:rPr>
        <w:t xml:space="preserve">Health </w:t>
      </w:r>
      <w:r w:rsidRPr="00F13311">
        <w:rPr>
          <w:rFonts w:ascii="Arial" w:hAnsi="Arial" w:cs="Arial"/>
        </w:rPr>
        <w:t>Plan</w:t>
      </w:r>
      <w:r w:rsidRPr="0055183E">
        <w:rPr>
          <w:rFonts w:ascii="Arial" w:hAnsi="Arial" w:cs="Arial"/>
          <w:i/>
          <w:iCs/>
        </w:rPr>
        <w:t xml:space="preserve"> </w:t>
      </w:r>
      <w:r w:rsidRPr="006A2C93">
        <w:rPr>
          <w:rFonts w:ascii="Arial" w:hAnsi="Arial" w:cs="Arial"/>
        </w:rPr>
        <w:t>cannot be achieved.</w:t>
      </w:r>
    </w:p>
    <w:p w14:paraId="4F6F81A2" w14:textId="15CD005E" w:rsidR="006A2C93" w:rsidRPr="006A2C93" w:rsidRDefault="006A2C93" w:rsidP="006A2C93">
      <w:pPr>
        <w:rPr>
          <w:rFonts w:ascii="Arial" w:hAnsi="Arial" w:cs="Arial"/>
        </w:rPr>
      </w:pPr>
      <w:r w:rsidRPr="006A2C93">
        <w:rPr>
          <w:rFonts w:ascii="Arial" w:hAnsi="Arial" w:cs="Arial"/>
        </w:rPr>
        <w:t xml:space="preserve">The Government’s ambitions align strongly with a </w:t>
      </w:r>
      <w:hyperlink r:id="rId6" w:history="1">
        <w:r w:rsidRPr="008A06C5">
          <w:rPr>
            <w:rStyle w:val="Hyperlink"/>
            <w:rFonts w:ascii="Arial" w:hAnsi="Arial" w:cs="Arial"/>
            <w:i/>
            <w:iCs/>
          </w:rPr>
          <w:t>Vision for Community Pharmacy</w:t>
        </w:r>
      </w:hyperlink>
      <w:r w:rsidRPr="006A2C93">
        <w:rPr>
          <w:rFonts w:ascii="Arial" w:hAnsi="Arial" w:cs="Arial"/>
        </w:rPr>
        <w:t xml:space="preserve"> developed by the Nuffield Trust and The King’s Fund two years ago. </w:t>
      </w:r>
      <w:r w:rsidRPr="008A06C5">
        <w:rPr>
          <w:rFonts w:ascii="Arial" w:hAnsi="Arial" w:cs="Arial"/>
          <w:i/>
          <w:iCs/>
        </w:rPr>
        <w:t>A Prescription for Success</w:t>
      </w:r>
      <w:r w:rsidRPr="006A2C93">
        <w:rPr>
          <w:rFonts w:ascii="Arial" w:hAnsi="Arial" w:cs="Arial"/>
        </w:rPr>
        <w:t>, commissioned by Community Pharmacy England and developed by Helen Buckingham, one of the co-authors of the Vision for Community Pharmacy and Chair of National Voices, highlights how these two agendas reinforce one another, and it sets out five key questions that must be addressed if community pharmacies are to become a true cornerstone of the Neighbourhood Health Service:</w:t>
      </w:r>
    </w:p>
    <w:p w14:paraId="03CD00B1" w14:textId="77777777" w:rsidR="006A2C93" w:rsidRPr="008A06C5" w:rsidRDefault="006A2C93" w:rsidP="006A2C93">
      <w:pPr>
        <w:rPr>
          <w:rFonts w:ascii="Arial" w:hAnsi="Arial" w:cs="Arial"/>
          <w:b/>
          <w:bCs/>
        </w:rPr>
      </w:pPr>
      <w:r w:rsidRPr="008A06C5">
        <w:rPr>
          <w:rFonts w:ascii="Arial" w:hAnsi="Arial" w:cs="Arial"/>
          <w:b/>
          <w:bCs/>
        </w:rPr>
        <w:t>1.</w:t>
      </w:r>
      <w:r w:rsidRPr="008A06C5">
        <w:rPr>
          <w:rFonts w:ascii="Arial" w:hAnsi="Arial" w:cs="Arial"/>
          <w:b/>
          <w:bCs/>
        </w:rPr>
        <w:tab/>
        <w:t>How will community pharmacists be engaged in service transformation?</w:t>
      </w:r>
    </w:p>
    <w:p w14:paraId="6AA03BCC" w14:textId="77777777" w:rsidR="006A2C93" w:rsidRPr="008A06C5" w:rsidRDefault="006A2C93" w:rsidP="006A2C93">
      <w:pPr>
        <w:rPr>
          <w:rFonts w:ascii="Arial" w:hAnsi="Arial" w:cs="Arial"/>
          <w:b/>
          <w:bCs/>
        </w:rPr>
      </w:pPr>
      <w:r w:rsidRPr="008A06C5">
        <w:rPr>
          <w:rFonts w:ascii="Arial" w:hAnsi="Arial" w:cs="Arial"/>
          <w:b/>
          <w:bCs/>
        </w:rPr>
        <w:t>2.</w:t>
      </w:r>
      <w:r w:rsidRPr="008A06C5">
        <w:rPr>
          <w:rFonts w:ascii="Arial" w:hAnsi="Arial" w:cs="Arial"/>
          <w:b/>
          <w:bCs/>
        </w:rPr>
        <w:tab/>
        <w:t>How will investment be made in pharmacy IT and estates ?</w:t>
      </w:r>
    </w:p>
    <w:p w14:paraId="2022F57A" w14:textId="77777777" w:rsidR="006A2C93" w:rsidRPr="008A06C5" w:rsidRDefault="006A2C93" w:rsidP="006A2C93">
      <w:pPr>
        <w:rPr>
          <w:rFonts w:ascii="Arial" w:hAnsi="Arial" w:cs="Arial"/>
          <w:b/>
          <w:bCs/>
        </w:rPr>
      </w:pPr>
      <w:r w:rsidRPr="008A06C5">
        <w:rPr>
          <w:rFonts w:ascii="Arial" w:hAnsi="Arial" w:cs="Arial"/>
          <w:b/>
          <w:bCs/>
        </w:rPr>
        <w:t>3.</w:t>
      </w:r>
      <w:r w:rsidRPr="008A06C5">
        <w:rPr>
          <w:rFonts w:ascii="Arial" w:hAnsi="Arial" w:cs="Arial"/>
          <w:b/>
          <w:bCs/>
        </w:rPr>
        <w:tab/>
        <w:t>How will commissioning capacity be strengthened?</w:t>
      </w:r>
    </w:p>
    <w:p w14:paraId="7830002A" w14:textId="77777777" w:rsidR="006A2C93" w:rsidRPr="008A06C5" w:rsidRDefault="006A2C93" w:rsidP="006A2C93">
      <w:pPr>
        <w:rPr>
          <w:rFonts w:ascii="Arial" w:hAnsi="Arial" w:cs="Arial"/>
          <w:b/>
          <w:bCs/>
        </w:rPr>
      </w:pPr>
      <w:r w:rsidRPr="008A06C5">
        <w:rPr>
          <w:rFonts w:ascii="Arial" w:hAnsi="Arial" w:cs="Arial"/>
          <w:b/>
          <w:bCs/>
        </w:rPr>
        <w:t>4.</w:t>
      </w:r>
      <w:r w:rsidRPr="008A06C5">
        <w:rPr>
          <w:rFonts w:ascii="Arial" w:hAnsi="Arial" w:cs="Arial"/>
          <w:b/>
          <w:bCs/>
        </w:rPr>
        <w:tab/>
        <w:t>How will pharmacy be integrated into system-wide workforce planning?</w:t>
      </w:r>
    </w:p>
    <w:p w14:paraId="648349F6" w14:textId="77777777" w:rsidR="006A2C93" w:rsidRPr="008A06C5" w:rsidRDefault="006A2C93" w:rsidP="008A06C5">
      <w:pPr>
        <w:ind w:left="720" w:hanging="720"/>
        <w:rPr>
          <w:rFonts w:ascii="Arial" w:hAnsi="Arial" w:cs="Arial"/>
          <w:b/>
          <w:bCs/>
        </w:rPr>
      </w:pPr>
      <w:r w:rsidRPr="008A06C5">
        <w:rPr>
          <w:rFonts w:ascii="Arial" w:hAnsi="Arial" w:cs="Arial"/>
          <w:b/>
          <w:bCs/>
        </w:rPr>
        <w:t>5.</w:t>
      </w:r>
      <w:r w:rsidRPr="008A06C5">
        <w:rPr>
          <w:rFonts w:ascii="Arial" w:hAnsi="Arial" w:cs="Arial"/>
          <w:b/>
          <w:bCs/>
        </w:rPr>
        <w:tab/>
        <w:t>How can the pharmacy contract be reformed to ensure long-term sustainability?</w:t>
      </w:r>
    </w:p>
    <w:p w14:paraId="1BB94234" w14:textId="5447EC6B" w:rsidR="006A2C93" w:rsidRPr="006A2C93" w:rsidRDefault="006A2C93" w:rsidP="006A2C93">
      <w:pPr>
        <w:rPr>
          <w:rFonts w:ascii="Arial" w:hAnsi="Arial" w:cs="Arial"/>
        </w:rPr>
      </w:pPr>
      <w:r w:rsidRPr="006A2C93">
        <w:rPr>
          <w:rFonts w:ascii="Arial" w:hAnsi="Arial" w:cs="Arial"/>
        </w:rPr>
        <w:t>These questions are not theoretical: they require local and national action. The report outlines how pharmacy</w:t>
      </w:r>
      <w:r w:rsidR="00D41E0B">
        <w:rPr>
          <w:rFonts w:ascii="Arial" w:hAnsi="Arial" w:cs="Arial"/>
        </w:rPr>
        <w:t>,</w:t>
      </w:r>
      <w:r w:rsidRPr="006A2C93">
        <w:rPr>
          <w:rFonts w:ascii="Arial" w:hAnsi="Arial" w:cs="Arial"/>
        </w:rPr>
        <w:t xml:space="preserve"> with NHS leaders, including Integrated Care Boards (ICBs), will need to work closely to resolve  these issues, unlock new capacity, and ensure that pharmacies can deliver high-quality, accessible, preventative care at neighbourhood level.</w:t>
      </w:r>
    </w:p>
    <w:p w14:paraId="2D2D8495" w14:textId="77777777" w:rsidR="006A2C93" w:rsidRDefault="006A2C93" w:rsidP="006A2C93">
      <w:pPr>
        <w:rPr>
          <w:rFonts w:ascii="Arial" w:hAnsi="Arial" w:cs="Arial"/>
        </w:rPr>
      </w:pPr>
    </w:p>
    <w:p w14:paraId="2C10A71D" w14:textId="77777777" w:rsidR="008A06C5" w:rsidRPr="006A2C93" w:rsidRDefault="008A06C5" w:rsidP="006A2C93">
      <w:pPr>
        <w:rPr>
          <w:rFonts w:ascii="Arial" w:hAnsi="Arial" w:cs="Arial"/>
        </w:rPr>
      </w:pPr>
    </w:p>
    <w:p w14:paraId="46440ABD" w14:textId="77777777" w:rsidR="006A2C93" w:rsidRPr="008A06C5" w:rsidRDefault="006A2C93" w:rsidP="006A2C93">
      <w:pPr>
        <w:rPr>
          <w:rFonts w:ascii="Arial" w:hAnsi="Arial" w:cs="Arial"/>
          <w:b/>
          <w:bCs/>
        </w:rPr>
      </w:pPr>
      <w:r w:rsidRPr="008A06C5">
        <w:rPr>
          <w:rFonts w:ascii="Arial" w:hAnsi="Arial" w:cs="Arial"/>
          <w:b/>
          <w:bCs/>
        </w:rPr>
        <w:lastRenderedPageBreak/>
        <w:t xml:space="preserve">The local system opportunity </w:t>
      </w:r>
    </w:p>
    <w:p w14:paraId="3B5CE0DB" w14:textId="77777777" w:rsidR="006A2C93" w:rsidRPr="006A2C93" w:rsidRDefault="006A2C93" w:rsidP="006A2C93">
      <w:pPr>
        <w:rPr>
          <w:rFonts w:ascii="Arial" w:hAnsi="Arial" w:cs="Arial"/>
        </w:rPr>
      </w:pPr>
      <w:r w:rsidRPr="006A2C93">
        <w:rPr>
          <w:rFonts w:ascii="Arial" w:hAnsi="Arial" w:cs="Arial"/>
        </w:rPr>
        <w:t>For systems under pressure, the opportunity is clear. A modernised community pharmacy sector can:</w:t>
      </w:r>
    </w:p>
    <w:p w14:paraId="752B167C" w14:textId="77777777" w:rsidR="006A2C93" w:rsidRPr="006A2C93" w:rsidRDefault="006A2C93" w:rsidP="006A2C93">
      <w:pPr>
        <w:rPr>
          <w:rFonts w:ascii="Arial" w:hAnsi="Arial" w:cs="Arial"/>
        </w:rPr>
      </w:pPr>
      <w:r w:rsidRPr="006A2C93">
        <w:rPr>
          <w:rFonts w:ascii="Arial" w:hAnsi="Arial" w:cs="Arial"/>
        </w:rPr>
        <w:t>•</w:t>
      </w:r>
      <w:r w:rsidRPr="006A2C93">
        <w:rPr>
          <w:rFonts w:ascii="Arial" w:hAnsi="Arial" w:cs="Arial"/>
        </w:rPr>
        <w:tab/>
        <w:t>Provide accessible preventative services and support population health;</w:t>
      </w:r>
    </w:p>
    <w:p w14:paraId="110A8697" w14:textId="77777777" w:rsidR="006A2C93" w:rsidRPr="006A2C93" w:rsidRDefault="006A2C93" w:rsidP="008A06C5">
      <w:pPr>
        <w:ind w:left="720" w:hanging="720"/>
        <w:rPr>
          <w:rFonts w:ascii="Arial" w:hAnsi="Arial" w:cs="Arial"/>
        </w:rPr>
      </w:pPr>
      <w:r w:rsidRPr="006A2C93">
        <w:rPr>
          <w:rFonts w:ascii="Arial" w:hAnsi="Arial" w:cs="Arial"/>
        </w:rPr>
        <w:t>•</w:t>
      </w:r>
      <w:r w:rsidRPr="006A2C93">
        <w:rPr>
          <w:rFonts w:ascii="Arial" w:hAnsi="Arial" w:cs="Arial"/>
        </w:rPr>
        <w:tab/>
        <w:t>Offer rapid access for common conditions, reducing demand on general practice;</w:t>
      </w:r>
    </w:p>
    <w:p w14:paraId="5BDA05ED" w14:textId="77777777" w:rsidR="006A2C93" w:rsidRPr="006A2C93" w:rsidRDefault="006A2C93" w:rsidP="008A06C5">
      <w:pPr>
        <w:ind w:left="720" w:hanging="720"/>
        <w:rPr>
          <w:rFonts w:ascii="Arial" w:hAnsi="Arial" w:cs="Arial"/>
        </w:rPr>
      </w:pPr>
      <w:r w:rsidRPr="006A2C93">
        <w:rPr>
          <w:rFonts w:ascii="Arial" w:hAnsi="Arial" w:cs="Arial"/>
        </w:rPr>
        <w:t>•</w:t>
      </w:r>
      <w:r w:rsidRPr="006A2C93">
        <w:rPr>
          <w:rFonts w:ascii="Arial" w:hAnsi="Arial" w:cs="Arial"/>
        </w:rPr>
        <w:tab/>
        <w:t>Support the management of long-term conditions, complementing GP-led care;</w:t>
      </w:r>
    </w:p>
    <w:p w14:paraId="56224258" w14:textId="77777777" w:rsidR="006A2C93" w:rsidRPr="006A2C93" w:rsidRDefault="006A2C93" w:rsidP="006A2C93">
      <w:pPr>
        <w:rPr>
          <w:rFonts w:ascii="Arial" w:hAnsi="Arial" w:cs="Arial"/>
        </w:rPr>
      </w:pPr>
      <w:r w:rsidRPr="006A2C93">
        <w:rPr>
          <w:rFonts w:ascii="Arial" w:hAnsi="Arial" w:cs="Arial"/>
        </w:rPr>
        <w:t>•</w:t>
      </w:r>
      <w:r w:rsidRPr="006A2C93">
        <w:rPr>
          <w:rFonts w:ascii="Arial" w:hAnsi="Arial" w:cs="Arial"/>
        </w:rPr>
        <w:tab/>
        <w:t>Deliver integrated clinical services through independent prescribing; and</w:t>
      </w:r>
    </w:p>
    <w:p w14:paraId="7B57FD5C" w14:textId="77777777" w:rsidR="006A2C93" w:rsidRPr="006A2C93" w:rsidRDefault="006A2C93" w:rsidP="008A06C5">
      <w:pPr>
        <w:ind w:left="720" w:hanging="720"/>
        <w:rPr>
          <w:rFonts w:ascii="Arial" w:hAnsi="Arial" w:cs="Arial"/>
        </w:rPr>
      </w:pPr>
      <w:r w:rsidRPr="006A2C93">
        <w:rPr>
          <w:rFonts w:ascii="Arial" w:hAnsi="Arial" w:cs="Arial"/>
        </w:rPr>
        <w:t>•</w:t>
      </w:r>
      <w:r w:rsidRPr="006A2C93">
        <w:rPr>
          <w:rFonts w:ascii="Arial" w:hAnsi="Arial" w:cs="Arial"/>
        </w:rPr>
        <w:tab/>
        <w:t>Improve patient outcomes and experience while offering strong value for commissioners.</w:t>
      </w:r>
    </w:p>
    <w:p w14:paraId="799FB8FD" w14:textId="77777777" w:rsidR="006A2C93" w:rsidRPr="006A2C93" w:rsidRDefault="006A2C93" w:rsidP="006A2C93">
      <w:pPr>
        <w:rPr>
          <w:rFonts w:ascii="Arial" w:hAnsi="Arial" w:cs="Arial"/>
        </w:rPr>
      </w:pPr>
      <w:r w:rsidRPr="006A2C93">
        <w:rPr>
          <w:rFonts w:ascii="Arial" w:hAnsi="Arial" w:cs="Arial"/>
        </w:rPr>
        <w:t>To realise these benefits, pharmacy must be strategically embedded in system planning, investment strategies, and workforce programmes rather than viewed as an adjunct to primary care.</w:t>
      </w:r>
    </w:p>
    <w:p w14:paraId="7F88CACD" w14:textId="77777777" w:rsidR="006A2C93" w:rsidRPr="008A06C5" w:rsidRDefault="006A2C93" w:rsidP="006A2C93">
      <w:pPr>
        <w:rPr>
          <w:rFonts w:ascii="Arial" w:hAnsi="Arial" w:cs="Arial"/>
          <w:b/>
          <w:bCs/>
        </w:rPr>
      </w:pPr>
      <w:r w:rsidRPr="008A06C5">
        <w:rPr>
          <w:rFonts w:ascii="Arial" w:hAnsi="Arial" w:cs="Arial"/>
          <w:b/>
          <w:bCs/>
        </w:rPr>
        <w:t>A call for collaboration</w:t>
      </w:r>
    </w:p>
    <w:p w14:paraId="3DD91548" w14:textId="77777777" w:rsidR="006A2C93" w:rsidRPr="006A2C93" w:rsidRDefault="006A2C93" w:rsidP="006A2C93">
      <w:pPr>
        <w:rPr>
          <w:rFonts w:ascii="Arial" w:hAnsi="Arial" w:cs="Arial"/>
        </w:rPr>
      </w:pPr>
      <w:r w:rsidRPr="006A2C93">
        <w:rPr>
          <w:rFonts w:ascii="Arial" w:hAnsi="Arial" w:cs="Arial"/>
        </w:rPr>
        <w:t xml:space="preserve">At </w:t>
      </w:r>
      <w:r w:rsidRPr="008A06C5">
        <w:rPr>
          <w:rFonts w:ascii="Arial" w:hAnsi="Arial" w:cs="Arial"/>
          <w:b/>
          <w:bCs/>
        </w:rPr>
        <w:t>[Name of LPC],</w:t>
      </w:r>
      <w:r w:rsidRPr="006A2C93">
        <w:rPr>
          <w:rFonts w:ascii="Arial" w:hAnsi="Arial" w:cs="Arial"/>
        </w:rPr>
        <w:t xml:space="preserve"> representing </w:t>
      </w:r>
      <w:r w:rsidRPr="008A06C5">
        <w:rPr>
          <w:rFonts w:ascii="Arial" w:hAnsi="Arial" w:cs="Arial"/>
          <w:b/>
          <w:bCs/>
        </w:rPr>
        <w:t>[insert number]</w:t>
      </w:r>
      <w:r w:rsidRPr="006A2C93">
        <w:rPr>
          <w:rFonts w:ascii="Arial" w:hAnsi="Arial" w:cs="Arial"/>
        </w:rPr>
        <w:t xml:space="preserve"> community pharmacies across </w:t>
      </w:r>
      <w:r w:rsidRPr="008A06C5">
        <w:rPr>
          <w:rFonts w:ascii="Arial" w:hAnsi="Arial" w:cs="Arial"/>
          <w:b/>
          <w:bCs/>
        </w:rPr>
        <w:t>[LPC Area],</w:t>
      </w:r>
      <w:r w:rsidRPr="006A2C93">
        <w:rPr>
          <w:rFonts w:ascii="Arial" w:hAnsi="Arial" w:cs="Arial"/>
        </w:rPr>
        <w:t xml:space="preserve"> we believe this report creates an important opportunity for renewed discussions with </w:t>
      </w:r>
      <w:r w:rsidRPr="008A06C5">
        <w:rPr>
          <w:rFonts w:ascii="Arial" w:hAnsi="Arial" w:cs="Arial"/>
          <w:b/>
          <w:bCs/>
        </w:rPr>
        <w:t xml:space="preserve">[Name of ICB] </w:t>
      </w:r>
      <w:r w:rsidRPr="006A2C93">
        <w:rPr>
          <w:rFonts w:ascii="Arial" w:hAnsi="Arial" w:cs="Arial"/>
        </w:rPr>
        <w:t>about how pharmacy can support your local ambitions for improving patient access, delivering prevention at scale, and alleviating operational pressures across the system.</w:t>
      </w:r>
    </w:p>
    <w:p w14:paraId="4C1239E8" w14:textId="77777777" w:rsidR="006A2C93" w:rsidRPr="006A2C93" w:rsidRDefault="006A2C93" w:rsidP="006A2C93">
      <w:pPr>
        <w:rPr>
          <w:rFonts w:ascii="Arial" w:hAnsi="Arial" w:cs="Arial"/>
        </w:rPr>
      </w:pPr>
      <w:r w:rsidRPr="006A2C93">
        <w:rPr>
          <w:rFonts w:ascii="Arial" w:hAnsi="Arial" w:cs="Arial"/>
        </w:rPr>
        <w:t>We would very much welcome a meeting with you and relevant colleagues to discuss:</w:t>
      </w:r>
    </w:p>
    <w:p w14:paraId="72444F72" w14:textId="77777777" w:rsidR="006A2C93" w:rsidRPr="006A2C93" w:rsidRDefault="006A2C93" w:rsidP="006A2C93">
      <w:pPr>
        <w:rPr>
          <w:rFonts w:ascii="Arial" w:hAnsi="Arial" w:cs="Arial"/>
        </w:rPr>
      </w:pPr>
      <w:r w:rsidRPr="006A2C93">
        <w:rPr>
          <w:rFonts w:ascii="Arial" w:hAnsi="Arial" w:cs="Arial"/>
        </w:rPr>
        <w:t>•</w:t>
      </w:r>
      <w:r w:rsidRPr="006A2C93">
        <w:rPr>
          <w:rFonts w:ascii="Arial" w:hAnsi="Arial" w:cs="Arial"/>
        </w:rPr>
        <w:tab/>
        <w:t xml:space="preserve">How the findings of A Prescription for Success can be applied within </w:t>
      </w:r>
      <w:r w:rsidRPr="008A06C5">
        <w:rPr>
          <w:rFonts w:ascii="Arial" w:hAnsi="Arial" w:cs="Arial"/>
          <w:b/>
          <w:bCs/>
        </w:rPr>
        <w:t>[ICB];</w:t>
      </w:r>
    </w:p>
    <w:p w14:paraId="41A8C445" w14:textId="77777777" w:rsidR="006A2C93" w:rsidRPr="006A2C93" w:rsidRDefault="006A2C93" w:rsidP="008A06C5">
      <w:pPr>
        <w:ind w:left="720" w:hanging="720"/>
        <w:rPr>
          <w:rFonts w:ascii="Arial" w:hAnsi="Arial" w:cs="Arial"/>
        </w:rPr>
      </w:pPr>
      <w:r w:rsidRPr="006A2C93">
        <w:rPr>
          <w:rFonts w:ascii="Arial" w:hAnsi="Arial" w:cs="Arial"/>
        </w:rPr>
        <w:t>•</w:t>
      </w:r>
      <w:r w:rsidRPr="006A2C93">
        <w:rPr>
          <w:rFonts w:ascii="Arial" w:hAnsi="Arial" w:cs="Arial"/>
        </w:rPr>
        <w:tab/>
        <w:t>How community pharmacy can be better integrated into local transformation programmes;</w:t>
      </w:r>
    </w:p>
    <w:p w14:paraId="027E6EA6" w14:textId="77777777" w:rsidR="006A2C93" w:rsidRPr="006A2C93" w:rsidRDefault="006A2C93" w:rsidP="008A06C5">
      <w:pPr>
        <w:ind w:left="720" w:hanging="720"/>
        <w:rPr>
          <w:rFonts w:ascii="Arial" w:hAnsi="Arial" w:cs="Arial"/>
        </w:rPr>
      </w:pPr>
      <w:r w:rsidRPr="006A2C93">
        <w:rPr>
          <w:rFonts w:ascii="Arial" w:hAnsi="Arial" w:cs="Arial"/>
        </w:rPr>
        <w:t>•</w:t>
      </w:r>
      <w:r w:rsidRPr="006A2C93">
        <w:rPr>
          <w:rFonts w:ascii="Arial" w:hAnsi="Arial" w:cs="Arial"/>
        </w:rPr>
        <w:tab/>
        <w:t xml:space="preserve">How we can work jointly on digital readiness, estates, workforce planning, and sustainable commissioning models; and </w:t>
      </w:r>
    </w:p>
    <w:p w14:paraId="47679924" w14:textId="77777777" w:rsidR="006A2C93" w:rsidRPr="006A2C93" w:rsidRDefault="006A2C93" w:rsidP="008A06C5">
      <w:pPr>
        <w:ind w:left="720" w:hanging="720"/>
        <w:rPr>
          <w:rFonts w:ascii="Arial" w:hAnsi="Arial" w:cs="Arial"/>
        </w:rPr>
      </w:pPr>
      <w:r w:rsidRPr="006A2C93">
        <w:rPr>
          <w:rFonts w:ascii="Arial" w:hAnsi="Arial" w:cs="Arial"/>
        </w:rPr>
        <w:t>•</w:t>
      </w:r>
      <w:r w:rsidRPr="006A2C93">
        <w:rPr>
          <w:rFonts w:ascii="Arial" w:hAnsi="Arial" w:cs="Arial"/>
        </w:rPr>
        <w:tab/>
        <w:t>What is required locally to support the development of independent prescribing-enabled pharmacy services.</w:t>
      </w:r>
    </w:p>
    <w:p w14:paraId="6C6AD4D1" w14:textId="77777777" w:rsidR="006A2C93" w:rsidRPr="006A2C93" w:rsidRDefault="006A2C93" w:rsidP="006A2C93">
      <w:pPr>
        <w:rPr>
          <w:rFonts w:ascii="Arial" w:hAnsi="Arial" w:cs="Arial"/>
        </w:rPr>
      </w:pPr>
      <w:r w:rsidRPr="006A2C93">
        <w:rPr>
          <w:rFonts w:ascii="Arial" w:hAnsi="Arial" w:cs="Arial"/>
        </w:rPr>
        <w:t>Kind regards,</w:t>
      </w:r>
    </w:p>
    <w:p w14:paraId="5973457E" w14:textId="77777777" w:rsidR="006A2C93" w:rsidRPr="008A06C5" w:rsidRDefault="006A2C93" w:rsidP="006A2C93">
      <w:pPr>
        <w:rPr>
          <w:rFonts w:ascii="Arial" w:hAnsi="Arial" w:cs="Arial"/>
          <w:b/>
          <w:bCs/>
        </w:rPr>
      </w:pPr>
      <w:r w:rsidRPr="008A06C5">
        <w:rPr>
          <w:rFonts w:ascii="Arial" w:hAnsi="Arial" w:cs="Arial"/>
          <w:b/>
          <w:bCs/>
        </w:rPr>
        <w:t>[Name of LPC Chief Officer]</w:t>
      </w:r>
    </w:p>
    <w:p w14:paraId="363DDE72" w14:textId="77777777" w:rsidR="006A2C93" w:rsidRPr="006A2C93" w:rsidRDefault="006A2C93" w:rsidP="006A2C93">
      <w:pPr>
        <w:rPr>
          <w:rFonts w:ascii="Arial" w:hAnsi="Arial" w:cs="Arial"/>
        </w:rPr>
      </w:pPr>
      <w:r w:rsidRPr="006A2C93">
        <w:rPr>
          <w:rFonts w:ascii="Arial" w:hAnsi="Arial" w:cs="Arial"/>
        </w:rPr>
        <w:t xml:space="preserve">Chief Officer, </w:t>
      </w:r>
      <w:r w:rsidRPr="008A06C5">
        <w:rPr>
          <w:rFonts w:ascii="Arial" w:hAnsi="Arial" w:cs="Arial"/>
          <w:b/>
          <w:bCs/>
        </w:rPr>
        <w:t>[Name of LPC]</w:t>
      </w:r>
    </w:p>
    <w:p w14:paraId="40FE10A1" w14:textId="77777777" w:rsidR="00603220" w:rsidRPr="006A2C93" w:rsidRDefault="00603220">
      <w:pPr>
        <w:rPr>
          <w:rFonts w:ascii="Arial" w:hAnsi="Arial" w:cs="Arial"/>
        </w:rPr>
      </w:pPr>
    </w:p>
    <w:sectPr w:rsidR="00603220" w:rsidRPr="006A2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93"/>
    <w:rsid w:val="00075BDE"/>
    <w:rsid w:val="00165C7D"/>
    <w:rsid w:val="00261371"/>
    <w:rsid w:val="0055183E"/>
    <w:rsid w:val="00603220"/>
    <w:rsid w:val="006A2C93"/>
    <w:rsid w:val="008A06C5"/>
    <w:rsid w:val="008F54B9"/>
    <w:rsid w:val="009928B7"/>
    <w:rsid w:val="00AB0494"/>
    <w:rsid w:val="00D41E0B"/>
    <w:rsid w:val="00D972BA"/>
    <w:rsid w:val="00DD59D0"/>
    <w:rsid w:val="00F1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0F89"/>
  <w15:chartTrackingRefBased/>
  <w15:docId w15:val="{AEE66FC2-D38D-4540-9B63-89C3E5ED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C93"/>
    <w:rPr>
      <w:rFonts w:eastAsiaTheme="majorEastAsia" w:cstheme="majorBidi"/>
      <w:color w:val="272727" w:themeColor="text1" w:themeTint="D8"/>
    </w:rPr>
  </w:style>
  <w:style w:type="paragraph" w:styleId="Title">
    <w:name w:val="Title"/>
    <w:basedOn w:val="Normal"/>
    <w:next w:val="Normal"/>
    <w:link w:val="TitleChar"/>
    <w:uiPriority w:val="10"/>
    <w:qFormat/>
    <w:rsid w:val="006A2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C93"/>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A2C93"/>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A2C93"/>
    <w:pPr>
      <w:spacing w:before="160"/>
      <w:jc w:val="center"/>
    </w:pPr>
    <w:rPr>
      <w:i/>
      <w:iCs/>
      <w:color w:val="000000" w:themeColor="text1"/>
    </w:rPr>
  </w:style>
  <w:style w:type="character" w:customStyle="1" w:styleId="QuoteChar">
    <w:name w:val="Quote Char"/>
    <w:basedOn w:val="DefaultParagraphFont"/>
    <w:link w:val="Quote"/>
    <w:uiPriority w:val="29"/>
    <w:rsid w:val="006A2C93"/>
    <w:rPr>
      <w:i/>
      <w:iCs/>
      <w:color w:val="000000" w:themeColor="text1"/>
    </w:rPr>
  </w:style>
  <w:style w:type="paragraph" w:styleId="ListParagraph">
    <w:name w:val="List Paragraph"/>
    <w:basedOn w:val="Normal"/>
    <w:uiPriority w:val="34"/>
    <w:qFormat/>
    <w:rsid w:val="006A2C93"/>
    <w:pPr>
      <w:ind w:left="720"/>
      <w:contextualSpacing/>
    </w:pPr>
  </w:style>
  <w:style w:type="character" w:styleId="IntenseEmphasis">
    <w:name w:val="Intense Emphasis"/>
    <w:basedOn w:val="DefaultParagraphFont"/>
    <w:uiPriority w:val="21"/>
    <w:qFormat/>
    <w:rsid w:val="006A2C93"/>
    <w:rPr>
      <w:i/>
      <w:iCs/>
      <w:color w:val="0F4761" w:themeColor="accent1" w:themeShade="BF"/>
    </w:rPr>
  </w:style>
  <w:style w:type="paragraph" w:styleId="IntenseQuote">
    <w:name w:val="Intense Quote"/>
    <w:basedOn w:val="Normal"/>
    <w:next w:val="Normal"/>
    <w:link w:val="IntenseQuoteChar"/>
    <w:uiPriority w:val="30"/>
    <w:qFormat/>
    <w:rsid w:val="006A2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C93"/>
    <w:rPr>
      <w:i/>
      <w:iCs/>
      <w:color w:val="0F4761" w:themeColor="accent1" w:themeShade="BF"/>
    </w:rPr>
  </w:style>
  <w:style w:type="character" w:styleId="IntenseReference">
    <w:name w:val="Intense Reference"/>
    <w:basedOn w:val="DefaultParagraphFont"/>
    <w:uiPriority w:val="32"/>
    <w:qFormat/>
    <w:rsid w:val="006A2C93"/>
    <w:rPr>
      <w:b/>
      <w:bCs/>
      <w:smallCaps/>
      <w:color w:val="0F4761" w:themeColor="accent1" w:themeShade="BF"/>
      <w:spacing w:val="5"/>
    </w:rPr>
  </w:style>
  <w:style w:type="character" w:styleId="Hyperlink">
    <w:name w:val="Hyperlink"/>
    <w:basedOn w:val="DefaultParagraphFont"/>
    <w:uiPriority w:val="99"/>
    <w:unhideWhenUsed/>
    <w:rsid w:val="00261371"/>
    <w:rPr>
      <w:color w:val="467886" w:themeColor="hyperlink"/>
      <w:u w:val="single"/>
    </w:rPr>
  </w:style>
  <w:style w:type="character" w:styleId="UnresolvedMention">
    <w:name w:val="Unresolved Mention"/>
    <w:basedOn w:val="DefaultParagraphFont"/>
    <w:uiPriority w:val="99"/>
    <w:semiHidden/>
    <w:unhideWhenUsed/>
    <w:rsid w:val="0026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ffieldtrust.org.uk/sites/default/files/2023-09/Nuffield%20Trust%20and%20The%20King%27s%20Fund%20-%20A%20vision%20for%20community%20pharmacy_WEB_FINAL.pdf" TargetMode="External"/><Relationship Id="rId5" Type="http://schemas.openxmlformats.org/officeDocument/2006/relationships/hyperlink" Target="https://assets.publishing.service.gov.uk/media/6888a0b1a11f859994409147/fit-for-the-future-10-year-health-plan-for-england.pdf" TargetMode="External"/><Relationship Id="rId4" Type="http://schemas.openxmlformats.org/officeDocument/2006/relationships/hyperlink" Target="https://cpe.org.uk/wp-content/uploads/2025/11/A-Prescription-for-Succes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3700</Characters>
  <Application>Microsoft Office Word</Application>
  <DocSecurity>0</DocSecurity>
  <Lines>72</Lines>
  <Paragraphs>35</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Roberts</dc:creator>
  <cp:keywords/>
  <dc:description/>
  <cp:lastModifiedBy>Vicki Roberts</cp:lastModifiedBy>
  <cp:revision>11</cp:revision>
  <dcterms:created xsi:type="dcterms:W3CDTF">2025-11-27T15:55:00Z</dcterms:created>
  <dcterms:modified xsi:type="dcterms:W3CDTF">2025-11-27T16:13:00Z</dcterms:modified>
</cp:coreProperties>
</file>