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E122" w14:textId="56DCFA00" w:rsidR="003D723A" w:rsidRPr="003D723A" w:rsidRDefault="003D723A" w:rsidP="003D723A">
      <w:pPr>
        <w:jc w:val="right"/>
        <w:rPr>
          <w:b/>
          <w:bCs/>
          <w:color w:val="7030A0"/>
          <w:sz w:val="40"/>
          <w:szCs w:val="40"/>
        </w:rPr>
      </w:pPr>
      <w:r w:rsidRPr="003D723A">
        <w:rPr>
          <w:b/>
          <w:bCs/>
          <w:color w:val="7030A0"/>
          <w:sz w:val="40"/>
          <w:szCs w:val="40"/>
          <w:highlight w:val="yellow"/>
        </w:rPr>
        <w:t>&lt;LPC header&gt;</w:t>
      </w:r>
    </w:p>
    <w:p w14:paraId="0ECFA96C" w14:textId="77777777" w:rsidR="00687FB8" w:rsidRPr="000049E8" w:rsidRDefault="00687FB8" w:rsidP="00E913B8">
      <w:pPr>
        <w:rPr>
          <w:b/>
          <w:bCs/>
          <w:color w:val="0070C0"/>
          <w:sz w:val="42"/>
          <w:szCs w:val="42"/>
        </w:rPr>
      </w:pPr>
      <w:r w:rsidRPr="000049E8">
        <w:rPr>
          <w:b/>
          <w:bCs/>
          <w:color w:val="0070C0"/>
          <w:sz w:val="42"/>
          <w:szCs w:val="42"/>
        </w:rPr>
        <w:t>Supporting Primary Care Digital Investment:</w:t>
      </w:r>
    </w:p>
    <w:p w14:paraId="445113E7" w14:textId="4FA36070" w:rsidR="0052050F" w:rsidRPr="000049E8" w:rsidRDefault="00687FB8" w:rsidP="00E913B8">
      <w:pPr>
        <w:rPr>
          <w:b/>
          <w:bCs/>
          <w:color w:val="0070C0"/>
          <w:sz w:val="42"/>
          <w:szCs w:val="42"/>
        </w:rPr>
      </w:pPr>
      <w:r w:rsidRPr="000049E8">
        <w:rPr>
          <w:b/>
          <w:bCs/>
          <w:color w:val="0070C0"/>
          <w:sz w:val="42"/>
          <w:szCs w:val="42"/>
        </w:rPr>
        <w:t>Community Pharmacy Considerations for ICBs</w:t>
      </w:r>
    </w:p>
    <w:p w14:paraId="04E6AF22" w14:textId="77777777" w:rsidR="005B4710" w:rsidRPr="001C2DDF" w:rsidRDefault="005B4710" w:rsidP="007D69C5">
      <w:pPr>
        <w:jc w:val="both"/>
      </w:pPr>
    </w:p>
    <w:p w14:paraId="48CC439D" w14:textId="608311D1" w:rsidR="00677044" w:rsidRDefault="00A56940" w:rsidP="007D69C5">
      <w:pPr>
        <w:jc w:val="both"/>
      </w:pPr>
      <w:r w:rsidRPr="00A56940">
        <w:t>Considerations for ICB primary care digital planning and investment</w:t>
      </w:r>
    </w:p>
    <w:p w14:paraId="422147F8" w14:textId="77777777" w:rsidR="00A56940" w:rsidRDefault="00A56940" w:rsidP="007D69C5">
      <w:pPr>
        <w:jc w:val="both"/>
      </w:pPr>
    </w:p>
    <w:p w14:paraId="5566CEA2" w14:textId="62023AA2" w:rsidR="00677044" w:rsidRPr="00B65C87" w:rsidRDefault="00B5604D" w:rsidP="007D69C5">
      <w:pPr>
        <w:jc w:val="both"/>
        <w:rPr>
          <w:b/>
          <w:bCs/>
          <w:color w:val="0070C0"/>
          <w:sz w:val="40"/>
          <w:szCs w:val="40"/>
        </w:rPr>
      </w:pPr>
      <w:r w:rsidRPr="00B65C87">
        <w:rPr>
          <w:b/>
          <w:bCs/>
          <w:color w:val="0070C0"/>
          <w:sz w:val="40"/>
          <w:szCs w:val="40"/>
        </w:rPr>
        <w:t xml:space="preserve">1. </w:t>
      </w:r>
      <w:r w:rsidR="0063778F" w:rsidRPr="00B65C87">
        <w:rPr>
          <w:b/>
          <w:bCs/>
          <w:color w:val="0070C0"/>
          <w:sz w:val="40"/>
          <w:szCs w:val="40"/>
        </w:rPr>
        <w:t xml:space="preserve">Introduction </w:t>
      </w:r>
    </w:p>
    <w:p w14:paraId="01AAE176" w14:textId="77777777" w:rsidR="00677044" w:rsidRDefault="00677044" w:rsidP="007D69C5">
      <w:pPr>
        <w:jc w:val="both"/>
      </w:pPr>
    </w:p>
    <w:p w14:paraId="5C343C99" w14:textId="4EA68675" w:rsidR="0063778F" w:rsidRPr="0063778F" w:rsidRDefault="0063778F" w:rsidP="007D69C5">
      <w:pPr>
        <w:jc w:val="both"/>
        <w:rPr>
          <w:b/>
          <w:bCs/>
        </w:rPr>
      </w:pPr>
      <w:r w:rsidRPr="0063778F">
        <w:rPr>
          <w:b/>
          <w:bCs/>
        </w:rPr>
        <w:t>Purpose</w:t>
      </w:r>
    </w:p>
    <w:p w14:paraId="7FA20BA7" w14:textId="77777777" w:rsidR="0063778F" w:rsidRDefault="0063778F" w:rsidP="007D69C5">
      <w:pPr>
        <w:jc w:val="both"/>
      </w:pPr>
    </w:p>
    <w:p w14:paraId="4E0D1A1C" w14:textId="50B4F1B0" w:rsidR="00677044" w:rsidRDefault="00677044" w:rsidP="007D69C5">
      <w:pPr>
        <w:jc w:val="both"/>
      </w:pPr>
      <w:r>
        <w:t>This paper is intended to support Integrated Care Boards (ICBs) in considering how community pharmacy can be effectively incorporated into local primary care digital plans and investment proposals, including any bids for central, regional or national digital funding. It highlights areas where community pharmacy IT investment can support wider system priorities, scale proven digital capabilities, and reduce duplication and delivery risk. It can be attached to any relevant digital IT bids for primary care.</w:t>
      </w:r>
    </w:p>
    <w:p w14:paraId="0D7156E2" w14:textId="77777777" w:rsidR="00677044" w:rsidRDefault="00677044" w:rsidP="007D69C5">
      <w:pPr>
        <w:jc w:val="both"/>
      </w:pPr>
    </w:p>
    <w:p w14:paraId="26AE7E15" w14:textId="7213E61D" w:rsidR="005B3620" w:rsidRPr="0063778F" w:rsidRDefault="005B3620" w:rsidP="007D69C5">
      <w:pPr>
        <w:jc w:val="both"/>
        <w:rPr>
          <w:b/>
          <w:bCs/>
        </w:rPr>
      </w:pPr>
      <w:r w:rsidRPr="0063778F">
        <w:rPr>
          <w:b/>
          <w:bCs/>
        </w:rPr>
        <w:t>Why community pharmacy matters in local digital investment</w:t>
      </w:r>
    </w:p>
    <w:p w14:paraId="18E2E687" w14:textId="77777777" w:rsidR="005B3620" w:rsidRDefault="005B3620" w:rsidP="007D69C5">
      <w:pPr>
        <w:jc w:val="both"/>
      </w:pPr>
    </w:p>
    <w:p w14:paraId="4975ADC8" w14:textId="0F27BA28" w:rsidR="00677044" w:rsidRDefault="005B3620" w:rsidP="007D69C5">
      <w:pPr>
        <w:jc w:val="both"/>
      </w:pPr>
      <w:r>
        <w:t>Community pharmacy is one of the most digitally mature and geographically distributed parts of primary care. When included early in local digital planning, pharmacy IT investment can extend the reach of digital programmes, improve data quality and safety, support productivity, and strengthen system resilience.</w:t>
      </w:r>
    </w:p>
    <w:p w14:paraId="6827D7A4" w14:textId="77777777" w:rsidR="00BA6B62" w:rsidRDefault="00BA6B62" w:rsidP="007D69C5">
      <w:pPr>
        <w:jc w:val="both"/>
      </w:pPr>
    </w:p>
    <w:p w14:paraId="2136936A" w14:textId="77777777" w:rsidR="00BA6B62" w:rsidRDefault="00BA6B62" w:rsidP="007D69C5">
      <w:pPr>
        <w:jc w:val="both"/>
      </w:pPr>
    </w:p>
    <w:p w14:paraId="6CE67216" w14:textId="4B9624A1" w:rsidR="00BA6B62" w:rsidRPr="00B65C87" w:rsidRDefault="00E7307F" w:rsidP="007D69C5">
      <w:pPr>
        <w:jc w:val="both"/>
        <w:rPr>
          <w:b/>
          <w:bCs/>
          <w:color w:val="0070C0"/>
          <w:sz w:val="40"/>
          <w:szCs w:val="40"/>
        </w:rPr>
      </w:pPr>
      <w:r w:rsidRPr="00B65C87">
        <w:rPr>
          <w:b/>
          <w:bCs/>
          <w:color w:val="0070C0"/>
          <w:sz w:val="40"/>
          <w:szCs w:val="40"/>
        </w:rPr>
        <w:t xml:space="preserve">2. </w:t>
      </w:r>
      <w:r w:rsidR="00A319B1" w:rsidRPr="00B65C87">
        <w:rPr>
          <w:b/>
          <w:bCs/>
          <w:color w:val="0070C0"/>
          <w:sz w:val="40"/>
          <w:szCs w:val="40"/>
        </w:rPr>
        <w:t>Local digital investment to enable community pharmacy within primary care</w:t>
      </w:r>
      <w:r w:rsidR="00F140BF" w:rsidRPr="00B65C87">
        <w:rPr>
          <w:b/>
          <w:bCs/>
          <w:color w:val="0070C0"/>
          <w:sz w:val="40"/>
          <w:szCs w:val="40"/>
        </w:rPr>
        <w:t xml:space="preserve"> </w:t>
      </w:r>
    </w:p>
    <w:p w14:paraId="5FB3A303" w14:textId="77777777" w:rsidR="00BA6B62" w:rsidRDefault="00BA6B62" w:rsidP="007D69C5">
      <w:pPr>
        <w:jc w:val="both"/>
      </w:pPr>
    </w:p>
    <w:p w14:paraId="76AA30CA" w14:textId="6DFE1FFF" w:rsidR="00677044" w:rsidRDefault="00677044" w:rsidP="007D69C5">
      <w:pPr>
        <w:jc w:val="both"/>
      </w:pPr>
    </w:p>
    <w:p w14:paraId="3123F191" w14:textId="77777777" w:rsidR="0001600F" w:rsidRPr="0056458E" w:rsidRDefault="0001600F" w:rsidP="007D69C5">
      <w:pPr>
        <w:spacing w:before="100" w:beforeAutospacing="1" w:after="100" w:afterAutospacing="1" w:line="300" w:lineRule="atLeast"/>
        <w:contextualSpacing w:val="0"/>
        <w:jc w:val="both"/>
        <w:outlineLvl w:val="1"/>
        <w:rPr>
          <w:rFonts w:cs="Arial"/>
          <w:b/>
          <w:bCs/>
          <w:sz w:val="30"/>
          <w:szCs w:val="30"/>
        </w:rPr>
      </w:pPr>
      <w:r w:rsidRPr="0056458E">
        <w:rPr>
          <w:rFonts w:cs="Arial"/>
          <w:b/>
          <w:bCs/>
          <w:sz w:val="30"/>
          <w:szCs w:val="30"/>
        </w:rPr>
        <w:t>2a) Better linkage into wider system plans and funding?</w:t>
      </w:r>
    </w:p>
    <w:p w14:paraId="01A3269C"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t>Connecting community pharmacy services into wider regional digital programmes and priorities</w:t>
      </w:r>
      <w:r w:rsidRPr="0056458E">
        <w:rPr>
          <w:rFonts w:cs="Arial"/>
          <w:sz w:val="21"/>
          <w:szCs w:val="21"/>
        </w:rPr>
        <w:t>, for example those focused on long</w:t>
      </w:r>
      <w:r w:rsidRPr="0056458E">
        <w:rPr>
          <w:rFonts w:cs="Arial"/>
          <w:sz w:val="21"/>
          <w:szCs w:val="21"/>
        </w:rPr>
        <w:noBreakHyphen/>
        <w:t>term conditions, population health management, access, productivity, and digital transformation. This can help ensure pharmacy capability is considered alongside other primary care settings, rather than in isolation.</w:t>
      </w:r>
    </w:p>
    <w:p w14:paraId="6B0CDC13"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t>Creating opportunities for community pharmacy to be included within multi</w:t>
      </w:r>
      <w:r w:rsidRPr="0056458E">
        <w:rPr>
          <w:rFonts w:cs="Arial"/>
          <w:b/>
          <w:bCs/>
          <w:sz w:val="21"/>
          <w:szCs w:val="21"/>
        </w:rPr>
        <w:noBreakHyphen/>
        <w:t>ICB or cross</w:t>
      </w:r>
      <w:r w:rsidRPr="0056458E">
        <w:rPr>
          <w:rFonts w:cs="Arial"/>
          <w:b/>
          <w:bCs/>
          <w:sz w:val="21"/>
          <w:szCs w:val="21"/>
        </w:rPr>
        <w:noBreakHyphen/>
        <w:t>system investment cases</w:t>
      </w:r>
      <w:r w:rsidRPr="0056458E">
        <w:rPr>
          <w:rFonts w:cs="Arial"/>
          <w:sz w:val="21"/>
          <w:szCs w:val="21"/>
        </w:rPr>
        <w:t>, for example where shared digital tools, workforce enablement, or cross</w:t>
      </w:r>
      <w:r w:rsidRPr="0056458E">
        <w:rPr>
          <w:rFonts w:cs="Arial"/>
          <w:sz w:val="21"/>
          <w:szCs w:val="21"/>
        </w:rPr>
        <w:noBreakHyphen/>
        <w:t>place pilots are being developed. This can support consistency, scalability, and value for money.</w:t>
      </w:r>
    </w:p>
    <w:p w14:paraId="6763C7F3" w14:textId="77777777" w:rsidR="0001600F" w:rsidRPr="0056458E" w:rsidRDefault="0001600F" w:rsidP="007D69C5">
      <w:pPr>
        <w:spacing w:before="100" w:beforeAutospacing="1" w:after="100" w:afterAutospacing="1" w:line="300" w:lineRule="atLeast"/>
        <w:contextualSpacing w:val="0"/>
        <w:jc w:val="both"/>
        <w:outlineLvl w:val="1"/>
        <w:rPr>
          <w:rFonts w:cs="Arial"/>
          <w:b/>
          <w:bCs/>
          <w:sz w:val="30"/>
          <w:szCs w:val="30"/>
        </w:rPr>
      </w:pPr>
      <w:r w:rsidRPr="0056458E">
        <w:rPr>
          <w:rFonts w:cs="Arial"/>
          <w:b/>
          <w:bCs/>
          <w:sz w:val="30"/>
          <w:szCs w:val="30"/>
        </w:rPr>
        <w:t>2b) Opportunity for a more coherent digital and data requirements?</w:t>
      </w:r>
    </w:p>
    <w:p w14:paraId="79FAB52D" w14:textId="470FE983" w:rsidR="0001600F" w:rsidRPr="0056458E" w:rsidRDefault="0001600F" w:rsidP="007D69C5">
      <w:pPr>
        <w:spacing w:before="100" w:beforeAutospacing="1" w:after="100" w:afterAutospacing="1" w:line="300" w:lineRule="atLeast"/>
        <w:contextualSpacing w:val="0"/>
        <w:jc w:val="both"/>
        <w:rPr>
          <w:rFonts w:cs="Arial"/>
          <w:sz w:val="21"/>
          <w:szCs w:val="21"/>
        </w:rPr>
      </w:pPr>
      <w:proofErr w:type="gramStart"/>
      <w:r w:rsidRPr="0056458E">
        <w:rPr>
          <w:rFonts w:cs="Arial"/>
          <w:sz w:val="21"/>
          <w:szCs w:val="21"/>
        </w:rPr>
        <w:lastRenderedPageBreak/>
        <w:t>From a digital perspective,</w:t>
      </w:r>
      <w:proofErr w:type="gramEnd"/>
      <w:r w:rsidRPr="0056458E">
        <w:rPr>
          <w:rFonts w:cs="Arial"/>
          <w:sz w:val="21"/>
          <w:szCs w:val="21"/>
        </w:rPr>
        <w:t xml:space="preserve"> to what extent might the locality, including</w:t>
      </w:r>
      <w:r w:rsidR="00C46BE7">
        <w:rPr>
          <w:rFonts w:cs="Arial"/>
          <w:sz w:val="21"/>
          <w:szCs w:val="21"/>
        </w:rPr>
        <w:t xml:space="preserve"> ICBs and</w:t>
      </w:r>
      <w:r w:rsidRPr="0056458E">
        <w:rPr>
          <w:rFonts w:cs="Arial"/>
          <w:sz w:val="21"/>
          <w:szCs w:val="21"/>
        </w:rPr>
        <w:t xml:space="preserve"> </w:t>
      </w:r>
      <w:r w:rsidR="00B25C8A">
        <w:rPr>
          <w:rFonts w:cs="Arial"/>
          <w:sz w:val="21"/>
          <w:szCs w:val="21"/>
        </w:rPr>
        <w:t>Local Pharmaceutical Committees</w:t>
      </w:r>
      <w:r w:rsidRPr="0056458E">
        <w:rPr>
          <w:rFonts w:cs="Arial"/>
          <w:sz w:val="21"/>
          <w:szCs w:val="21"/>
        </w:rPr>
        <w:t>, support:</w:t>
      </w:r>
    </w:p>
    <w:p w14:paraId="220581E0"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i – Push for common digital standards across a region</w:t>
      </w:r>
    </w:p>
    <w:p w14:paraId="48543209"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Greater regional alignment on digital standards, including:</w:t>
      </w:r>
    </w:p>
    <w:p w14:paraId="61105DEE"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Electronic Repeat Dispensing (eRD) use and optimisation</w:t>
      </w:r>
    </w:p>
    <w:p w14:paraId="4BF06B6C"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referral mechanisms and tools</w:t>
      </w:r>
    </w:p>
    <w:p w14:paraId="6155E0A7"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digital platforms</w:t>
      </w:r>
    </w:p>
    <w:p w14:paraId="36985F61"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Shared Care Records</w:t>
      </w:r>
    </w:p>
    <w:p w14:paraId="0E8FD79F"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structured messaging</w:t>
      </w:r>
    </w:p>
    <w:p w14:paraId="3F4F97E6" w14:textId="77777777" w:rsidR="0001600F" w:rsidRPr="0056458E" w:rsidRDefault="0001600F" w:rsidP="007D69C5">
      <w:pPr>
        <w:numPr>
          <w:ilvl w:val="0"/>
          <w:numId w:val="21"/>
        </w:numPr>
        <w:spacing w:before="100" w:beforeAutospacing="1" w:after="100" w:afterAutospacing="1" w:line="300" w:lineRule="atLeast"/>
        <w:contextualSpacing w:val="0"/>
        <w:jc w:val="both"/>
        <w:rPr>
          <w:rFonts w:cs="Arial"/>
          <w:sz w:val="21"/>
          <w:szCs w:val="21"/>
        </w:rPr>
      </w:pPr>
      <w:r w:rsidRPr="0056458E">
        <w:rPr>
          <w:rFonts w:cs="Arial"/>
          <w:sz w:val="21"/>
          <w:szCs w:val="21"/>
        </w:rPr>
        <w:t>data standards</w:t>
      </w:r>
    </w:p>
    <w:p w14:paraId="6B8321AD" w14:textId="77777777" w:rsidR="0001600F"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This can reduce variation, simplify implementation, and support interoperability across neighbouring systems.</w:t>
      </w:r>
    </w:p>
    <w:p w14:paraId="2B4CDB03" w14:textId="361F5283" w:rsidR="00C46BE7" w:rsidRPr="0056458E" w:rsidRDefault="00C46BE7" w:rsidP="007D69C5">
      <w:pPr>
        <w:spacing w:before="100" w:beforeAutospacing="1" w:after="100" w:afterAutospacing="1" w:line="300" w:lineRule="atLeast"/>
        <w:contextualSpacing w:val="0"/>
        <w:jc w:val="both"/>
        <w:rPr>
          <w:rFonts w:cs="Arial"/>
          <w:sz w:val="21"/>
          <w:szCs w:val="21"/>
        </w:rPr>
      </w:pPr>
      <w:r>
        <w:rPr>
          <w:rFonts w:cs="Arial"/>
          <w:sz w:val="21"/>
          <w:szCs w:val="21"/>
        </w:rPr>
        <w:t>Can these standards also align back to national standards as well where possible to encourage cross region alignment.</w:t>
      </w:r>
    </w:p>
    <w:p w14:paraId="20AFE2DC"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ii – Push for common information governance and data security standards</w:t>
      </w:r>
    </w:p>
    <w:p w14:paraId="169ED2E3"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Aligning local information governance expectations back to national standards, including:</w:t>
      </w:r>
    </w:p>
    <w:p w14:paraId="660D1472" w14:textId="77777777" w:rsidR="0001600F" w:rsidRPr="0056458E" w:rsidRDefault="0001600F" w:rsidP="007D69C5">
      <w:pPr>
        <w:numPr>
          <w:ilvl w:val="0"/>
          <w:numId w:val="22"/>
        </w:numPr>
        <w:spacing w:before="100" w:beforeAutospacing="1" w:after="100" w:afterAutospacing="1" w:line="300" w:lineRule="atLeast"/>
        <w:contextualSpacing w:val="0"/>
        <w:jc w:val="both"/>
        <w:rPr>
          <w:rFonts w:cs="Arial"/>
          <w:sz w:val="21"/>
          <w:szCs w:val="21"/>
        </w:rPr>
      </w:pPr>
      <w:r w:rsidRPr="0056458E">
        <w:rPr>
          <w:rFonts w:cs="Arial"/>
          <w:sz w:val="21"/>
          <w:szCs w:val="21"/>
        </w:rPr>
        <w:t>taking into account Data Security and Protection Toolkit (DSPTK) compliance already undertaken by primary care contractors, and avoiding unnecessary duplication</w:t>
      </w:r>
    </w:p>
    <w:p w14:paraId="1ED64C48" w14:textId="77777777" w:rsidR="0001600F" w:rsidRPr="0056458E" w:rsidRDefault="0001600F" w:rsidP="007D69C5">
      <w:pPr>
        <w:numPr>
          <w:ilvl w:val="0"/>
          <w:numId w:val="22"/>
        </w:numPr>
        <w:spacing w:before="100" w:beforeAutospacing="1" w:after="100" w:afterAutospacing="1" w:line="300" w:lineRule="atLeast"/>
        <w:contextualSpacing w:val="0"/>
        <w:jc w:val="both"/>
        <w:rPr>
          <w:rFonts w:cs="Arial"/>
          <w:sz w:val="21"/>
          <w:szCs w:val="21"/>
        </w:rPr>
      </w:pPr>
      <w:r w:rsidRPr="0056458E">
        <w:rPr>
          <w:rFonts w:cs="Arial"/>
          <w:sz w:val="21"/>
          <w:szCs w:val="21"/>
        </w:rPr>
        <w:t>reducing variation in local IG and data security requirements across different areas</w:t>
      </w:r>
    </w:p>
    <w:p w14:paraId="1E392B18" w14:textId="1E8DD78D"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 xml:space="preserve">This can lower administrative burden </w:t>
      </w:r>
      <w:r w:rsidR="007D69C5">
        <w:rPr>
          <w:rFonts w:cs="Arial"/>
          <w:sz w:val="21"/>
          <w:szCs w:val="21"/>
        </w:rPr>
        <w:t xml:space="preserve">for the whole system </w:t>
      </w:r>
      <w:r w:rsidRPr="0056458E">
        <w:rPr>
          <w:rFonts w:cs="Arial"/>
          <w:sz w:val="21"/>
          <w:szCs w:val="21"/>
        </w:rPr>
        <w:t>while maintaining appropriate assurance.</w:t>
      </w:r>
    </w:p>
    <w:p w14:paraId="1236EF65"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iii – Reduce the burden on owners dealing with multiple platforms</w:t>
      </w:r>
    </w:p>
    <w:p w14:paraId="608AA798" w14:textId="2B0E0FBF"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 xml:space="preserve">Reducing the operational burden on pharmacy owners and teams who may otherwise be required to manage </w:t>
      </w:r>
      <w:r w:rsidRPr="007D69C5">
        <w:rPr>
          <w:rFonts w:cs="Arial"/>
          <w:sz w:val="21"/>
          <w:szCs w:val="21"/>
        </w:rPr>
        <w:t xml:space="preserve">multiple </w:t>
      </w:r>
      <w:r w:rsidR="007D69C5" w:rsidRPr="007D69C5">
        <w:rPr>
          <w:rFonts w:cs="Arial"/>
          <w:sz w:val="21"/>
          <w:szCs w:val="21"/>
        </w:rPr>
        <w:t xml:space="preserve">online </w:t>
      </w:r>
      <w:r w:rsidRPr="007D69C5">
        <w:rPr>
          <w:rFonts w:cs="Arial"/>
          <w:sz w:val="21"/>
          <w:szCs w:val="21"/>
        </w:rPr>
        <w:t>platforms, logins, or referral systems</w:t>
      </w:r>
      <w:r w:rsidRPr="0056458E">
        <w:rPr>
          <w:rFonts w:cs="Arial"/>
          <w:sz w:val="21"/>
          <w:szCs w:val="21"/>
        </w:rPr>
        <w:t xml:space="preserve"> across neighbouring ICBs.</w:t>
      </w:r>
    </w:p>
    <w:p w14:paraId="424C4B02"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Greater consistency supports efficiency, resilience, and adoption.</w:t>
      </w:r>
    </w:p>
    <w:p w14:paraId="03E66EF0"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iv – Support region</w:t>
      </w:r>
      <w:r w:rsidRPr="0056458E">
        <w:rPr>
          <w:rFonts w:cs="Arial"/>
          <w:b/>
          <w:bCs/>
          <w:sz w:val="24"/>
          <w:szCs w:val="24"/>
        </w:rPr>
        <w:noBreakHyphen/>
        <w:t>wide data improvement</w:t>
      </w:r>
    </w:p>
    <w:p w14:paraId="3A3A8D2F"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Supporting improvements in the availability, quality and usability of data, including:</w:t>
      </w:r>
    </w:p>
    <w:p w14:paraId="73470D0D"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consistent local data points (e.g. ICB, LPC, PCN level)</w:t>
      </w:r>
    </w:p>
    <w:p w14:paraId="07CCA8C8"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the ability for primary care contractors to reconcile activity delivered with activity recorded and reimbursed</w:t>
      </w:r>
    </w:p>
    <w:p w14:paraId="5173BA46"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standardised datasets</w:t>
      </w:r>
    </w:p>
    <w:p w14:paraId="5FBE036B"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more timely data (e.g. daily rather than monthly or retrospective reporting), enabling meaningful local action</w:t>
      </w:r>
    </w:p>
    <w:p w14:paraId="1796009B"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lastRenderedPageBreak/>
        <w:t>accessible dashboards for LPCs and pharmacies</w:t>
      </w:r>
    </w:p>
    <w:p w14:paraId="70A200E3"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exportable data to support bespoke local analysis</w:t>
      </w:r>
    </w:p>
    <w:p w14:paraId="120908B7" w14:textId="77777777" w:rsidR="0001600F" w:rsidRPr="0056458E" w:rsidRDefault="0001600F" w:rsidP="007D69C5">
      <w:pPr>
        <w:numPr>
          <w:ilvl w:val="0"/>
          <w:numId w:val="23"/>
        </w:numPr>
        <w:spacing w:before="100" w:beforeAutospacing="1" w:after="100" w:afterAutospacing="1" w:line="300" w:lineRule="atLeast"/>
        <w:contextualSpacing w:val="0"/>
        <w:jc w:val="both"/>
        <w:rPr>
          <w:rFonts w:cs="Arial"/>
          <w:sz w:val="21"/>
          <w:szCs w:val="21"/>
        </w:rPr>
      </w:pPr>
      <w:r w:rsidRPr="0056458E">
        <w:rPr>
          <w:rFonts w:cs="Arial"/>
          <w:sz w:val="21"/>
          <w:szCs w:val="21"/>
        </w:rPr>
        <w:t>outcomes measures that more clearly demonstrate the impact of primary care contractors, including community pharmacy, at scale</w:t>
      </w:r>
    </w:p>
    <w:p w14:paraId="7FA01EE1"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These improvements can support commissioning, assurance, and evaluation needs.</w:t>
      </w:r>
    </w:p>
    <w:p w14:paraId="3CCDAC1A"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v – IT solution selection</w:t>
      </w:r>
    </w:p>
    <w:p w14:paraId="39503FC8"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Supporting local IT frameworks that foster a robust and competitive supplier environment. Standards, frameworks and tenders should be designed to accommodate a range of system suppliers, with lessons drawn from national approaches such as NHS Digital Services for Integrated Care (DSIC).</w:t>
      </w:r>
    </w:p>
    <w:p w14:paraId="56ABA96E" w14:textId="77777777" w:rsidR="0001600F"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Suppliers may be asked to ensure that relevant anonymised data can be shared appropriately among stakeholders, helping to avoid data silos and duplication.</w:t>
      </w:r>
    </w:p>
    <w:p w14:paraId="1241D95D" w14:textId="5F173580" w:rsidR="007D69C5" w:rsidRPr="0056458E" w:rsidRDefault="007D69C5" w:rsidP="007D69C5">
      <w:pPr>
        <w:spacing w:before="100" w:beforeAutospacing="1" w:after="100" w:afterAutospacing="1" w:line="300" w:lineRule="atLeast"/>
        <w:contextualSpacing w:val="0"/>
        <w:jc w:val="both"/>
        <w:rPr>
          <w:rFonts w:cs="Arial"/>
          <w:sz w:val="21"/>
          <w:szCs w:val="21"/>
        </w:rPr>
      </w:pPr>
      <w:r>
        <w:rPr>
          <w:rFonts w:cs="Arial"/>
          <w:sz w:val="21"/>
          <w:szCs w:val="21"/>
        </w:rPr>
        <w:t xml:space="preserve">LPCs support </w:t>
      </w:r>
      <w:r w:rsidR="00BA5167">
        <w:rPr>
          <w:rFonts w:cs="Arial"/>
          <w:sz w:val="21"/>
          <w:szCs w:val="21"/>
        </w:rPr>
        <w:t xml:space="preserve">piloting, piloting support and lessons from ambient scribing solutions within community pharmacy. </w:t>
      </w:r>
    </w:p>
    <w:p w14:paraId="128FCFA2" w14:textId="77777777" w:rsidR="0001600F" w:rsidRPr="0056458E" w:rsidRDefault="0001600F" w:rsidP="007D69C5">
      <w:pPr>
        <w:spacing w:before="100" w:beforeAutospacing="1" w:after="100" w:afterAutospacing="1" w:line="300" w:lineRule="atLeast"/>
        <w:contextualSpacing w:val="0"/>
        <w:jc w:val="both"/>
        <w:outlineLvl w:val="3"/>
        <w:rPr>
          <w:rFonts w:cs="Arial"/>
          <w:b/>
          <w:bCs/>
          <w:sz w:val="24"/>
          <w:szCs w:val="24"/>
        </w:rPr>
      </w:pPr>
      <w:r w:rsidRPr="0056458E">
        <w:rPr>
          <w:rFonts w:cs="Arial"/>
          <w:b/>
          <w:bCs/>
          <w:sz w:val="24"/>
          <w:szCs w:val="24"/>
        </w:rPr>
        <w:t>2b vi – Continuity of IT programmes</w:t>
      </w:r>
    </w:p>
    <w:p w14:paraId="321D3831" w14:textId="7E989D00"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t>Multi</w:t>
      </w:r>
      <w:r w:rsidRPr="0056458E">
        <w:rPr>
          <w:rFonts w:cs="Arial"/>
          <w:b/>
          <w:bCs/>
          <w:sz w:val="21"/>
          <w:szCs w:val="21"/>
        </w:rPr>
        <w:noBreakHyphen/>
        <w:t>year projects</w:t>
      </w:r>
      <w:r w:rsidR="007D69C5">
        <w:rPr>
          <w:rFonts w:cs="Arial"/>
          <w:b/>
          <w:bCs/>
          <w:sz w:val="21"/>
          <w:szCs w:val="21"/>
        </w:rPr>
        <w:tab/>
      </w:r>
      <w:r w:rsidRPr="0056458E">
        <w:rPr>
          <w:rFonts w:cs="Arial"/>
          <w:sz w:val="21"/>
          <w:szCs w:val="21"/>
        </w:rPr>
        <w:br/>
        <w:t xml:space="preserve">Where benefits are clear at the outset and during early rollout, it can support local stability and value for money to plan programmes on a </w:t>
      </w:r>
      <w:r w:rsidRPr="00BA5167">
        <w:rPr>
          <w:rFonts w:cs="Arial"/>
          <w:sz w:val="21"/>
          <w:szCs w:val="21"/>
        </w:rPr>
        <w:t>multi</w:t>
      </w:r>
      <w:r w:rsidRPr="00BA5167">
        <w:rPr>
          <w:rFonts w:cs="Arial"/>
          <w:sz w:val="21"/>
          <w:szCs w:val="21"/>
        </w:rPr>
        <w:noBreakHyphen/>
        <w:t>year basis, rather than as short</w:t>
      </w:r>
      <w:r w:rsidRPr="00BA5167">
        <w:rPr>
          <w:rFonts w:cs="Arial"/>
          <w:sz w:val="21"/>
          <w:szCs w:val="21"/>
        </w:rPr>
        <w:noBreakHyphen/>
        <w:t>term or stop</w:t>
      </w:r>
      <w:r w:rsidRPr="00BA5167">
        <w:rPr>
          <w:rFonts w:cs="Arial"/>
          <w:sz w:val="21"/>
          <w:szCs w:val="21"/>
        </w:rPr>
        <w:noBreakHyphen/>
        <w:t>start initiatives. This includes planning for business</w:t>
      </w:r>
      <w:r w:rsidRPr="0056458E">
        <w:rPr>
          <w:rFonts w:cs="Arial"/>
          <w:sz w:val="21"/>
          <w:szCs w:val="21"/>
        </w:rPr>
        <w:noBreakHyphen/>
        <w:t>as</w:t>
      </w:r>
      <w:r w:rsidRPr="0056458E">
        <w:rPr>
          <w:rFonts w:cs="Arial"/>
          <w:sz w:val="21"/>
          <w:szCs w:val="21"/>
        </w:rPr>
        <w:noBreakHyphen/>
        <w:t>usual arrangements following successful implementation, to avoid loss of capability and benefits over time.</w:t>
      </w:r>
    </w:p>
    <w:p w14:paraId="26018E70" w14:textId="557EDAB1"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t>Implementation support staff</w:t>
      </w:r>
      <w:r w:rsidR="007D69C5">
        <w:rPr>
          <w:rFonts w:cs="Arial"/>
          <w:b/>
          <w:bCs/>
          <w:sz w:val="21"/>
          <w:szCs w:val="21"/>
        </w:rPr>
        <w:tab/>
      </w:r>
      <w:r w:rsidRPr="0056458E">
        <w:rPr>
          <w:rFonts w:cs="Arial"/>
          <w:sz w:val="21"/>
          <w:szCs w:val="21"/>
        </w:rPr>
        <w:br/>
        <w:t xml:space="preserve">Successful digital programmes in </w:t>
      </w:r>
      <w:r w:rsidRPr="007D69C5">
        <w:rPr>
          <w:rFonts w:cs="Arial"/>
          <w:sz w:val="21"/>
          <w:szCs w:val="21"/>
        </w:rPr>
        <w:t>community pharmacy depend not only on system funding, but on practical, hands</w:t>
      </w:r>
      <w:r w:rsidRPr="007D69C5">
        <w:rPr>
          <w:rFonts w:cs="Arial"/>
          <w:sz w:val="21"/>
          <w:szCs w:val="21"/>
        </w:rPr>
        <w:noBreakHyphen/>
        <w:t>on implementation support.</w:t>
      </w:r>
      <w:r w:rsidRPr="0056458E">
        <w:rPr>
          <w:rFonts w:cs="Arial"/>
          <w:sz w:val="21"/>
          <w:szCs w:val="21"/>
        </w:rPr>
        <w:t xml:space="preserve"> Local systems may wish to plan for dedicated support staff who can work directly with pharmacies and other primary care contractors on onboarding, configuration, training and early troubleshooting.</w:t>
      </w:r>
    </w:p>
    <w:p w14:paraId="24C221FA"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This “boots on the ground” support is particularly important where programmes involve changes to workflows, data sharing, referrals, or access to records across organisational boundaries. Experience from national and local programmes shows that where this support is absent or time</w:t>
      </w:r>
      <w:r w:rsidRPr="0056458E">
        <w:rPr>
          <w:rFonts w:cs="Arial"/>
          <w:sz w:val="21"/>
          <w:szCs w:val="21"/>
        </w:rPr>
        <w:noBreakHyphen/>
        <w:t>limited, uptake is slower, benefits are harder to realise, and pressure on frontline teams increases.</w:t>
      </w:r>
    </w:p>
    <w:p w14:paraId="469E2BA4" w14:textId="535E7CCB"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 xml:space="preserve">This aligns closely with </w:t>
      </w:r>
      <w:r w:rsidR="00BA5167">
        <w:rPr>
          <w:rFonts w:cs="Arial"/>
          <w:sz w:val="21"/>
          <w:szCs w:val="21"/>
        </w:rPr>
        <w:t>community pharmacy</w:t>
      </w:r>
      <w:r w:rsidRPr="0056458E">
        <w:rPr>
          <w:rFonts w:cs="Arial"/>
          <w:sz w:val="21"/>
          <w:szCs w:val="21"/>
        </w:rPr>
        <w:t xml:space="preserve"> IT principles around interoperability, reduced burden, and user</w:t>
      </w:r>
      <w:r w:rsidRPr="0056458E">
        <w:rPr>
          <w:rFonts w:cs="Arial"/>
          <w:sz w:val="21"/>
          <w:szCs w:val="21"/>
        </w:rPr>
        <w:noBreakHyphen/>
        <w:t>tested, usable systems.</w:t>
      </w:r>
    </w:p>
    <w:p w14:paraId="3CFD18C8" w14:textId="77777777" w:rsidR="0001600F" w:rsidRPr="0056458E" w:rsidRDefault="0001600F" w:rsidP="007D69C5">
      <w:pPr>
        <w:spacing w:before="100" w:beforeAutospacing="1" w:after="100" w:afterAutospacing="1" w:line="300" w:lineRule="atLeast"/>
        <w:contextualSpacing w:val="0"/>
        <w:jc w:val="both"/>
        <w:outlineLvl w:val="2"/>
        <w:rPr>
          <w:rFonts w:cs="Arial"/>
          <w:b/>
          <w:bCs/>
          <w:sz w:val="27"/>
          <w:szCs w:val="27"/>
        </w:rPr>
      </w:pPr>
      <w:r w:rsidRPr="0056458E">
        <w:rPr>
          <w:rFonts w:cs="Arial"/>
          <w:b/>
          <w:bCs/>
          <w:sz w:val="27"/>
          <w:szCs w:val="27"/>
        </w:rPr>
        <w:t>2c) Potential to tackle inequalities more systematically (patients and staff)</w:t>
      </w:r>
    </w:p>
    <w:p w14:paraId="54AC8134"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t>Supporting digital inclusion</w:t>
      </w:r>
      <w:r w:rsidRPr="0056458E">
        <w:rPr>
          <w:rFonts w:cs="Arial"/>
          <w:sz w:val="21"/>
          <w:szCs w:val="21"/>
        </w:rPr>
        <w:t>, for example ensuring pharmacy</w:t>
      </w:r>
      <w:r w:rsidRPr="0056458E">
        <w:rPr>
          <w:rFonts w:cs="Arial"/>
          <w:sz w:val="21"/>
          <w:szCs w:val="21"/>
        </w:rPr>
        <w:noBreakHyphen/>
        <w:t>related digital pathways are accessible for patients who may have limited access to technology or lower digital confidence.</w:t>
      </w:r>
    </w:p>
    <w:p w14:paraId="78E58BD8" w14:textId="16E729E6"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b/>
          <w:bCs/>
          <w:sz w:val="21"/>
          <w:szCs w:val="21"/>
        </w:rPr>
        <w:lastRenderedPageBreak/>
        <w:t>Building digital capability among</w:t>
      </w:r>
      <w:r w:rsidR="00BA5167">
        <w:rPr>
          <w:rFonts w:cs="Arial"/>
          <w:b/>
          <w:bCs/>
          <w:sz w:val="21"/>
          <w:szCs w:val="21"/>
        </w:rPr>
        <w:t xml:space="preserve"> primary care staff including</w:t>
      </w:r>
      <w:r w:rsidRPr="0056458E">
        <w:rPr>
          <w:rFonts w:cs="Arial"/>
          <w:b/>
          <w:bCs/>
          <w:sz w:val="21"/>
          <w:szCs w:val="21"/>
        </w:rPr>
        <w:t xml:space="preserve"> pharmacy staff</w:t>
      </w:r>
      <w:r w:rsidRPr="0056458E">
        <w:rPr>
          <w:rFonts w:cs="Arial"/>
          <w:sz w:val="21"/>
          <w:szCs w:val="21"/>
        </w:rPr>
        <w:t>, including digital literacy, system training and ongoing IT support. This may include consideration of protected learning time and locum cover to enable participation in digital training, events and service development.</w:t>
      </w:r>
    </w:p>
    <w:p w14:paraId="1932C326" w14:textId="77777777" w:rsidR="0001600F" w:rsidRPr="0001600F" w:rsidRDefault="0001600F" w:rsidP="007D69C5">
      <w:pPr>
        <w:spacing w:before="100" w:beforeAutospacing="1" w:after="100" w:afterAutospacing="1" w:line="300" w:lineRule="atLeast"/>
        <w:contextualSpacing w:val="0"/>
        <w:jc w:val="both"/>
        <w:outlineLvl w:val="1"/>
        <w:rPr>
          <w:b/>
          <w:bCs/>
          <w:color w:val="0070C0"/>
          <w:sz w:val="40"/>
          <w:szCs w:val="40"/>
        </w:rPr>
      </w:pPr>
      <w:r w:rsidRPr="0001600F">
        <w:rPr>
          <w:b/>
          <w:bCs/>
          <w:color w:val="0070C0"/>
          <w:sz w:val="40"/>
          <w:szCs w:val="40"/>
        </w:rPr>
        <w:t>3. Potential opportunities for local CP IT</w:t>
      </w:r>
    </w:p>
    <w:p w14:paraId="4B754F03" w14:textId="77777777" w:rsidR="0001600F" w:rsidRPr="0056458E" w:rsidRDefault="0001600F" w:rsidP="007D69C5">
      <w:pPr>
        <w:spacing w:before="100" w:beforeAutospacing="1" w:after="100" w:afterAutospacing="1" w:line="300" w:lineRule="atLeast"/>
        <w:contextualSpacing w:val="0"/>
        <w:jc w:val="both"/>
        <w:outlineLvl w:val="2"/>
        <w:rPr>
          <w:rFonts w:cs="Arial"/>
          <w:b/>
          <w:bCs/>
          <w:sz w:val="27"/>
          <w:szCs w:val="27"/>
        </w:rPr>
      </w:pPr>
      <w:r w:rsidRPr="0056458E">
        <w:rPr>
          <w:rFonts w:cs="Arial"/>
          <w:b/>
          <w:bCs/>
          <w:sz w:val="27"/>
          <w:szCs w:val="27"/>
        </w:rPr>
        <w:t>3a) Aligning CP priorities with regional digital commissioning</w:t>
      </w:r>
    </w:p>
    <w:p w14:paraId="6E65077E"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 xml:space="preserve">Exploring opportunities to </w:t>
      </w:r>
      <w:r w:rsidRPr="007D69C5">
        <w:rPr>
          <w:rFonts w:cs="Arial"/>
          <w:sz w:val="21"/>
          <w:szCs w:val="21"/>
        </w:rPr>
        <w:t>promote “once for a region” IT solutions for areas not commissioned nationally, developed collaboratively with</w:t>
      </w:r>
      <w:r w:rsidRPr="0056458E">
        <w:rPr>
          <w:rFonts w:cs="Arial"/>
          <w:sz w:val="21"/>
          <w:szCs w:val="21"/>
        </w:rPr>
        <w:t xml:space="preserve"> stakeholders across the system.</w:t>
      </w:r>
    </w:p>
    <w:p w14:paraId="34DD7212"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This may include shared approaches to pharmacy referral pathways and access to shared care records.</w:t>
      </w:r>
    </w:p>
    <w:p w14:paraId="2E6DFBC6" w14:textId="77777777" w:rsidR="0001600F" w:rsidRPr="0056458E" w:rsidRDefault="0001600F" w:rsidP="007D69C5">
      <w:pPr>
        <w:spacing w:before="100" w:beforeAutospacing="1" w:after="100" w:afterAutospacing="1" w:line="300" w:lineRule="atLeast"/>
        <w:contextualSpacing w:val="0"/>
        <w:jc w:val="both"/>
        <w:outlineLvl w:val="2"/>
        <w:rPr>
          <w:rFonts w:cs="Arial"/>
          <w:b/>
          <w:bCs/>
          <w:sz w:val="27"/>
          <w:szCs w:val="27"/>
        </w:rPr>
      </w:pPr>
      <w:r w:rsidRPr="0056458E">
        <w:rPr>
          <w:rFonts w:cs="Arial"/>
          <w:b/>
          <w:bCs/>
          <w:sz w:val="27"/>
          <w:szCs w:val="27"/>
        </w:rPr>
        <w:t>3b) Building structured relationships with regional stakeholders</w:t>
      </w:r>
    </w:p>
    <w:p w14:paraId="4C60AF99"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Developing regular and structured engagement channels with regional leaders, including primary care and digital leads, to support ongoing alignment and early input into planning.</w:t>
      </w:r>
    </w:p>
    <w:p w14:paraId="343D642A" w14:textId="77777777" w:rsidR="0001600F" w:rsidRPr="0056458E" w:rsidRDefault="0001600F" w:rsidP="007D69C5">
      <w:pPr>
        <w:spacing w:before="100" w:beforeAutospacing="1" w:after="100" w:afterAutospacing="1" w:line="300" w:lineRule="atLeast"/>
        <w:contextualSpacing w:val="0"/>
        <w:jc w:val="both"/>
        <w:outlineLvl w:val="2"/>
        <w:rPr>
          <w:rFonts w:cs="Arial"/>
          <w:b/>
          <w:bCs/>
          <w:sz w:val="27"/>
          <w:szCs w:val="27"/>
        </w:rPr>
      </w:pPr>
      <w:r w:rsidRPr="0056458E">
        <w:rPr>
          <w:rFonts w:cs="Arial"/>
          <w:b/>
          <w:bCs/>
          <w:sz w:val="27"/>
          <w:szCs w:val="27"/>
        </w:rPr>
        <w:t>3c) Supporting system resilience and future planning</w:t>
      </w:r>
    </w:p>
    <w:p w14:paraId="32386218" w14:textId="77777777" w:rsidR="0001600F" w:rsidRPr="0056458E"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Ensuring digital access and capability are built in from the outset of service and pathway design.</w:t>
      </w:r>
    </w:p>
    <w:p w14:paraId="38180D75" w14:textId="77777777" w:rsidR="0001600F" w:rsidRPr="00BA5167" w:rsidRDefault="0001600F" w:rsidP="007D69C5">
      <w:pPr>
        <w:spacing w:before="100" w:beforeAutospacing="1" w:after="100" w:afterAutospacing="1" w:line="300" w:lineRule="atLeast"/>
        <w:contextualSpacing w:val="0"/>
        <w:jc w:val="both"/>
        <w:rPr>
          <w:rFonts w:cs="Arial"/>
          <w:sz w:val="21"/>
          <w:szCs w:val="21"/>
        </w:rPr>
      </w:pPr>
      <w:r w:rsidRPr="0056458E">
        <w:rPr>
          <w:rFonts w:cs="Arial"/>
          <w:sz w:val="21"/>
          <w:szCs w:val="21"/>
        </w:rPr>
        <w:t xml:space="preserve">Embedding technical and process continuity measures, </w:t>
      </w:r>
      <w:r w:rsidRPr="00BA5167">
        <w:rPr>
          <w:rFonts w:cs="Arial"/>
          <w:sz w:val="21"/>
          <w:szCs w:val="21"/>
        </w:rPr>
        <w:t>and ensuring workforce, funding and digital investment plans properly consider community pharmacy alongside other primary care settings, rather than focusing solely on general practice or trusts.</w:t>
      </w:r>
    </w:p>
    <w:p w14:paraId="258D6AE7" w14:textId="77777777" w:rsidR="00BA6B62" w:rsidRDefault="00BA6B62" w:rsidP="007D69C5">
      <w:pPr>
        <w:jc w:val="both"/>
      </w:pPr>
    </w:p>
    <w:p w14:paraId="3B44ABF2" w14:textId="54F8C39A" w:rsidR="00A56940" w:rsidRPr="00B65C87" w:rsidRDefault="00721A16" w:rsidP="007D69C5">
      <w:pPr>
        <w:jc w:val="both"/>
        <w:rPr>
          <w:b/>
          <w:bCs/>
          <w:color w:val="0070C0"/>
          <w:sz w:val="40"/>
          <w:szCs w:val="40"/>
        </w:rPr>
      </w:pPr>
      <w:r w:rsidRPr="00B65C87">
        <w:rPr>
          <w:b/>
          <w:bCs/>
          <w:color w:val="0070C0"/>
          <w:sz w:val="40"/>
          <w:szCs w:val="40"/>
        </w:rPr>
        <w:t>4</w:t>
      </w:r>
      <w:r w:rsidR="00E7307F" w:rsidRPr="00B65C87">
        <w:rPr>
          <w:b/>
          <w:bCs/>
          <w:color w:val="0070C0"/>
          <w:sz w:val="40"/>
          <w:szCs w:val="40"/>
        </w:rPr>
        <w:t xml:space="preserve">. </w:t>
      </w:r>
      <w:r w:rsidR="008C58F9" w:rsidRPr="00B65C87">
        <w:rPr>
          <w:b/>
          <w:bCs/>
          <w:color w:val="0070C0"/>
          <w:sz w:val="40"/>
          <w:szCs w:val="40"/>
        </w:rPr>
        <w:t>National NHS pharmacy IT</w:t>
      </w:r>
    </w:p>
    <w:p w14:paraId="034C39BB" w14:textId="77777777" w:rsidR="00677044" w:rsidRDefault="00677044" w:rsidP="007D69C5">
      <w:pPr>
        <w:jc w:val="both"/>
      </w:pPr>
    </w:p>
    <w:p w14:paraId="61A39D42" w14:textId="2EAE2B1D" w:rsidR="008C58F9" w:rsidRDefault="00530FC5" w:rsidP="007D69C5">
      <w:pPr>
        <w:jc w:val="both"/>
      </w:pPr>
      <w:r>
        <w:t>The Community Pharmacy IT Group</w:t>
      </w:r>
      <w:r w:rsidR="008C58F9">
        <w:t xml:space="preserve"> pharmacy members</w:t>
      </w:r>
      <w:r>
        <w:t xml:space="preserve"> sets out </w:t>
      </w:r>
      <w:r w:rsidR="008C58F9">
        <w:t xml:space="preserve">an </w:t>
      </w:r>
      <w:hyperlink r:id="rId5" w:history="1">
        <w:r w:rsidR="008C58F9" w:rsidRPr="008C58F9">
          <w:rPr>
            <w:rStyle w:val="Hyperlink"/>
          </w:rPr>
          <w:t>IT development roadmap</w:t>
        </w:r>
      </w:hyperlink>
      <w:r w:rsidR="008C58F9">
        <w:t xml:space="preserve"> to support primary care delivery</w:t>
      </w:r>
      <w:r w:rsidR="00E32BD3">
        <w:t xml:space="preserve"> (see also – </w:t>
      </w:r>
      <w:hyperlink r:id="rId6" w:history="1">
        <w:r w:rsidR="00E32BD3" w:rsidRPr="00E32BD3">
          <w:rPr>
            <w:rStyle w:val="Hyperlink"/>
          </w:rPr>
          <w:t>summary slides</w:t>
        </w:r>
      </w:hyperlink>
      <w:r w:rsidR="00E32BD3">
        <w:t>), relating to six domains</w:t>
      </w:r>
      <w:r w:rsidR="00BD142A">
        <w:t xml:space="preserve">, which whilst </w:t>
      </w:r>
      <w:r w:rsidR="003B5C2C">
        <w:t>can apply to national arrangements can also be considered within local IT development</w:t>
      </w:r>
      <w:r w:rsidR="00E32BD3">
        <w:t>:</w:t>
      </w:r>
    </w:p>
    <w:p w14:paraId="282BF591" w14:textId="77777777" w:rsidR="008C58F9" w:rsidRDefault="008C58F9" w:rsidP="007D69C5">
      <w:pPr>
        <w:jc w:val="both"/>
      </w:pPr>
    </w:p>
    <w:p w14:paraId="678B0395" w14:textId="77777777" w:rsidR="001115D8" w:rsidRPr="001115D8" w:rsidRDefault="001115D8" w:rsidP="007D69C5">
      <w:pPr>
        <w:jc w:val="both"/>
      </w:pPr>
      <w:r w:rsidRPr="001115D8">
        <w:t>Six of the domains where we would like to see further progress — with examples — are:</w:t>
      </w:r>
    </w:p>
    <w:p w14:paraId="5B156470" w14:textId="77777777" w:rsidR="001115D8" w:rsidRPr="001115D8" w:rsidRDefault="001115D8" w:rsidP="007D69C5">
      <w:pPr>
        <w:numPr>
          <w:ilvl w:val="0"/>
          <w:numId w:val="20"/>
        </w:numPr>
        <w:jc w:val="both"/>
      </w:pPr>
      <w:r w:rsidRPr="00E32BD3">
        <w:rPr>
          <w:b/>
          <w:bCs/>
          <w:color w:val="0070C0"/>
        </w:rPr>
        <w:t>Systems &amp; services IT</w:t>
      </w:r>
      <w:r w:rsidRPr="001115D8">
        <w:rPr>
          <w:b/>
          <w:bCs/>
        </w:rPr>
        <w:t xml:space="preserve">: </w:t>
      </w:r>
      <w:r w:rsidRPr="001115D8">
        <w:t>Robust IT solutions for pharmacy services, including clear technical specifications, supplier frameworks, choice of options, and incentives for innovation.</w:t>
      </w:r>
    </w:p>
    <w:p w14:paraId="5EBAF972" w14:textId="77777777" w:rsidR="001115D8" w:rsidRPr="001115D8" w:rsidRDefault="001115D8" w:rsidP="007D69C5">
      <w:pPr>
        <w:numPr>
          <w:ilvl w:val="0"/>
          <w:numId w:val="20"/>
        </w:numPr>
        <w:jc w:val="both"/>
      </w:pPr>
      <w:r w:rsidRPr="00E32BD3">
        <w:rPr>
          <w:b/>
          <w:bCs/>
          <w:color w:val="0070C0"/>
        </w:rPr>
        <w:t>Data flow, standards &amp; IT communications</w:t>
      </w:r>
      <w:r w:rsidRPr="001115D8">
        <w:rPr>
          <w:b/>
          <w:bCs/>
        </w:rPr>
        <w:t xml:space="preserve">: </w:t>
      </w:r>
      <w:r w:rsidRPr="001115D8">
        <w:t>Structured messaging, expanded data standards, improvements to nhs.net, and a more unified set of pharmacy datasets.</w:t>
      </w:r>
    </w:p>
    <w:p w14:paraId="460085AC" w14:textId="7BE02695" w:rsidR="001115D8" w:rsidRPr="001115D8" w:rsidRDefault="001115D8" w:rsidP="007D69C5">
      <w:pPr>
        <w:numPr>
          <w:ilvl w:val="0"/>
          <w:numId w:val="20"/>
        </w:numPr>
        <w:jc w:val="both"/>
        <w:rPr>
          <w:b/>
          <w:bCs/>
        </w:rPr>
      </w:pPr>
      <w:r w:rsidRPr="00E32BD3">
        <w:rPr>
          <w:b/>
          <w:bCs/>
          <w:color w:val="0070C0"/>
        </w:rPr>
        <w:t>Electronic health records</w:t>
      </w:r>
      <w:r w:rsidRPr="001115D8">
        <w:rPr>
          <w:b/>
          <w:bCs/>
        </w:rPr>
        <w:t xml:space="preserve">: </w:t>
      </w:r>
      <w:r w:rsidRPr="001115D8">
        <w:t xml:space="preserve">Integration with new National Care Records Service developments, access to more documents within </w:t>
      </w:r>
      <w:r w:rsidR="00E32BD3">
        <w:t>National Care Records Service (NCRS)</w:t>
      </w:r>
      <w:r w:rsidRPr="001115D8">
        <w:t xml:space="preserve">, </w:t>
      </w:r>
      <w:r w:rsidR="00E32BD3">
        <w:t xml:space="preserve">Shared Care Record (ShCR) </w:t>
      </w:r>
      <w:r w:rsidRPr="001115D8">
        <w:t xml:space="preserve">info within NCRS, more GP Connect across NHS and pharmacy systems, movement towards a Single Patient Record, and alignment with </w:t>
      </w:r>
      <w:r w:rsidR="0096694E">
        <w:t xml:space="preserve">Professional Record Standards Body </w:t>
      </w:r>
      <w:r w:rsidRPr="001115D8">
        <w:t>and wider international record standards.</w:t>
      </w:r>
    </w:p>
    <w:p w14:paraId="1D14E99C" w14:textId="77777777" w:rsidR="001115D8" w:rsidRPr="001115D8" w:rsidRDefault="001115D8" w:rsidP="007D69C5">
      <w:pPr>
        <w:numPr>
          <w:ilvl w:val="0"/>
          <w:numId w:val="20"/>
        </w:numPr>
        <w:jc w:val="both"/>
      </w:pPr>
      <w:r w:rsidRPr="00E32BD3">
        <w:rPr>
          <w:b/>
          <w:bCs/>
          <w:color w:val="0070C0"/>
        </w:rPr>
        <w:t>Referrals &amp; appointments</w:t>
      </w:r>
      <w:r w:rsidRPr="001115D8">
        <w:rPr>
          <w:b/>
          <w:bCs/>
        </w:rPr>
        <w:t xml:space="preserve">: </w:t>
      </w:r>
      <w:r w:rsidRPr="001115D8">
        <w:t>Universal adoption of the NHS Booking and Referral Standard (BaRS), and integrated appointment booking via the NHS App and across systems.</w:t>
      </w:r>
    </w:p>
    <w:p w14:paraId="4652BC25" w14:textId="77777777" w:rsidR="001115D8" w:rsidRPr="001115D8" w:rsidRDefault="001115D8" w:rsidP="007D69C5">
      <w:pPr>
        <w:numPr>
          <w:ilvl w:val="0"/>
          <w:numId w:val="20"/>
        </w:numPr>
        <w:jc w:val="both"/>
        <w:rPr>
          <w:b/>
          <w:bCs/>
        </w:rPr>
      </w:pPr>
      <w:r w:rsidRPr="00E32BD3">
        <w:rPr>
          <w:b/>
          <w:bCs/>
          <w:color w:val="0070C0"/>
        </w:rPr>
        <w:lastRenderedPageBreak/>
        <w:t>Digital patient services &amp; prescriptions</w:t>
      </w:r>
      <w:r w:rsidRPr="001115D8">
        <w:rPr>
          <w:b/>
          <w:bCs/>
        </w:rPr>
        <w:t xml:space="preserve">: </w:t>
      </w:r>
      <w:r w:rsidRPr="001115D8">
        <w:t>Next-generation EPS, stronger NHS App integration, open NHS App APIs, medicine tracking, better visibility of pharmacy services for patients and the NHS, and remote consultation support.</w:t>
      </w:r>
    </w:p>
    <w:p w14:paraId="6F08B34D" w14:textId="00974108" w:rsidR="001115D8" w:rsidRPr="001115D8" w:rsidRDefault="001115D8" w:rsidP="007D69C5">
      <w:pPr>
        <w:numPr>
          <w:ilvl w:val="0"/>
          <w:numId w:val="20"/>
        </w:numPr>
        <w:jc w:val="both"/>
        <w:rPr>
          <w:b/>
          <w:bCs/>
        </w:rPr>
      </w:pPr>
      <w:r w:rsidRPr="00E32BD3">
        <w:rPr>
          <w:b/>
          <w:bCs/>
          <w:color w:val="0070C0"/>
        </w:rPr>
        <w:t>Connectivity &amp; data security</w:t>
      </w:r>
      <w:r w:rsidRPr="001115D8">
        <w:rPr>
          <w:b/>
          <w:bCs/>
        </w:rPr>
        <w:t xml:space="preserve">: </w:t>
      </w:r>
      <w:r w:rsidRPr="001115D8">
        <w:t xml:space="preserve">Simplified login processes, reliable connectivity, and secure systems aligned with NHS </w:t>
      </w:r>
      <w:r w:rsidR="00E32BD3">
        <w:t xml:space="preserve">Data Security and Protection Toolkit (DSPTK) </w:t>
      </w:r>
      <w:r w:rsidRPr="001115D8">
        <w:t>standards.</w:t>
      </w:r>
    </w:p>
    <w:p w14:paraId="2831650B" w14:textId="77777777" w:rsidR="005B4710" w:rsidRPr="001C2DDF" w:rsidRDefault="005B4710" w:rsidP="007D69C5">
      <w:pPr>
        <w:jc w:val="both"/>
        <w:rPr>
          <w:b/>
          <w:bCs/>
          <w:color w:val="0070C0"/>
        </w:rPr>
      </w:pPr>
    </w:p>
    <w:p w14:paraId="0D691EEE" w14:textId="77777777" w:rsidR="00BA5167" w:rsidRDefault="00BA5167" w:rsidP="00BA5167">
      <w:pPr>
        <w:jc w:val="both"/>
      </w:pPr>
    </w:p>
    <w:p w14:paraId="14D44FC7" w14:textId="38806456" w:rsidR="00BA5167" w:rsidRPr="00B65C87" w:rsidRDefault="00BA5167" w:rsidP="00BA5167">
      <w:pPr>
        <w:jc w:val="both"/>
        <w:rPr>
          <w:b/>
          <w:bCs/>
          <w:color w:val="0070C0"/>
          <w:sz w:val="40"/>
          <w:szCs w:val="40"/>
        </w:rPr>
      </w:pPr>
      <w:r w:rsidRPr="00B65C87">
        <w:rPr>
          <w:b/>
          <w:bCs/>
          <w:color w:val="0070C0"/>
          <w:sz w:val="40"/>
          <w:szCs w:val="40"/>
        </w:rPr>
        <w:t xml:space="preserve">4. </w:t>
      </w:r>
      <w:r>
        <w:rPr>
          <w:b/>
          <w:bCs/>
          <w:color w:val="0070C0"/>
          <w:sz w:val="40"/>
          <w:szCs w:val="40"/>
        </w:rPr>
        <w:t>Conclusions</w:t>
      </w:r>
    </w:p>
    <w:p w14:paraId="30054B6D" w14:textId="77777777" w:rsidR="00BA5167" w:rsidRDefault="00BA5167" w:rsidP="00BA5167">
      <w:pPr>
        <w:jc w:val="both"/>
      </w:pPr>
    </w:p>
    <w:p w14:paraId="538E119B" w14:textId="77777777" w:rsidR="00115B19" w:rsidRDefault="00115B19" w:rsidP="00115B19">
      <w:pPr>
        <w:jc w:val="both"/>
      </w:pPr>
      <w:r>
        <w:t>Community pharmacy is a core part of primary care delivery and is already operating at scale using national digital infrastructure. When appropriately incorporated into local digital planning, pharmacy IT can help ICBs deliver against key system objectives, including access, productivity, safety, data quality and resilience.</w:t>
      </w:r>
    </w:p>
    <w:p w14:paraId="5B624EE2" w14:textId="77777777" w:rsidR="00115B19" w:rsidRDefault="00115B19" w:rsidP="00115B19">
      <w:pPr>
        <w:jc w:val="both"/>
      </w:pPr>
    </w:p>
    <w:p w14:paraId="0C4649FE" w14:textId="77777777" w:rsidR="00115B19" w:rsidRDefault="00115B19" w:rsidP="00115B19">
      <w:pPr>
        <w:jc w:val="both"/>
      </w:pPr>
      <w:r>
        <w:t>The considerations set out in this section are intended to support practical, deliverable local decision</w:t>
      </w:r>
      <w:r>
        <w:rPr>
          <w:rFonts w:ascii="Cambria Math" w:hAnsi="Cambria Math" w:cs="Cambria Math"/>
        </w:rPr>
        <w:t>‑</w:t>
      </w:r>
      <w:r>
        <w:t>making, rather than to propose standalone or bespoke solutions. Many of the opportunities described align closely with existing primary care and system</w:t>
      </w:r>
      <w:r>
        <w:rPr>
          <w:rFonts w:ascii="Cambria Math" w:hAnsi="Cambria Math" w:cs="Cambria Math"/>
        </w:rPr>
        <w:t>‑</w:t>
      </w:r>
      <w:r>
        <w:t>wide digital priorities and can therefore be incorporated within broader digital and IT investment proposals, including bids for central or regional funding.</w:t>
      </w:r>
    </w:p>
    <w:p w14:paraId="709CE245" w14:textId="77777777" w:rsidR="00115B19" w:rsidRDefault="00115B19" w:rsidP="00115B19">
      <w:pPr>
        <w:jc w:val="both"/>
      </w:pPr>
    </w:p>
    <w:p w14:paraId="0FC8C279" w14:textId="7F915136" w:rsidR="005B4710" w:rsidRPr="001C2DDF" w:rsidRDefault="00115B19" w:rsidP="00115B19">
      <w:pPr>
        <w:jc w:val="both"/>
      </w:pPr>
      <w:r>
        <w:t>Early and deliberate inclusion of community pharmacy within local digital investment planning can help maximise return on investment, reduce duplication and variation, and ensure that primary care digital programmes are designed to work effectively across all relevant settings.</w:t>
      </w:r>
    </w:p>
    <w:sectPr w:rsidR="005B4710" w:rsidRPr="001C2DDF" w:rsidSect="00E913B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26EF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A0934"/>
    <w:multiLevelType w:val="multilevel"/>
    <w:tmpl w:val="7B1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0C3C"/>
    <w:multiLevelType w:val="multilevel"/>
    <w:tmpl w:val="054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1AD1"/>
    <w:multiLevelType w:val="hybridMultilevel"/>
    <w:tmpl w:val="EF5A0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9874D7"/>
    <w:multiLevelType w:val="multilevel"/>
    <w:tmpl w:val="36CA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D145E"/>
    <w:multiLevelType w:val="multilevel"/>
    <w:tmpl w:val="1592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19B3"/>
    <w:multiLevelType w:val="multilevel"/>
    <w:tmpl w:val="16C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42F1"/>
    <w:multiLevelType w:val="multilevel"/>
    <w:tmpl w:val="C43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05659"/>
    <w:multiLevelType w:val="multilevel"/>
    <w:tmpl w:val="A8F6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50D6F"/>
    <w:multiLevelType w:val="multilevel"/>
    <w:tmpl w:val="049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038CB"/>
    <w:multiLevelType w:val="multilevel"/>
    <w:tmpl w:val="2B8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85053"/>
    <w:multiLevelType w:val="hybridMultilevel"/>
    <w:tmpl w:val="484034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0C18D4"/>
    <w:multiLevelType w:val="hybridMultilevel"/>
    <w:tmpl w:val="5AB6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2334A"/>
    <w:multiLevelType w:val="hybridMultilevel"/>
    <w:tmpl w:val="B9FA5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B75C23"/>
    <w:multiLevelType w:val="multilevel"/>
    <w:tmpl w:val="0AB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0548B"/>
    <w:multiLevelType w:val="multilevel"/>
    <w:tmpl w:val="53E8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052D1"/>
    <w:multiLevelType w:val="hybridMultilevel"/>
    <w:tmpl w:val="E77E7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0E64C3"/>
    <w:multiLevelType w:val="multilevel"/>
    <w:tmpl w:val="BF20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E400D"/>
    <w:multiLevelType w:val="multilevel"/>
    <w:tmpl w:val="CD2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D2190"/>
    <w:multiLevelType w:val="multilevel"/>
    <w:tmpl w:val="71CE6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03070"/>
    <w:multiLevelType w:val="hybridMultilevel"/>
    <w:tmpl w:val="E222D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260B4F"/>
    <w:multiLevelType w:val="hybridMultilevel"/>
    <w:tmpl w:val="206423AA"/>
    <w:lvl w:ilvl="0" w:tplc="75E2CEC6">
      <w:start w:val="1"/>
      <w:numFmt w:val="decimal"/>
      <w:lvlText w:val="%1."/>
      <w:lvlJc w:val="left"/>
      <w:pPr>
        <w:ind w:left="720" w:hanging="360"/>
      </w:pPr>
      <w:rPr>
        <w:rFonts w:hint="default"/>
        <w:b/>
        <w:bCs/>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CB61B16"/>
    <w:multiLevelType w:val="multilevel"/>
    <w:tmpl w:val="B87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653071">
    <w:abstractNumId w:val="17"/>
  </w:num>
  <w:num w:numId="2" w16cid:durableId="1073353177">
    <w:abstractNumId w:val="7"/>
  </w:num>
  <w:num w:numId="3" w16cid:durableId="1104763430">
    <w:abstractNumId w:val="3"/>
  </w:num>
  <w:num w:numId="4" w16cid:durableId="1159073859">
    <w:abstractNumId w:val="20"/>
  </w:num>
  <w:num w:numId="5" w16cid:durableId="1207572401">
    <w:abstractNumId w:val="19"/>
  </w:num>
  <w:num w:numId="6" w16cid:durableId="1543128815">
    <w:abstractNumId w:val="4"/>
  </w:num>
  <w:num w:numId="7" w16cid:durableId="1586038596">
    <w:abstractNumId w:val="10"/>
  </w:num>
  <w:num w:numId="8" w16cid:durableId="1684699296">
    <w:abstractNumId w:val="14"/>
  </w:num>
  <w:num w:numId="9" w16cid:durableId="1762793710">
    <w:abstractNumId w:val="2"/>
  </w:num>
  <w:num w:numId="10" w16cid:durableId="185336647">
    <w:abstractNumId w:val="15"/>
  </w:num>
  <w:num w:numId="11" w16cid:durableId="2063405782">
    <w:abstractNumId w:val="16"/>
  </w:num>
  <w:num w:numId="12" w16cid:durableId="40595041">
    <w:abstractNumId w:val="8"/>
  </w:num>
  <w:num w:numId="13" w16cid:durableId="504517611">
    <w:abstractNumId w:val="18"/>
  </w:num>
  <w:num w:numId="14" w16cid:durableId="527842223">
    <w:abstractNumId w:val="5"/>
  </w:num>
  <w:num w:numId="15" w16cid:durableId="596062967">
    <w:abstractNumId w:val="0"/>
  </w:num>
  <w:num w:numId="16" w16cid:durableId="659306282">
    <w:abstractNumId w:val="13"/>
  </w:num>
  <w:num w:numId="17" w16cid:durableId="726028316">
    <w:abstractNumId w:val="22"/>
  </w:num>
  <w:num w:numId="18" w16cid:durableId="73013136">
    <w:abstractNumId w:val="11"/>
  </w:num>
  <w:num w:numId="19" w16cid:durableId="480537722">
    <w:abstractNumId w:val="12"/>
  </w:num>
  <w:num w:numId="20" w16cid:durableId="110250194">
    <w:abstractNumId w:val="21"/>
  </w:num>
  <w:num w:numId="21" w16cid:durableId="1875657599">
    <w:abstractNumId w:val="9"/>
  </w:num>
  <w:num w:numId="22" w16cid:durableId="319583005">
    <w:abstractNumId w:val="6"/>
  </w:num>
  <w:num w:numId="23" w16cid:durableId="160742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10"/>
    <w:rsid w:val="000049E8"/>
    <w:rsid w:val="00010634"/>
    <w:rsid w:val="0001600F"/>
    <w:rsid w:val="0001625A"/>
    <w:rsid w:val="000364A3"/>
    <w:rsid w:val="00045C86"/>
    <w:rsid w:val="0007072B"/>
    <w:rsid w:val="000736B8"/>
    <w:rsid w:val="00082068"/>
    <w:rsid w:val="000A0070"/>
    <w:rsid w:val="000A3BCB"/>
    <w:rsid w:val="000C3CD4"/>
    <w:rsid w:val="000D159C"/>
    <w:rsid w:val="000F2F82"/>
    <w:rsid w:val="001115D8"/>
    <w:rsid w:val="00115B19"/>
    <w:rsid w:val="00127512"/>
    <w:rsid w:val="0014652B"/>
    <w:rsid w:val="0015462D"/>
    <w:rsid w:val="00162A4B"/>
    <w:rsid w:val="00173040"/>
    <w:rsid w:val="001C2DDF"/>
    <w:rsid w:val="001D11B9"/>
    <w:rsid w:val="001D4CD2"/>
    <w:rsid w:val="002122C8"/>
    <w:rsid w:val="00226DA8"/>
    <w:rsid w:val="00243ED4"/>
    <w:rsid w:val="00247EC6"/>
    <w:rsid w:val="00287C1E"/>
    <w:rsid w:val="00297D9C"/>
    <w:rsid w:val="002A16F7"/>
    <w:rsid w:val="002C515B"/>
    <w:rsid w:val="002D5445"/>
    <w:rsid w:val="00302F88"/>
    <w:rsid w:val="00312AAA"/>
    <w:rsid w:val="00341499"/>
    <w:rsid w:val="00374AE4"/>
    <w:rsid w:val="003849B9"/>
    <w:rsid w:val="00395702"/>
    <w:rsid w:val="003A7B5A"/>
    <w:rsid w:val="003B3081"/>
    <w:rsid w:val="003B5C2C"/>
    <w:rsid w:val="003C5F95"/>
    <w:rsid w:val="003D1C77"/>
    <w:rsid w:val="003D723A"/>
    <w:rsid w:val="003F0EBF"/>
    <w:rsid w:val="00411458"/>
    <w:rsid w:val="00425FE6"/>
    <w:rsid w:val="00433A9C"/>
    <w:rsid w:val="00460F8F"/>
    <w:rsid w:val="00463AAA"/>
    <w:rsid w:val="00484A05"/>
    <w:rsid w:val="004958C4"/>
    <w:rsid w:val="004A7563"/>
    <w:rsid w:val="004B2682"/>
    <w:rsid w:val="004D4211"/>
    <w:rsid w:val="004D610C"/>
    <w:rsid w:val="005062D6"/>
    <w:rsid w:val="00510D2C"/>
    <w:rsid w:val="0052050F"/>
    <w:rsid w:val="0052378B"/>
    <w:rsid w:val="00530FC5"/>
    <w:rsid w:val="0054086F"/>
    <w:rsid w:val="00545269"/>
    <w:rsid w:val="0054587F"/>
    <w:rsid w:val="00587DC1"/>
    <w:rsid w:val="00595107"/>
    <w:rsid w:val="005A25AD"/>
    <w:rsid w:val="005B3620"/>
    <w:rsid w:val="005B4710"/>
    <w:rsid w:val="005C109F"/>
    <w:rsid w:val="005C32F7"/>
    <w:rsid w:val="005F1BF7"/>
    <w:rsid w:val="00603B2E"/>
    <w:rsid w:val="00606C8A"/>
    <w:rsid w:val="0063778F"/>
    <w:rsid w:val="00640067"/>
    <w:rsid w:val="006424D8"/>
    <w:rsid w:val="00661E8D"/>
    <w:rsid w:val="00677044"/>
    <w:rsid w:val="0067753D"/>
    <w:rsid w:val="00687FB8"/>
    <w:rsid w:val="0069281A"/>
    <w:rsid w:val="006937B6"/>
    <w:rsid w:val="00697E2A"/>
    <w:rsid w:val="006A17F9"/>
    <w:rsid w:val="006A5115"/>
    <w:rsid w:val="006D5245"/>
    <w:rsid w:val="006F574D"/>
    <w:rsid w:val="00701CC2"/>
    <w:rsid w:val="00721A16"/>
    <w:rsid w:val="00733D95"/>
    <w:rsid w:val="00752506"/>
    <w:rsid w:val="00760C81"/>
    <w:rsid w:val="007A3DC9"/>
    <w:rsid w:val="007A5102"/>
    <w:rsid w:val="007D1F41"/>
    <w:rsid w:val="007D69C5"/>
    <w:rsid w:val="007F1124"/>
    <w:rsid w:val="007F57ED"/>
    <w:rsid w:val="00811235"/>
    <w:rsid w:val="00832798"/>
    <w:rsid w:val="00836734"/>
    <w:rsid w:val="00837159"/>
    <w:rsid w:val="00840330"/>
    <w:rsid w:val="00842B6D"/>
    <w:rsid w:val="0085541C"/>
    <w:rsid w:val="0087621B"/>
    <w:rsid w:val="008B1A50"/>
    <w:rsid w:val="008C58F9"/>
    <w:rsid w:val="008F04B1"/>
    <w:rsid w:val="00917C27"/>
    <w:rsid w:val="00922DF4"/>
    <w:rsid w:val="009325EE"/>
    <w:rsid w:val="00947AE0"/>
    <w:rsid w:val="0095710D"/>
    <w:rsid w:val="00964B7F"/>
    <w:rsid w:val="0096694E"/>
    <w:rsid w:val="009A0230"/>
    <w:rsid w:val="009B3FC2"/>
    <w:rsid w:val="009B4292"/>
    <w:rsid w:val="009B7EA2"/>
    <w:rsid w:val="009D2864"/>
    <w:rsid w:val="009D66C3"/>
    <w:rsid w:val="009E3A42"/>
    <w:rsid w:val="009F7D0C"/>
    <w:rsid w:val="00A206B4"/>
    <w:rsid w:val="00A319B1"/>
    <w:rsid w:val="00A409B6"/>
    <w:rsid w:val="00A42A97"/>
    <w:rsid w:val="00A536B2"/>
    <w:rsid w:val="00A5492C"/>
    <w:rsid w:val="00A56940"/>
    <w:rsid w:val="00A578F0"/>
    <w:rsid w:val="00A80AE6"/>
    <w:rsid w:val="00AA11F2"/>
    <w:rsid w:val="00AA5B7E"/>
    <w:rsid w:val="00AB1981"/>
    <w:rsid w:val="00AB2F1D"/>
    <w:rsid w:val="00AB52BB"/>
    <w:rsid w:val="00AB62D7"/>
    <w:rsid w:val="00AE3F61"/>
    <w:rsid w:val="00AF14D0"/>
    <w:rsid w:val="00AF18FF"/>
    <w:rsid w:val="00B07763"/>
    <w:rsid w:val="00B17CD3"/>
    <w:rsid w:val="00B22BF4"/>
    <w:rsid w:val="00B25C8A"/>
    <w:rsid w:val="00B5604D"/>
    <w:rsid w:val="00B65C87"/>
    <w:rsid w:val="00B71C4E"/>
    <w:rsid w:val="00BA5167"/>
    <w:rsid w:val="00BA6B62"/>
    <w:rsid w:val="00BC37B5"/>
    <w:rsid w:val="00BD142A"/>
    <w:rsid w:val="00BE5BFA"/>
    <w:rsid w:val="00C00473"/>
    <w:rsid w:val="00C02C07"/>
    <w:rsid w:val="00C125B4"/>
    <w:rsid w:val="00C400BF"/>
    <w:rsid w:val="00C42B69"/>
    <w:rsid w:val="00C46BE7"/>
    <w:rsid w:val="00CA4C26"/>
    <w:rsid w:val="00CB593C"/>
    <w:rsid w:val="00CE6706"/>
    <w:rsid w:val="00CE6A98"/>
    <w:rsid w:val="00D06D73"/>
    <w:rsid w:val="00D16645"/>
    <w:rsid w:val="00D5253C"/>
    <w:rsid w:val="00DB17B8"/>
    <w:rsid w:val="00DD6A2D"/>
    <w:rsid w:val="00DF0866"/>
    <w:rsid w:val="00E16ED3"/>
    <w:rsid w:val="00E32BD3"/>
    <w:rsid w:val="00E64E66"/>
    <w:rsid w:val="00E654CC"/>
    <w:rsid w:val="00E7307F"/>
    <w:rsid w:val="00E87D89"/>
    <w:rsid w:val="00E913B8"/>
    <w:rsid w:val="00EB329E"/>
    <w:rsid w:val="00EB4F12"/>
    <w:rsid w:val="00EC359F"/>
    <w:rsid w:val="00ED0842"/>
    <w:rsid w:val="00ED4F73"/>
    <w:rsid w:val="00EE7D3A"/>
    <w:rsid w:val="00EF0B32"/>
    <w:rsid w:val="00F065D8"/>
    <w:rsid w:val="00F07E5E"/>
    <w:rsid w:val="00F140BF"/>
    <w:rsid w:val="00F14E3E"/>
    <w:rsid w:val="00F43A33"/>
    <w:rsid w:val="00F55469"/>
    <w:rsid w:val="00F60210"/>
    <w:rsid w:val="00F62F1B"/>
    <w:rsid w:val="00F859FA"/>
    <w:rsid w:val="00FE3269"/>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1758"/>
  <w15:chartTrackingRefBased/>
  <w15:docId w15:val="{1D9E242A-D398-46AD-BA0A-8591EA1B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67"/>
    <w:pPr>
      <w:spacing w:after="180" w:line="240" w:lineRule="auto"/>
      <w:contextualSpacing/>
    </w:pPr>
    <w:rPr>
      <w:rFonts w:ascii="Arial" w:hAnsi="Arial" w:cs="Times New Roman"/>
      <w:szCs w:val="20"/>
      <w:lang w:eastAsia="en-GB"/>
      <w14:ligatures w14:val="none"/>
    </w:rPr>
  </w:style>
  <w:style w:type="paragraph" w:styleId="Heading1">
    <w:name w:val="heading 1"/>
    <w:basedOn w:val="Normal"/>
    <w:next w:val="Normal"/>
    <w:link w:val="Heading1Char"/>
    <w:uiPriority w:val="9"/>
    <w:qFormat/>
    <w:rsid w:val="005B4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qFormat/>
    <w:rsid w:val="00AB52BB"/>
    <w:pPr>
      <w:keepNext/>
      <w:spacing w:before="240" w:after="60"/>
      <w:outlineLvl w:val="1"/>
    </w:pPr>
    <w:rPr>
      <w:b/>
      <w:bCs/>
      <w:iCs/>
      <w:color w:val="156082" w:themeColor="accent1"/>
      <w:sz w:val="30"/>
      <w:szCs w:val="28"/>
      <w:u w:val="single"/>
      <w14:ligatures w14:val="standardContextual"/>
    </w:rPr>
  </w:style>
  <w:style w:type="paragraph" w:styleId="Heading3">
    <w:name w:val="heading 3"/>
    <w:basedOn w:val="Normal"/>
    <w:next w:val="Normal"/>
    <w:link w:val="Heading3Char"/>
    <w:uiPriority w:val="9"/>
    <w:semiHidden/>
    <w:unhideWhenUsed/>
    <w:qFormat/>
    <w:rsid w:val="005B47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qFormat/>
    <w:rsid w:val="00AB52BB"/>
    <w:pPr>
      <w:keepNext/>
      <w:spacing w:before="240" w:after="60"/>
      <w:outlineLvl w:val="3"/>
    </w:pPr>
    <w:rPr>
      <w:b/>
      <w:bCs/>
      <w:color w:val="156082" w:themeColor="accent1"/>
      <w:szCs w:val="28"/>
      <w14:ligatures w14:val="standardContextual"/>
    </w:rPr>
  </w:style>
  <w:style w:type="paragraph" w:styleId="Heading5">
    <w:name w:val="heading 5"/>
    <w:basedOn w:val="Normal"/>
    <w:next w:val="Normal"/>
    <w:link w:val="Heading5Char"/>
    <w:uiPriority w:val="9"/>
    <w:semiHidden/>
    <w:unhideWhenUsed/>
    <w:qFormat/>
    <w:rsid w:val="005B47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7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7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7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7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CD3"/>
    <w:rPr>
      <w:rFonts w:ascii="Arial" w:hAnsi="Arial"/>
      <w:color w:val="FF6D3A"/>
      <w:u w:val="single"/>
    </w:rPr>
  </w:style>
  <w:style w:type="paragraph" w:customStyle="1" w:styleId="Body">
    <w:name w:val="Body"/>
    <w:rsid w:val="00587DC1"/>
    <w:pPr>
      <w:pBdr>
        <w:top w:val="nil"/>
        <w:left w:val="nil"/>
        <w:bottom w:val="nil"/>
        <w:right w:val="nil"/>
        <w:between w:val="nil"/>
        <w:bar w:val="nil"/>
      </w:pBdr>
      <w:spacing w:after="0" w:line="240" w:lineRule="auto"/>
    </w:pPr>
    <w:rPr>
      <w:rFonts w:ascii="Arial" w:hAnsi="Arial" w:cs="Times New Roman"/>
      <w:color w:val="000000"/>
      <w:szCs w:val="24"/>
      <w:u w:color="000000"/>
      <w:bdr w:val="nil"/>
      <w:lang w:eastAsia="en-GB"/>
      <w14:ligatures w14:val="none"/>
    </w:rPr>
  </w:style>
  <w:style w:type="paragraph" w:styleId="ListBullet">
    <w:name w:val="List Bullet"/>
    <w:basedOn w:val="Normal"/>
    <w:autoRedefine/>
    <w:uiPriority w:val="99"/>
    <w:rsid w:val="00A42A97"/>
    <w:pPr>
      <w:pBdr>
        <w:top w:val="single" w:sz="4" w:space="1" w:color="auto"/>
        <w:left w:val="single" w:sz="4" w:space="4" w:color="auto"/>
        <w:bottom w:val="single" w:sz="4" w:space="1" w:color="auto"/>
        <w:right w:val="single" w:sz="4" w:space="4" w:color="auto"/>
      </w:pBdr>
      <w:shd w:val="clear" w:color="auto" w:fill="FFFFFF"/>
      <w:spacing w:after="0"/>
      <w:jc w:val="both"/>
    </w:pPr>
    <w:rPr>
      <w:color w:val="000000"/>
    </w:rPr>
  </w:style>
  <w:style w:type="character" w:customStyle="1" w:styleId="Heading2Char">
    <w:name w:val="Heading 2 Char"/>
    <w:basedOn w:val="DefaultParagraphFont"/>
    <w:link w:val="Heading2"/>
    <w:uiPriority w:val="9"/>
    <w:rsid w:val="00AB52BB"/>
    <w:rPr>
      <w:rFonts w:ascii="Arial" w:eastAsia="Times New Roman" w:hAnsi="Arial" w:cs="Times New Roman"/>
      <w:b/>
      <w:bCs/>
      <w:iCs/>
      <w:color w:val="156082" w:themeColor="accent1"/>
      <w:sz w:val="30"/>
      <w:szCs w:val="28"/>
      <w:u w:val="single"/>
      <w:lang w:eastAsia="en-GB"/>
    </w:rPr>
  </w:style>
  <w:style w:type="character" w:customStyle="1" w:styleId="Heading4Char">
    <w:name w:val="Heading 4 Char"/>
    <w:basedOn w:val="DefaultParagraphFont"/>
    <w:link w:val="Heading4"/>
    <w:rsid w:val="00AB52BB"/>
    <w:rPr>
      <w:rFonts w:ascii="Arial" w:eastAsia="Times New Roman" w:hAnsi="Arial" w:cs="Times New Roman"/>
      <w:b/>
      <w:bCs/>
      <w:color w:val="156082" w:themeColor="accent1"/>
      <w:szCs w:val="28"/>
      <w:lang w:eastAsia="en-GB"/>
    </w:rPr>
  </w:style>
  <w:style w:type="paragraph" w:customStyle="1" w:styleId="msolistparagraph0">
    <w:name w:val="msolistparagraph"/>
    <w:basedOn w:val="Normal"/>
    <w:uiPriority w:val="99"/>
    <w:rsid w:val="00A42A97"/>
    <w:pPr>
      <w:spacing w:after="0"/>
      <w:ind w:left="720"/>
    </w:pPr>
    <w:rPr>
      <w:szCs w:val="24"/>
    </w:rPr>
  </w:style>
  <w:style w:type="character" w:customStyle="1" w:styleId="normaltextrun">
    <w:name w:val="normaltextrun"/>
    <w:basedOn w:val="DefaultParagraphFont"/>
    <w:rsid w:val="00A42A97"/>
    <w:rPr>
      <w:rFonts w:ascii="Arial" w:hAnsi="Arial"/>
      <w:sz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A42A97"/>
    <w:pPr>
      <w:spacing w:after="200" w:line="276" w:lineRule="auto"/>
      <w:ind w:left="720"/>
    </w:pPr>
    <w:rPr>
      <w:rFonts w:eastAsia="Calibri"/>
      <w:szCs w:val="22"/>
      <w:lang w:eastAsia="en-US"/>
      <w14:ligatures w14:val="standardContextu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A42A97"/>
    <w:rPr>
      <w:rFonts w:ascii="Arial" w:eastAsia="Calibri" w:hAnsi="Arial" w:cs="Times New Roman"/>
      <w:sz w:val="21"/>
    </w:rPr>
  </w:style>
  <w:style w:type="character" w:customStyle="1" w:styleId="Heading1Char">
    <w:name w:val="Heading 1 Char"/>
    <w:basedOn w:val="DefaultParagraphFont"/>
    <w:link w:val="Heading1"/>
    <w:uiPriority w:val="9"/>
    <w:rsid w:val="005B4710"/>
    <w:rPr>
      <w:rFonts w:asciiTheme="majorHAnsi" w:eastAsiaTheme="majorEastAsia" w:hAnsiTheme="majorHAnsi" w:cstheme="majorBidi"/>
      <w:color w:val="0F4761" w:themeColor="accent1" w:themeShade="BF"/>
      <w:sz w:val="40"/>
      <w:szCs w:val="40"/>
      <w:lang w:eastAsia="en-GB"/>
      <w14:ligatures w14:val="none"/>
    </w:rPr>
  </w:style>
  <w:style w:type="character" w:customStyle="1" w:styleId="Heading3Char">
    <w:name w:val="Heading 3 Char"/>
    <w:basedOn w:val="DefaultParagraphFont"/>
    <w:link w:val="Heading3"/>
    <w:uiPriority w:val="9"/>
    <w:semiHidden/>
    <w:rsid w:val="005B4710"/>
    <w:rPr>
      <w:rFonts w:eastAsiaTheme="majorEastAsia" w:cstheme="majorBidi"/>
      <w:color w:val="0F4761" w:themeColor="accent1" w:themeShade="BF"/>
      <w:sz w:val="28"/>
      <w:szCs w:val="28"/>
      <w:lang w:eastAsia="en-GB"/>
      <w14:ligatures w14:val="none"/>
    </w:rPr>
  </w:style>
  <w:style w:type="character" w:customStyle="1" w:styleId="Heading5Char">
    <w:name w:val="Heading 5 Char"/>
    <w:basedOn w:val="DefaultParagraphFont"/>
    <w:link w:val="Heading5"/>
    <w:uiPriority w:val="9"/>
    <w:semiHidden/>
    <w:rsid w:val="005B4710"/>
    <w:rPr>
      <w:rFonts w:eastAsiaTheme="majorEastAsia" w:cstheme="majorBidi"/>
      <w:color w:val="0F4761" w:themeColor="accent1" w:themeShade="BF"/>
      <w:szCs w:val="20"/>
      <w:lang w:eastAsia="en-GB"/>
      <w14:ligatures w14:val="none"/>
    </w:rPr>
  </w:style>
  <w:style w:type="character" w:customStyle="1" w:styleId="Heading6Char">
    <w:name w:val="Heading 6 Char"/>
    <w:basedOn w:val="DefaultParagraphFont"/>
    <w:link w:val="Heading6"/>
    <w:uiPriority w:val="9"/>
    <w:semiHidden/>
    <w:rsid w:val="005B4710"/>
    <w:rPr>
      <w:rFonts w:eastAsiaTheme="majorEastAsia" w:cstheme="majorBidi"/>
      <w:i/>
      <w:iCs/>
      <w:color w:val="595959" w:themeColor="text1" w:themeTint="A6"/>
      <w:szCs w:val="20"/>
      <w:lang w:eastAsia="en-GB"/>
      <w14:ligatures w14:val="none"/>
    </w:rPr>
  </w:style>
  <w:style w:type="character" w:customStyle="1" w:styleId="Heading7Char">
    <w:name w:val="Heading 7 Char"/>
    <w:basedOn w:val="DefaultParagraphFont"/>
    <w:link w:val="Heading7"/>
    <w:uiPriority w:val="9"/>
    <w:semiHidden/>
    <w:rsid w:val="005B4710"/>
    <w:rPr>
      <w:rFonts w:eastAsiaTheme="majorEastAsia" w:cstheme="majorBidi"/>
      <w:color w:val="595959" w:themeColor="text1" w:themeTint="A6"/>
      <w:szCs w:val="20"/>
      <w:lang w:eastAsia="en-GB"/>
      <w14:ligatures w14:val="none"/>
    </w:rPr>
  </w:style>
  <w:style w:type="character" w:customStyle="1" w:styleId="Heading8Char">
    <w:name w:val="Heading 8 Char"/>
    <w:basedOn w:val="DefaultParagraphFont"/>
    <w:link w:val="Heading8"/>
    <w:uiPriority w:val="9"/>
    <w:semiHidden/>
    <w:rsid w:val="005B4710"/>
    <w:rPr>
      <w:rFonts w:eastAsiaTheme="majorEastAsia" w:cstheme="majorBidi"/>
      <w:i/>
      <w:iCs/>
      <w:color w:val="272727" w:themeColor="text1" w:themeTint="D8"/>
      <w:szCs w:val="20"/>
      <w:lang w:eastAsia="en-GB"/>
      <w14:ligatures w14:val="none"/>
    </w:rPr>
  </w:style>
  <w:style w:type="character" w:customStyle="1" w:styleId="Heading9Char">
    <w:name w:val="Heading 9 Char"/>
    <w:basedOn w:val="DefaultParagraphFont"/>
    <w:link w:val="Heading9"/>
    <w:uiPriority w:val="9"/>
    <w:semiHidden/>
    <w:rsid w:val="005B4710"/>
    <w:rPr>
      <w:rFonts w:eastAsiaTheme="majorEastAsia" w:cstheme="majorBidi"/>
      <w:color w:val="272727" w:themeColor="text1" w:themeTint="D8"/>
      <w:szCs w:val="20"/>
      <w:lang w:eastAsia="en-GB"/>
      <w14:ligatures w14:val="none"/>
    </w:rPr>
  </w:style>
  <w:style w:type="paragraph" w:styleId="Title">
    <w:name w:val="Title"/>
    <w:basedOn w:val="Normal"/>
    <w:next w:val="Normal"/>
    <w:link w:val="TitleChar"/>
    <w:uiPriority w:val="10"/>
    <w:qFormat/>
    <w:rsid w:val="005B471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710"/>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B47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710"/>
    <w:rPr>
      <w:rFonts w:eastAsiaTheme="majorEastAsia" w:cstheme="majorBidi"/>
      <w:color w:val="595959" w:themeColor="text1" w:themeTint="A6"/>
      <w:spacing w:val="15"/>
      <w:sz w:val="28"/>
      <w:szCs w:val="28"/>
      <w:lang w:eastAsia="en-GB"/>
      <w14:ligatures w14:val="none"/>
    </w:rPr>
  </w:style>
  <w:style w:type="paragraph" w:styleId="Quote">
    <w:name w:val="Quote"/>
    <w:basedOn w:val="Normal"/>
    <w:next w:val="Normal"/>
    <w:link w:val="QuoteChar"/>
    <w:uiPriority w:val="29"/>
    <w:qFormat/>
    <w:rsid w:val="005B4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4710"/>
    <w:rPr>
      <w:rFonts w:ascii="Arial" w:hAnsi="Arial" w:cs="Times New Roman"/>
      <w:i/>
      <w:iCs/>
      <w:color w:val="404040" w:themeColor="text1" w:themeTint="BF"/>
      <w:szCs w:val="20"/>
      <w:lang w:eastAsia="en-GB"/>
      <w14:ligatures w14:val="none"/>
    </w:rPr>
  </w:style>
  <w:style w:type="character" w:styleId="IntenseEmphasis">
    <w:name w:val="Intense Emphasis"/>
    <w:basedOn w:val="DefaultParagraphFont"/>
    <w:uiPriority w:val="21"/>
    <w:qFormat/>
    <w:rsid w:val="005B4710"/>
    <w:rPr>
      <w:i/>
      <w:iCs/>
      <w:color w:val="0F4761" w:themeColor="accent1" w:themeShade="BF"/>
    </w:rPr>
  </w:style>
  <w:style w:type="paragraph" w:styleId="IntenseQuote">
    <w:name w:val="Intense Quote"/>
    <w:basedOn w:val="Normal"/>
    <w:next w:val="Normal"/>
    <w:link w:val="IntenseQuoteChar"/>
    <w:uiPriority w:val="30"/>
    <w:qFormat/>
    <w:rsid w:val="005B4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710"/>
    <w:rPr>
      <w:rFonts w:ascii="Arial" w:hAnsi="Arial" w:cs="Times New Roman"/>
      <w:i/>
      <w:iCs/>
      <w:color w:val="0F4761" w:themeColor="accent1" w:themeShade="BF"/>
      <w:szCs w:val="20"/>
      <w:lang w:eastAsia="en-GB"/>
      <w14:ligatures w14:val="none"/>
    </w:rPr>
  </w:style>
  <w:style w:type="character" w:styleId="IntenseReference">
    <w:name w:val="Intense Reference"/>
    <w:basedOn w:val="DefaultParagraphFont"/>
    <w:uiPriority w:val="32"/>
    <w:qFormat/>
    <w:rsid w:val="005B4710"/>
    <w:rPr>
      <w:b/>
      <w:bCs/>
      <w:smallCaps/>
      <w:color w:val="0F4761" w:themeColor="accent1" w:themeShade="BF"/>
      <w:spacing w:val="5"/>
    </w:rPr>
  </w:style>
  <w:style w:type="character" w:styleId="UnresolvedMention">
    <w:name w:val="Unresolved Mention"/>
    <w:basedOn w:val="DefaultParagraphFont"/>
    <w:uiPriority w:val="99"/>
    <w:semiHidden/>
    <w:unhideWhenUsed/>
    <w:rsid w:val="005B4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pe.org.uk/wp-content/uploads/2025/03/Next-steps-for-pharmacy-IT-CP-ITG-feedback-abridged-slideset.pdf" TargetMode="External"/><Relationship Id="rId5" Type="http://schemas.openxmlformats.org/officeDocument/2006/relationships/hyperlink" Target="https://cpe.org.uk/digital-and-technology/community-pharmacy-it-group-cpitg/cpitg-it-road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9109</Characters>
  <Application>Microsoft Office Word</Application>
  <DocSecurity>0</DocSecurity>
  <Lines>178</Lines>
  <Paragraphs>105</Paragraphs>
  <ScaleCrop>false</ScaleCrop>
  <HeadingPairs>
    <vt:vector size="2" baseType="variant">
      <vt:variant>
        <vt:lpstr>Title</vt:lpstr>
      </vt:variant>
      <vt:variant>
        <vt:i4>1</vt:i4>
      </vt:variant>
    </vt:vector>
  </HeadingPairs>
  <TitlesOfParts>
    <vt:vector size="1" baseType="lpstr">
      <vt:lpstr/>
    </vt:vector>
  </TitlesOfParts>
  <Company>PSNC</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Ah-Thion</dc:creator>
  <cp:keywords/>
  <dc:description/>
  <cp:lastModifiedBy>Daniel Ah-Thion</cp:lastModifiedBy>
  <cp:revision>66</cp:revision>
  <dcterms:created xsi:type="dcterms:W3CDTF">2026-04-02T11:34:00Z</dcterms:created>
  <dcterms:modified xsi:type="dcterms:W3CDTF">2026-05-07T12:35:00Z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7409040d-803c-4ffb-9e04-0fb7a58449b7</vt:lpwstr>
  </property>
</Properties>
</file>